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9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/>
    </w:p>
    <w:p>
      <w:pPr>
        <w:pStyle w:val="879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к приказу Департамента промышленности </w:t>
      </w:r>
      <w:r/>
    </w:p>
    <w:p>
      <w:pPr>
        <w:pStyle w:val="879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/>
    </w:p>
    <w:p>
      <w:pPr>
        <w:pStyle w:val="879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от «13».февраля 2026 года № 38-п-34</w:t>
      </w:r>
      <w:r/>
    </w:p>
    <w:p>
      <w:pPr>
        <w:pStyle w:val="879"/>
        <w:jc w:val="both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/>
    </w:p>
    <w:p>
      <w:pPr>
        <w:pStyle w:val="879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Документация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79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 аукционе </w:t>
      </w:r>
      <w:r>
        <w:rPr>
          <w:rFonts w:ascii="Times New Roman" w:hAnsi="Times New Roman"/>
          <w:b w:val="0"/>
          <w:bCs w:val="0"/>
          <w:strike w:val="0"/>
          <w:sz w:val="28"/>
          <w:szCs w:val="28"/>
          <w:highlight w:val="none"/>
        </w:rPr>
        <w:t xml:space="preserve">№ 1/2026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электронной форме по продаже права </w:t>
        <w:br/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на заключение договора пользования рыболовным участком</w:t>
        <w:br/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для осуществления промышленного рыболовства во внутренних водных объектах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79"/>
        <w:jc w:val="both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/>
    </w:p>
    <w:p>
      <w:pPr>
        <w:pStyle w:val="879"/>
        <w:ind w:left="0" w:firstLine="0"/>
        <w:jc w:val="center"/>
        <w:spacing w:line="276" w:lineRule="auto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  <w:t xml:space="preserve">1. Общие положения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/>
    </w:p>
    <w:p>
      <w:pPr>
        <w:pStyle w:val="879"/>
        <w:ind w:left="0" w:firstLine="0"/>
        <w:jc w:val="center"/>
        <w:spacing w:line="276" w:lineRule="auto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1.1. Настоящая документация об аукционе в электронной форме по продаже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права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на заключение договора пользования рыболовным участком</w:t>
        <w:br/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для осуществления промышленного рыболовства во внутренних водных объектах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(далее – документация об аукционе) разработана Департаментом промышленности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соответствии </w:t>
        <w:br/>
        <w:t xml:space="preserve">с Гражданским кодексом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Российской Федерации, Федеральным законом от 20 декабря 2004 года № 166-ФЗ «О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рыболовстве и сохранении водных биологических ресурсов» (далее – Закон 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рыболовстве), Федеральным законом от 26 июля 2006 года № 135-ФЗ «О защите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конкуренции»,</w:t>
      </w:r>
      <w:r>
        <w:rPr>
          <w:rFonts w:ascii="Times New Roman" w:hAnsi="Times New Roman" w:cs="Times New Roman"/>
          <w:strike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постановлением Правительства Российской Федерации от 31 августа 2024 года № 1206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«Об утверждении Правил организации и проведения аукционов в электронной форме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продаже права на заключение договора </w:t>
        <w:br/>
        <w:t xml:space="preserve">о закреплении доли квоты добычи (вылова)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водных биологических ресурсов, договора пользования водными биологическими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ресурсами, договора пользования рыболовным участком»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31 мая 2024 года № 740 </w:t>
        <w:br/>
        <w:t xml:space="preserve">«Об утверждении Правил подготовки и заключения договора пользования рыболовным участком, а также форм примерного договора пользования рыболовным участком», </w:t>
      </w:r>
      <w:r>
        <w:rPr>
          <w:rFonts w:ascii="Times New Roman" w:hAnsi="Times New Roman" w:cs="Times New Roman"/>
          <w:sz w:val="28"/>
          <w:szCs w:val="28"/>
        </w:rPr>
        <w:t xml:space="preserve">положением о Департаменте промышленности Ханты-Мансийского автономного округа – Югры, утвержденным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постановлением Правительства Ханты-Мансийского автономного </w:t>
        <w:br/>
        <w:t xml:space="preserve">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Югры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17 февраля 2023 года № 62-п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приказом Департамента промышленности Ханты-Мансийского автономного округа – Югры </w:t>
        <w:br/>
        <w:t xml:space="preserve">от 30 августа 2021 года № 8-нп «Об утверждении Перечня рыболовных участков, выделенных во внутренних водных объектах в границах </w:t>
        <w:br/>
        <w:t xml:space="preserve">Ханты-Мансийского автономного округа – Югры».</w:t>
      </w:r>
      <w:r>
        <w:rPr>
          <w:rFonts w:ascii="Times New Roman" w:hAnsi="Times New Roman" w:cs="Times New Roman"/>
          <w:strike/>
          <w:sz w:val="28"/>
          <w:szCs w:val="28"/>
          <w:highlight w:val="none"/>
          <w14:ligatures w14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1.2.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Организатор аукциона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– Департамент промышленности Ханты-Мансийского автономного округа – Югры (далее – организатор аукциона).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Место нахождения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организатора аукциона: 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628011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,</w:t>
        <w:br/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Ханты-Мансийский автономный округ – Югра, г.Ханты-Мансийск, ул.Рознина, д.64, каб.315.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Адрес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электронной почты: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hyperlink r:id="rId13" w:tooltip="mailto:depprom@admhmao.ru" w:history="1">
        <w:r>
          <w:rPr>
            <w:rStyle w:val="883"/>
            <w:rFonts w:ascii="Times New Roman" w:hAnsi="Times New Roman" w:eastAsia="Arial" w:cs="Times New Roman"/>
            <w:color w:val="000000" w:themeColor="text1"/>
            <w:sz w:val="28"/>
            <w:szCs w:val="28"/>
            <w:highlight w:val="none"/>
            <w:u w:val="none"/>
          </w:rPr>
          <w:t xml:space="preserve">depprom@admhmao.ru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.</w:t>
      </w:r>
      <w:r>
        <w:rPr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Контактные телефоны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</w:rPr>
        <w:t xml:space="preserve">+7(3467) 35-34-04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 добавочный номер 3825 (Кудым Павел Викторович), добавочный номер 3834 (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Слепокуров Аким Валерьевич), добавочный номер 3833 (Карташова Елена Валерьевна).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u w:val="none"/>
          <w:lang w:val="ru-RU"/>
        </w:rPr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1.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3. Оператор электронной площадки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АО «Сбербанк – АСТ»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Адрес сайта оператора электронной площадки в информационно-телекоммуникационной сети «Интернет»: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hyperlink r:id="rId14" w:tooltip="https://utp.sberbank-ast.ru." w:history="1"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  <w:t xml:space="preserve">https://utp.sberbank-ast.ru</w:t>
        </w:r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lang w:val="ru-RU"/>
          </w:rPr>
          <w:t xml:space="preserve">.</w:t>
        </w:r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</w:rPr>
        </w:r>
        <w:r>
          <w:rPr>
            <w:rStyle w:val="883"/>
            <w:color w:val="000000" w:themeColor="text1"/>
          </w:rPr>
        </w:r>
      </w:hyperlink>
      <w:r>
        <w:rPr>
          <w:color w:val="000000" w:themeColor="text1"/>
        </w:rPr>
      </w:r>
      <w:r/>
    </w:p>
    <w:p>
      <w:pPr>
        <w:ind w:left="0" w:right="0" w:firstLine="709"/>
        <w:jc w:val="both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1.4.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Официальные сайты, на которых размещена документация об аукционе: 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фициальный сайт Российской Федерации в информационно-телекоммуникационной сети «Интернет» для размещения информации о проведении торгов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https://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hyperlink r:id="rId15" w:tooltip="http://www.torgi.gov.ru" w:history="1"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u w:val="none"/>
            <w:lang w:val="en-US"/>
          </w:rPr>
          <w:t xml:space="preserve">torgi.gov.ru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(далее – официальный сайт)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en-US"/>
        </w:rPr>
        <w:t xml:space="preserve">;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официальный сайт оператора электронной площадки (АО «Сбербанк – АСТ»)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hyperlink r:id="rId16" w:tooltip="https://utp.sberbank-ast.ru" w:history="1"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  <w:t xml:space="preserve">https://utp.sberbank-ast.ru</w:t>
        </w:r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;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официальный сайт организатора аукциона (Департамент промышленности Ханты-Мансийского автономного округа – Югры) -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  <w:lang w:val="ru-RU"/>
        </w:rPr>
      </w:r>
      <w:hyperlink r:id="rId17" w:tooltip="https://depprom.admhmao.ru/deyatelnost/upravlenie-agropromyshlennogo-kompleksa/rybokhozyaystvennyy-kompleks/." w:history="1"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u w:val="none"/>
            <w:lang w:val="ru-RU"/>
          </w:rPr>
          <w:t xml:space="preserve">https://depprom.admhmao.ru/deyatelnost/upravlenie-agropromyshlennogo-kompleksa/rybokhozyaystvennyy-kompleks/</w:t>
        </w:r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u w:val="none"/>
          </w:rPr>
        </w:r>
      </w:hyperlink>
      <w:r>
        <w:rPr>
          <w:highlight w:val="none"/>
        </w:rPr>
        <w:t xml:space="preserve">.</w:t>
      </w:r>
      <w:r>
        <w:rPr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Реквизиты решения о проведении аукциона: </w:t>
      </w:r>
      <w:r>
        <w:rPr>
          <w:rFonts w:ascii="Times New Roman" w:hAnsi="Times New Roman" w:cs="Times New Roman"/>
          <w:sz w:val="28"/>
          <w:szCs w:val="28"/>
        </w:rPr>
        <w:t xml:space="preserve">приказ Департамента промышленности Ханты-Мансийского автономного округа – Югры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br/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«13» февраля 2026 года № 38-п-34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«О проведении аукциона в электронной форме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 продаже права на заключение договора пользования рыболовным участком для осуществления промышленного рыболовства во внутренних водных объектах Ханты-Мансийского автономного </w:t>
        <w:br/>
        <w:t xml:space="preserve">округа – Югры».</w:t>
      </w:r>
      <w:r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1.6.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Предмет аукциона (лот)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–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право 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заключение договора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пользования рыболовным участком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для осуществления промышленного рыболовства во внутренних водных объектах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Предметы аукциона (лоты), начальная цена лота, шаг аукциона, размер средств, вносимых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качестве обеспечения заявки на участие в аукционе (далее – задаток) определены организатором аукциона в соответствии с постановлением Правительства Российской Федерации </w:t>
        <w:br/>
        <w:t xml:space="preserve">от 31 августа 2024 года № 1206 «Об утверждении Правил организации и проведения аукци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онов в электронной форме по продаже права на заключение договора о закреплении доли квоты добычи (вылова) водных биологических ресурсов, договора пользования водными биологическими ресурсами, договора пользования рыболовным участком» на основании сведений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Тюменского филиала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Федерального государственного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бюджетного научного учреждения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«Всероссийский научно-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исследовательский институт рыбного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хозяйства и океанографии»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приведены в таблице.</w:t>
      </w:r>
      <w:r/>
    </w:p>
    <w:tbl>
      <w:tblPr>
        <w:tblStyle w:val="871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701"/>
        <w:gridCol w:w="1579"/>
        <w:gridCol w:w="1249"/>
        <w:gridCol w:w="1184"/>
        <w:gridCol w:w="1090"/>
      </w:tblGrid>
      <w:tr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№ лота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Наименование рыболовного участка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Район местонахождения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Протяженность, лощадь рыболовного участка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  <w:r/>
          </w:p>
        </w:tc>
        <w:tc>
          <w:tcPr>
            <w:tcW w:w="124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Начальная цена лота, руб.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  <w:r/>
          </w:p>
        </w:tc>
        <w:tc>
          <w:tcPr>
            <w:tcW w:w="1184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Шаг аукциона, руб.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  <w:r/>
          </w:p>
        </w:tc>
        <w:tc>
          <w:tcPr>
            <w:tcW w:w="1090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Задаток, руб.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r>
            <w:r/>
          </w:p>
        </w:tc>
      </w:tr>
      <w:tr>
        <w:trPr/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Малая Обь </w:t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(710-715 км)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Березовский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район 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/>
          </w:p>
        </w:tc>
        <w:tc>
          <w:tcPr>
            <w:tcW w:w="1579" w:type="dxa"/>
            <w:vAlign w:val="center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5 000 м,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293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2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28 838,93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1 441,95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11 535,57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2.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Панкраткина</w:t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Кондинский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район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r>
            <w:r/>
          </w:p>
        </w:tc>
        <w:tc>
          <w:tcPr>
            <w:tcW w:w="1579" w:type="dxa"/>
            <w:vAlign w:val="center"/>
            <w:vMerge w:val="restart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57 000 м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2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10 907,26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545,36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4 362,90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3.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Обь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(1625-1633 км)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Нижневартовский район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79" w:type="dxa"/>
            <w:vAlign w:val="center"/>
            <w:vMerge w:val="restart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8 000 м,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1240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249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37 134,21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1 856,71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090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14 853,68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</w:tr>
      <w:tr>
        <w:trPr/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4.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Иртыш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(180-178 км)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Ханты-Мансийский район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79" w:type="dxa"/>
            <w:vAlign w:val="center"/>
            <w:vMerge w:val="restart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2 000 м,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5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57,32 га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249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10 216,42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510,82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4 086,57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/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5.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Река </w:t>
              <w:br/>
              <w:t xml:space="preserve">Горная Обь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(816-823 км)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spacing w:line="276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Октябрьский район 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/>
          </w:p>
        </w:tc>
        <w:tc>
          <w:tcPr>
            <w:tcW w:w="1579" w:type="dxa"/>
            <w:vAlign w:val="center"/>
            <w:vMerge w:val="restart"/>
            <w:textDirection w:val="lrTb"/>
            <w:noWrap w:val="false"/>
          </w:tcPr>
          <w:p>
            <w:pPr>
              <w:pStyle w:val="885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7 000 м,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8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1102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2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39 759,40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1 987,97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10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15 903,76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</w:tbl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Картографический материал водных объектов с нанесенными границами рыболовных участков размещен в приложении к документации об аукционе.</w:t>
      </w:r>
      <w:r>
        <w:rPr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1.7.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Договор пользования рыболовным участком для осуществления промышленного рыболовства заключается с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победителем аукциона и вступает в силу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 дня его подписания сторонами и действует 20 лет.</w:t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1.8.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Заявки на учас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тие в аукционе подаются оператору электронной площадки с 00:00 «24» февраля 2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026 года до 09:00 «16» марта 2026 года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(время г.Ханты-Мансийск)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по адресу сайта оператора электронной площадки в информационно-телекоммуникационной сети «Интернет»: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hyperlink r:id="rId18" w:tooltip="http://www.sberbank-ast.ru" w:history="1"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</w:r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https://utp.sberbank-ast.ru</w:t>
        </w:r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(переход через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официальный сайт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(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https://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</w:r>
      <w:hyperlink r:id="rId19" w:tooltip="http://www.torgi.gov.ru" w:history="1">
        <w:r>
          <w:rPr>
            <w:rStyle w:val="883"/>
            <w:rFonts w:ascii="Times New Roman" w:hAnsi="Times New Roman" w:cs="Times New Roman"/>
            <w:color w:val="000000" w:themeColor="text1"/>
            <w:sz w:val="28"/>
            <w:szCs w:val="28"/>
            <w:highlight w:val="none"/>
            <w:u w:val="none"/>
            <w:lang w:val="en-US"/>
          </w:rPr>
          <w:t xml:space="preserve">torgi.gov.ru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1.9. Даты начала и окончания рассмотрения заявок на участие в аукционе комиссией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 проведению аукциона.</w:t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Дата начала рассмотрения заявок: «17» марта 2026 года.</w:t>
      </w:r>
      <w:r>
        <w:rPr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Дата окончания рассмотрения заявок: «30» марта 2026 года.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1.10.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Аукцион проводится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«31» марта 2026 года в 12:00 ч. 00 мин.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в соответствии с порядком,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установленным разделом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Правил организации и проведения аукционов в электронной форме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 продаже права на заключение договора о закреплении доли квоты добычи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(вылова) водных биологических ресурсов, договора пользования водными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биологическими ресурсами, договора пользования рыболовным участком,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утвержденных постановлением Правительства Российской Федерации от 31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августа 2024 года № 1206.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1.11.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  <w:t xml:space="preserve"> Организатор аукциона вправе принять решение об отмене проведения аукциона в сроки, установленные Гражданским кодексом Российской Федерации.</w:t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Срок отмены аукционы: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не позднее «26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» марта 2026 года.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/>
    </w:p>
    <w:p>
      <w:pPr>
        <w:pStyle w:val="879"/>
        <w:ind w:left="0" w:firstLine="0"/>
        <w:jc w:val="left"/>
        <w:spacing w:line="276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r>
      <w:r/>
    </w:p>
    <w:p>
      <w:pPr>
        <w:pStyle w:val="879"/>
        <w:ind w:left="0" w:firstLine="0"/>
        <w:jc w:val="center"/>
        <w:spacing w:line="276" w:lineRule="auto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  <w:t xml:space="preserve">2. Требования к заявителям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/>
    </w:p>
    <w:p>
      <w:pPr>
        <w:pStyle w:val="879"/>
        <w:ind w:left="0" w:firstLine="0"/>
        <w:jc w:val="center"/>
        <w:spacing w:line="276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undefined"/>
      <w:r>
        <w:rPr>
          <w:rFonts w:ascii="Times New Roman" w:hAnsi="Times New Roman" w:cs="Times New Roman"/>
          <w:sz w:val="28"/>
          <w:szCs w:val="28"/>
        </w:rPr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Для участия в аукционе заявитель должен соответствовать следующим требованиям: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bookmarkStart w:id="178" w:name="P178"/>
      <w:r>
        <w:rPr>
          <w:rFonts w:ascii="Times New Roman" w:hAnsi="Times New Roman" w:cs="Times New Roman"/>
          <w:sz w:val="28"/>
          <w:szCs w:val="28"/>
        </w:rPr>
      </w:r>
      <w:bookmarkEnd w:id="178"/>
      <w:r>
        <w:rPr>
          <w:rFonts w:ascii="Times New Roman" w:hAnsi="Times New Roman" w:cs="Times New Roman"/>
          <w:sz w:val="28"/>
          <w:szCs w:val="28"/>
        </w:rPr>
        <w:t xml:space="preserve">а) в отношении заявителя не проводятся процедуры банкротства и ликвидации;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б) деятельность заявителя не приостановлена в порядке, предусмотренном </w:t>
      </w:r>
      <w:hyperlink r:id="rId20" w:tooltip="&quot;Кодекс Российской Федерации об административных правонарушениях&quot; от 30.12.2001 N 195-ФЗ (ред. от 03.02.2025) (с изм. и доп., вступ. в силу с 01.03.2025) {КонсультантПлюс}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 об административных правонарушениях, на день подачи заявки на участие в аукционе;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bookmarkStart w:id="180" w:name="P180"/>
      <w:r>
        <w:rPr>
          <w:rFonts w:ascii="Times New Roman" w:hAnsi="Times New Roman" w:cs="Times New Roman"/>
          <w:sz w:val="28"/>
          <w:szCs w:val="28"/>
        </w:rPr>
      </w:r>
      <w:bookmarkEnd w:id="180"/>
      <w:r>
        <w:rPr>
          <w:rFonts w:ascii="Times New Roman" w:hAnsi="Times New Roman" w:cs="Times New Roman"/>
          <w:sz w:val="28"/>
          <w:szCs w:val="28"/>
        </w:rPr>
        <w:t xml:space="preserve">в) у заявителя отсутствует задолженность по начисленным налогам, сборам и иным обязательным платежам в соответствующие бюджеты или государственные внебюджетные фонды </w:t>
      </w:r>
      <w:r>
        <w:rPr>
          <w:rFonts w:ascii="Times New Roman" w:hAnsi="Times New Roman" w:cs="Times New Roman"/>
          <w:sz w:val="28"/>
          <w:szCs w:val="28"/>
        </w:rPr>
        <w:t xml:space="preserve">за последний отчетный период, размер которой превышает 25 процентов балансовой стоимости активов заявителя (по данным бухгалтерской отчетности за последний отчетный период). В случае наличия задолженности в размере, превышающем 25 процентов указанной стоим</w:t>
      </w:r>
      <w:r>
        <w:rPr>
          <w:rFonts w:ascii="Times New Roman" w:hAnsi="Times New Roman" w:cs="Times New Roman"/>
          <w:sz w:val="28"/>
          <w:szCs w:val="28"/>
        </w:rPr>
        <w:t xml:space="preserve">ости, заявитель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на день подачи заявки на участие в аукционе не принято;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г) заявитель не находится под контролем иностранн</w:t>
      </w:r>
      <w:r>
        <w:rPr>
          <w:rFonts w:ascii="Times New Roman" w:hAnsi="Times New Roman" w:cs="Times New Roman"/>
          <w:sz w:val="28"/>
          <w:szCs w:val="28"/>
        </w:rPr>
        <w:t xml:space="preserve">ого инвестора или группы лиц, в которую входит иностранный инвестор, за исключением случая, если контроль иностранного инвестора или группы лиц, в которую входит иностранный инвестор, в отношении заявителя установлен в порядке, предусмотренном Федеральным </w:t>
      </w:r>
      <w:hyperlink r:id="rId21" w:tooltip="Федеральный закон от 29.04.2008 N 57-ФЗ (ред. от 30.11.2024) &quot;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&quot; (с изм. и доп., вступ. в силу с 01.03.2025) {КонсультантПлюс}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государства», - для юридического лица;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</w:r>
      <w:r>
        <w:rPr>
          <w:rFonts w:ascii="Times New Roman" w:hAnsi="Times New Roman" w:cs="Times New Roman"/>
          <w:sz w:val="28"/>
          <w:szCs w:val="28"/>
          <w:highlight w:val="green"/>
        </w:rPr>
      </w:r>
      <w:bookmarkStart w:id="182" w:name="P182"/>
      <w:r>
        <w:rPr>
          <w:rFonts w:ascii="Times New Roman" w:hAnsi="Times New Roman" w:cs="Times New Roman"/>
          <w:sz w:val="28"/>
          <w:szCs w:val="28"/>
          <w:highlight w:val="green"/>
        </w:rPr>
      </w:r>
      <w:bookmarkEnd w:id="182"/>
      <w:r>
        <w:rPr>
          <w:rFonts w:ascii="Times New Roman" w:hAnsi="Times New Roman" w:cs="Times New Roman"/>
          <w:sz w:val="28"/>
          <w:szCs w:val="28"/>
          <w:highlight w:val="none"/>
        </w:rPr>
        <w:t xml:space="preserve">д) заявитель отсутствует в реестре недобросовестных участников аукционов по продаже права на заключение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договоров о закреплении доли квоты добычи (вылова) водных биоресурсов, договоров о закреплении и предоставлении доли квоты добычи (вы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лова) крабов, предоставленной в инвестиционных целях в области рыболовства, для осуществления промышленного рыболовства и (или) прибрежного рыболовства, договоров пользования водными биоресурсами, договоров пользования рыболовным участком, предусмотренном </w:t>
      </w:r>
      <w:hyperlink r:id="rId22" w:tooltip="Федеральный закон от 20.12.2004 N 166-ФЗ (ред. от 30.11.2024) &quot;О рыболовстве и сохранении водных биологических ресурсов&quot; {КонсультантПлюс}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none"/>
          </w:rPr>
          <w:t xml:space="preserve">статьей 38.3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Закона о рыболовстве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(далее – реестр недобросовестных участников аукциона)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highlight w:val="green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е) заявитель не вправе претендовать на заключение договора пользования рыболовным участком,</w:t>
      </w:r>
      <w:r>
        <w:rPr>
          <w:rFonts w:ascii="Times New Roman" w:hAnsi="Times New Roman" w:cs="Times New Roman"/>
          <w:sz w:val="28"/>
          <w:szCs w:val="28"/>
        </w:rPr>
        <w:t xml:space="preserve"> если в результате его заключения совокупное количество либо суммарная площадь рыболовных участков, сформированных для осуществления промышленного рыболовства, передаваемых в пользование заявителю (группе лиц, в которую входит заявитель) и распол</w:t>
      </w:r>
      <w:r>
        <w:rPr>
          <w:rFonts w:ascii="Times New Roman" w:hAnsi="Times New Roman" w:cs="Times New Roman"/>
          <w:sz w:val="28"/>
          <w:szCs w:val="28"/>
        </w:rPr>
        <w:t xml:space="preserve">оженных на территории одного муниципального образования субъекта Российской Федерации, составят более 35 процентов соответственно общего количества либо суммарной площади предоставленных в пользование для осуществления промышленного рыб</w:t>
      </w:r>
      <w:r>
        <w:rPr>
          <w:rFonts w:ascii="Times New Roman" w:hAnsi="Times New Roman" w:cs="Times New Roman"/>
          <w:sz w:val="28"/>
          <w:szCs w:val="28"/>
        </w:rPr>
        <w:t xml:space="preserve">ол</w:t>
      </w:r>
      <w:r>
        <w:rPr>
          <w:rFonts w:ascii="Times New Roman" w:hAnsi="Times New Roman" w:cs="Times New Roman"/>
          <w:sz w:val="28"/>
          <w:szCs w:val="28"/>
        </w:rPr>
        <w:t xml:space="preserve">овства рыбопромысловых участков, сформированных в установленном порядке до 31 декабря 2018 года, и рыболовных участков для осуществления промышленного рыболовства, расположенных на территории одного муниципального образования субъекта Российской Федерации.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79"/>
        <w:ind w:left="0" w:right="0" w:firstLine="709"/>
        <w:jc w:val="center"/>
        <w:spacing w:line="276" w:lineRule="auto"/>
        <w:rPr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3. Порядок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подачи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заявок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на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участие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аукционе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center"/>
        <w:spacing w:line="276" w:lineRule="auto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3.1. Для участия в аукционе заявитель подает заявку </w:t>
        <w:br/>
        <w:t xml:space="preserve">(по рекомендуемой форме, прилагаемой к документации об аукционе) на участие в аукционе оператору электронной площадки в сроки, указанные в пункте 1.8 документации об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аукциона,</w:t>
      </w:r>
      <w:r>
        <w:rPr>
          <w:rFonts w:ascii="Times New Roman" w:hAnsi="Times New Roman" w:cs="Times New Roman"/>
          <w:spacing w:val="-3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 w:cs="Times New Roman"/>
          <w:spacing w:val="-2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обеспечивает</w:t>
      </w:r>
      <w:r>
        <w:rPr>
          <w:rFonts w:ascii="Times New Roman" w:hAnsi="Times New Roman" w:cs="Times New Roman"/>
          <w:spacing w:val="-3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наличие</w:t>
      </w:r>
      <w:r>
        <w:rPr>
          <w:rFonts w:ascii="Times New Roman" w:hAnsi="Times New Roman" w:cs="Times New Roman"/>
          <w:spacing w:val="-3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</w:t>
      </w:r>
      <w:r>
        <w:rPr>
          <w:rFonts w:ascii="Times New Roman" w:hAnsi="Times New Roman" w:cs="Times New Roman"/>
          <w:spacing w:val="-3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банковском</w:t>
      </w:r>
      <w:r>
        <w:rPr>
          <w:rFonts w:ascii="Times New Roman" w:hAnsi="Times New Roman" w:cs="Times New Roman"/>
          <w:spacing w:val="-3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счете,</w:t>
      </w:r>
      <w:r>
        <w:rPr>
          <w:rFonts w:ascii="Times New Roman" w:hAnsi="Times New Roman" w:cs="Times New Roman"/>
          <w:spacing w:val="-3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открытом</w:t>
      </w:r>
      <w:r>
        <w:rPr>
          <w:rFonts w:ascii="Times New Roman" w:hAnsi="Times New Roman" w:cs="Times New Roman"/>
          <w:spacing w:val="-3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этим</w:t>
      </w:r>
      <w:r>
        <w:rPr>
          <w:rFonts w:ascii="Times New Roman" w:hAnsi="Times New Roman" w:cs="Times New Roman"/>
          <w:spacing w:val="-3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заявителем</w:t>
      </w:r>
      <w:r>
        <w:rPr>
          <w:rFonts w:ascii="Times New Roman" w:hAnsi="Times New Roman" w:cs="Times New Roman"/>
          <w:spacing w:val="-3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банке, 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  <w:highlight w:val="none"/>
        </w:rPr>
        <w:t xml:space="preserve">включенном в перечень банков в 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  <w:highlight w:val="none"/>
        </w:rPr>
        <w:t xml:space="preserve">соответствии 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  <w:highlight w:val="none"/>
        </w:rPr>
        <w:t xml:space="preserve">с распоряжением Правительства Российской Федерации от 13 июля 2018 года № 1451-р «Об утверждении перечня банков в соответствии с подпунктом «а» пункта 1 части 5 статьи 44 Федерального закона от 5 апреля 2013 года № 44-ФЗ»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(далее - специальный счет)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денежных средств в размере задатка, указанном организатором аукциона в извещении о проведении аукциона.</w:t>
      </w:r>
      <w:r>
        <w:rPr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3.2. В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указываются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сведения: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а) сведения о заявителе: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полное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(сокращенное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наличии)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наименование,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основной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номер, место нахождения, телефон, адрес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почты, идентификационный номер налогоплательщика - для юридического лица;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фамилия, имя, отчество (при наличии), сведения о месте жительства, телефон, адрес электронной почты, идентификационный номер налогоплательщика - для индивидуального предпринимателя;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б)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сведения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заявителя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требованиям,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указанным</w:t>
      </w:r>
      <w:r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подпунктах </w:t>
      </w:r>
      <w:r>
        <w:rPr>
          <w:rFonts w:ascii="Times New Roman" w:hAnsi="Times New Roman" w:cs="Times New Roman"/>
          <w:sz w:val="28"/>
          <w:szCs w:val="28"/>
        </w:rPr>
        <w:t xml:space="preserve">«а»-«в»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документации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аукционе.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в) сведения о нахождении (ненахождении) заявителя под контролем иностранного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инвестора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группы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лиц,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которую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входит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иностранный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инвестор, - для юридического лица;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г) сведения о решении Федеральной антимонопольной службы, оформленном на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основании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Правительственной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комиссии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контролю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осуществлением иностранных инвестиций в Российской Федерации (далее – Правительственная комиссия),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юридического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случае,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иностранного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инвестора или группы лиц, в которую входит иностранный инвестор, в отношении тако</w:t>
      </w:r>
      <w:r>
        <w:rPr>
          <w:rFonts w:ascii="Times New Roman" w:hAnsi="Times New Roman" w:cs="Times New Roman"/>
          <w:sz w:val="28"/>
          <w:szCs w:val="28"/>
        </w:rPr>
        <w:t xml:space="preserve">го юридического лица (заявителя) установлен в порядке, предусмотренном Федеральным законом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д) сведения о нахождении (ненахождении) заявителя в реестре недобросовестных участников аукционов.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3.3. Информация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сведения, предусмотренные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подпунктами «а» и «д» пункта 3.2</w:t>
      </w:r>
      <w:r>
        <w:rPr>
          <w:rFonts w:ascii="Times New Roman" w:hAnsi="Times New Roman" w:cs="Times New Roman"/>
          <w:sz w:val="28"/>
          <w:szCs w:val="28"/>
        </w:rPr>
        <w:t xml:space="preserve"> документации об аукционе, включаются в заявку на участие в аукционе посредством информационного взаимодействия оператора электронной площадки с официальным сайтом.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Информация и сведения, предусмотренные подпунктами «б» - «г» пункта 3.2. документации об аукционе, включаются заявителем в заявку на участие в аукционе самостоятельно при подаче заявки оператору электронной площадки.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информацию и (или) сведения, которые предусмотрены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подпунктами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«а»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«д»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3.2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аукционе,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такие изменения не применяются к поданным до внесения таких изменений заявкам на участие в аукционе.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 необходимости внесения изменений в информацию и (или) сведения, которые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содержатся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заявке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участие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аукционе,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заявителю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осуществить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отзыв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такой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подать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новую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заявку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</w:t>
      </w:r>
      <w:r>
        <w:rPr>
          <w:rFonts w:ascii="Times New Roman" w:hAnsi="Times New Roman" w:cs="Times New Roman"/>
          <w:spacing w:val="-9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 документации об аукционе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3.4. К заявке на участие в аукционе прилагается документ, подтверждающий полномочия лица на осуществление действий от имени заявителя (в случае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необходимости).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3.5. Заявка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на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участие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аукционе,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документы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сведения,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которые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представлены </w:t>
      </w:r>
      <w:r>
        <w:rPr>
          <w:rFonts w:ascii="Times New Roman" w:hAnsi="Times New Roman" w:cs="Times New Roman"/>
          <w:sz w:val="28"/>
          <w:szCs w:val="28"/>
        </w:rPr>
        <w:t xml:space="preserve">заявителем в составе заявки в электронной форме, подписываются усиленной квалифицированной электронной подписью заявителя.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Заявитель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подачей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сведений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документов,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которые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z w:val="28"/>
          <w:szCs w:val="28"/>
        </w:rPr>
        <w:t xml:space="preserve">3.2 и 3.4 документации об аукционе, подтверждает свое соответствие требованиям, установленным пунктом 2 документации об аукционе.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3.6. Требовать от заявителя представления документов, не предусмотренных пунктами 3.2 и 3.4 документации об аукционе, не допус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кается.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3.7. Заявитель впр</w:t>
      </w:r>
      <w:r>
        <w:rPr>
          <w:rFonts w:ascii="Times New Roman" w:hAnsi="Times New Roman" w:cs="Times New Roman"/>
          <w:sz w:val="28"/>
          <w:szCs w:val="28"/>
        </w:rPr>
        <w:t xml:space="preserve">аве по</w:t>
      </w:r>
      <w:r>
        <w:rPr>
          <w:rFonts w:ascii="Times New Roman" w:hAnsi="Times New Roman" w:cs="Times New Roman"/>
          <w:sz w:val="28"/>
          <w:szCs w:val="28"/>
        </w:rPr>
        <w:t xml:space="preserve">дать не более одной заявки на участие в аукционе в отношении каждого предмета аукциона (лота). Представление такой заявки подтверждает согласие заявителя выполнять обязательства в соответствии с извещением о проведении аукциона и документацией об аукционе.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3.8. Заявка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участие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аукционе,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поступившая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срок,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указанный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извещении о проведении аукциона, регистрируется оператором электронной площадки с указанием даты и времени ее получения.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не позднее 10 минут с момента получения заявки направляет в банк, в котором открыт специальный счет, информацию о реквизитах такого счета и размере задатка.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Банк не позднее 40 минут с момента получения информации от оператора электронной площадки осуществляет блокирование денежных средств на специальном счете в размере задатка и направляет информацию об осуществленном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блокировании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оператору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электронной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площадки.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случае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отсутствия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специальном </w:t>
      </w:r>
      <w:r>
        <w:rPr>
          <w:rFonts w:ascii="Times New Roman" w:hAnsi="Times New Roman" w:cs="Times New Roman"/>
          <w:sz w:val="28"/>
          <w:szCs w:val="28"/>
        </w:rPr>
        <w:t xml:space="preserve">счете незаблокированных денежных средств в размере задатка банк такое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блокирование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осуществляет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указанный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срок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направляет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оператору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электронной </w:t>
      </w:r>
      <w:r>
        <w:rPr>
          <w:rFonts w:ascii="Times New Roman" w:hAnsi="Times New Roman" w:cs="Times New Roman"/>
          <w:sz w:val="28"/>
          <w:szCs w:val="28"/>
        </w:rPr>
        <w:t xml:space="preserve">площадки информацию об отсутствии на специальном счете денежных средств в размере задатка.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3.9. Оператор электронной площадки обязан обеспечить конфиденциальность информации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заявителях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участниках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аукциона,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направивших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предусмотренные пунктами 3.2 и 3.4 документации об аукционе информацию и документы, и содержания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таких</w:t>
      </w:r>
      <w:r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документов</w:t>
      </w:r>
      <w:r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направления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организатору</w:t>
      </w:r>
      <w:r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аукциона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заявок</w:t>
      </w:r>
      <w:r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участие в аукционе, а также бесперебойное функционирование электронной площадки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доступ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ней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организатора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аукциона,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заявителей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участников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аукциона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течение всего срока проведения аукциона.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3.10. Заявка на участие в аукционе возвращается оператором электронной площадки в течение одного часа с момента подачи в следующих случаях: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а) подачи заявителем 2-й заявки в отношении одного и того же предмета аукциона (лота) при условии, что поданная ранее заявка таким заявителем не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отозвана;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б)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подачи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заявки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истечении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подачи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заявок;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в)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получение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банка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информации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отсутствии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специальном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счете денежных средств в размере задатка;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г)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получение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заявки,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подписанной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усиленной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квалифицированной электронной подписью заявителя.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left="0" w:right="0" w:firstLine="709"/>
        <w:jc w:val="center"/>
        <w:spacing w:line="276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val="en-US"/>
        </w:rPr>
        <w:t xml:space="preserve">4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. Порядок отзыва заявок</w:t>
      </w:r>
      <w:r>
        <w:rPr>
          <w:rFonts w:ascii="Times New Roman" w:hAnsi="Times New Roman" w:cs="Times New Roman"/>
          <w:b/>
          <w:bCs/>
          <w:strike/>
          <w:sz w:val="28"/>
          <w:szCs w:val="28"/>
          <w:highlight w:val="green"/>
        </w:rPr>
      </w:r>
      <w:r/>
    </w:p>
    <w:p>
      <w:pPr>
        <w:pStyle w:val="879"/>
        <w:ind w:left="0" w:right="0" w:firstLine="709"/>
        <w:jc w:val="center"/>
        <w:spacing w:line="276" w:lineRule="auto"/>
        <w:rPr>
          <w:rFonts w:ascii="Times New Roman" w:hAnsi="Times New Roman" w:cs="Times New Roman"/>
          <w:b/>
          <w:bCs/>
          <w:strike/>
          <w:sz w:val="28"/>
          <w:szCs w:val="28"/>
          <w:highlight w:val="green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1" w:after="0" w:line="276" w:lineRule="auto"/>
        <w:tabs>
          <w:tab w:val="left" w:pos="137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Заявитель,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подавший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заявку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аукционе,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вправе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отозвать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заявку в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любое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время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окончания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подачи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таких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заявок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подать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новую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заявку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(взамен отозванной) до окончания срока подачи таких заявок.</w:t>
      </w:r>
      <w:r/>
    </w:p>
    <w:p>
      <w:pPr>
        <w:pStyle w:val="888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в течение одного часа с момента отзыва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заявки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на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участие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аукционе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заявителем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направляет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банк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информацию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реквизитах </w:t>
      </w:r>
      <w:r>
        <w:rPr>
          <w:rFonts w:ascii="Times New Roman" w:hAnsi="Times New Roman" w:cs="Times New Roman"/>
          <w:sz w:val="28"/>
          <w:szCs w:val="28"/>
        </w:rPr>
        <w:t xml:space="preserve">специального счета такого заявителя в целях прекращения блокирования денежных</w:t>
      </w:r>
      <w:r>
        <w:rPr>
          <w:rFonts w:ascii="Times New Roman" w:hAnsi="Times New Roman" w:cs="Times New Roman"/>
          <w:sz w:val="28"/>
          <w:szCs w:val="28"/>
        </w:rPr>
        <w:t xml:space="preserve"> средств в размере задатка.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88"/>
        <w:ind w:left="0" w:right="0" w:firstLine="709"/>
        <w:jc w:val="both"/>
        <w:spacing w:line="276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Банк не позднее одного часа с момента получения инфор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мации от оператора электронной площадки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площадки.</w:t>
      </w:r>
      <w:r>
        <w:rPr>
          <w:highlight w:val="none"/>
        </w:rPr>
      </w:r>
      <w:r/>
    </w:p>
    <w:p>
      <w:pPr>
        <w:pStyle w:val="888"/>
        <w:ind w:left="0" w:right="0" w:firstLine="0"/>
        <w:jc w:val="left"/>
        <w:spacing w:line="276" w:lineRule="auto"/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/>
    </w:p>
    <w:p>
      <w:pPr>
        <w:pStyle w:val="888"/>
        <w:ind w:left="0" w:right="0" w:firstLine="709"/>
        <w:jc w:val="center"/>
        <w:spacing w:line="276" w:lineRule="auto"/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  <w:lang w:val="en-US"/>
        </w:rPr>
        <w:t xml:space="preserve">5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  <w:t xml:space="preserve">. Срок, в течении которого должен быть заключен договор пользования рыболовным участком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/>
    </w:p>
    <w:p>
      <w:pPr>
        <w:pStyle w:val="888"/>
        <w:ind w:left="0" w:right="0" w:firstLine="709"/>
        <w:jc w:val="center"/>
        <w:spacing w:line="276" w:lineRule="auto"/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 w:line="276" w:lineRule="auto"/>
        <w:tabs>
          <w:tab w:val="left" w:pos="1507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Заключение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договора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пользования рыболовным участком </w:t>
      </w:r>
      <w:r>
        <w:rPr>
          <w:rFonts w:ascii="Times New Roman" w:hAnsi="Times New Roman" w:cs="Times New Roman"/>
          <w:sz w:val="28"/>
          <w:szCs w:val="28"/>
        </w:rPr>
        <w:t xml:space="preserve">(далее – договор) по результатам аукциона с победителем аукциона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организатором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аукциона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электронной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форме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программно-аппаратных средств электронной площадки с использованием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официального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сайта.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Заключение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договора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по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результатам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аукциона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или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случае,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если</w:t>
      </w:r>
      <w:r>
        <w:rPr>
          <w:rFonts w:ascii="Times New Roman" w:hAnsi="Times New Roman" w:cs="Times New Roman"/>
          <w:sz w:val="28"/>
          <w:szCs w:val="28"/>
        </w:rPr>
        <w:t xml:space="preserve"> аукцион признан не состоявшимся, не допускается ранее чем через 10 дней со дня размещения на официальном сайте информации о результатах аукциона или о признании такого аукциона несостоявшимся.</w:t>
      </w:r>
      <w:r/>
    </w:p>
    <w:p>
      <w:pPr>
        <w:ind w:left="0" w:right="0" w:firstLine="709"/>
        <w:jc w:val="both"/>
        <w:spacing w:before="0" w:after="0" w:line="276" w:lineRule="auto"/>
        <w:tabs>
          <w:tab w:val="left" w:pos="1507" w:leader="none"/>
        </w:tabs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в течение 3 часов со дня размещения протокола аукциона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и электронной площадке уведомляет победителя аукциона о необходимости внесения доплаты (разницы между задатком и окончательной ценой предмета аукциона(лота)) на счет организатора аукциона:</w:t>
      </w:r>
      <w:r>
        <w:rPr>
          <w:rFonts w:ascii="Times New Roman" w:hAnsi="Times New Roman" w:cs="Times New Roman"/>
        </w:rPr>
      </w:r>
      <w:r/>
    </w:p>
    <w:p>
      <w:pPr>
        <w:ind w:left="0" w:right="0" w:firstLine="709"/>
        <w:jc w:val="both"/>
        <w:spacing w:before="0" w:after="0" w:line="276" w:lineRule="auto"/>
        <w:rPr>
          <w:rFonts w:ascii="Times New Roman" w:hAnsi="Times New Roman" w:eastAsia="Times New Roman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lang w:val="en-US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 xml:space="preserve">Победитель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аукциона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обязан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течение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рабочих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дней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дня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получения от оператора электронной площадки уведомления,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указанного в пункте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4.2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докум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ентации об аукционе,</w:t>
      </w:r>
      <w:r>
        <w:rPr>
          <w:rFonts w:ascii="Times New Roman" w:hAnsi="Times New Roman" w:cs="Times New Roman"/>
          <w:sz w:val="28"/>
          <w:szCs w:val="28"/>
        </w:rPr>
        <w:t xml:space="preserve"> внести доплату на счет организатора аукциона.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 w:line="276" w:lineRule="auto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.4. Организатор аукциона в течение 5 рабочих дней со дня пост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упления доплаты на счет организатора аукциона формирует в электронной форме посредством программно-аппаратных средств электронной площадки с использованием официального сайта и направляет на подписание победителю аукциона без своей подписи проект договора.</w:t>
      </w:r>
      <w:r>
        <w:rPr>
          <w:highlight w:val="none"/>
        </w:rPr>
      </w:r>
      <w:r/>
    </w:p>
    <w:p>
      <w:pPr>
        <w:ind w:left="0" w:right="0" w:firstLine="709"/>
        <w:jc w:val="both"/>
        <w:spacing w:before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.5. Победитель аукциона, с которым заключается договор, в электронной форме посредством программно-аппаратных средств электронной площадки с исп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ользованием</w:t>
      </w:r>
      <w:r>
        <w:rPr>
          <w:rFonts w:ascii="Times New Roman" w:hAnsi="Times New Roman" w:cs="Times New Roman"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официального</w:t>
      </w:r>
      <w:r>
        <w:rPr>
          <w:rFonts w:ascii="Times New Roman" w:hAnsi="Times New Roman" w:cs="Times New Roman"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сайта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 w:cs="Times New Roman"/>
          <w:spacing w:val="-9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не</w:t>
      </w:r>
      <w:r>
        <w:rPr>
          <w:rFonts w:ascii="Times New Roman" w:hAnsi="Times New Roman" w:cs="Times New Roman"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позднее</w:t>
      </w:r>
      <w:r>
        <w:rPr>
          <w:rFonts w:ascii="Times New Roman" w:hAnsi="Times New Roman" w:cs="Times New Roman"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5</w:t>
      </w:r>
      <w:r>
        <w:rPr>
          <w:rFonts w:ascii="Times New Roman" w:hAnsi="Times New Roman" w:cs="Times New Roman"/>
          <w:spacing w:val="-8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рабочих</w:t>
      </w:r>
      <w:r>
        <w:rPr>
          <w:rFonts w:ascii="Times New Roman" w:hAnsi="Times New Roman" w:cs="Times New Roman"/>
          <w:spacing w:val="-1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дней,</w:t>
      </w:r>
      <w:r>
        <w:rPr>
          <w:rFonts w:ascii="Times New Roman" w:hAnsi="Times New Roman" w:cs="Times New Roman"/>
          <w:spacing w:val="-9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следующих</w:t>
      </w:r>
      <w:r>
        <w:rPr>
          <w:rFonts w:ascii="Times New Roman" w:hAnsi="Times New Roman" w:cs="Times New Roman"/>
          <w:spacing w:val="-7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</w:t>
      </w:r>
      <w:r>
        <w:rPr>
          <w:rFonts w:ascii="Times New Roman" w:hAnsi="Times New Roman" w:cs="Times New Roman"/>
          <w:spacing w:val="-9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днем направления организатором аукциона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соответствии с пунктом 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окументации об аукционе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договора, подписывает усиленной квалифицированной электронной подписью лица, имеющего право действовать от имени победителя аукциона, договор.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709"/>
        <w:jc w:val="both"/>
        <w:spacing w:before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.6. Организатор аукциона не позднее 5 рабочих дней, следующих за подписанием победителем аукциона догово</w:t>
      </w:r>
      <w:r>
        <w:rPr>
          <w:rFonts w:ascii="Times New Roman" w:hAnsi="Times New Roman" w:cs="Times New Roman"/>
          <w:sz w:val="28"/>
          <w:szCs w:val="28"/>
        </w:rPr>
        <w:t xml:space="preserve">ра в электронной форме посредством программно-аппаратных средств электронной площадки с использованием официального сайта подписывает договор усиленной квалифицированной электронной подписью лица, имеющего право действовать от имени организатора аукциона.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/>
    </w:p>
    <w:p>
      <w:pPr>
        <w:pStyle w:val="888"/>
        <w:ind w:left="0" w:right="0" w:firstLine="709"/>
        <w:jc w:val="both"/>
        <w:spacing w:before="1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.7.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Договор считается заключенным в день его подписания организатором аукциона в электронной форме посредством программно-аппаратных средств электронной площадки с использованием официального сайта.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888"/>
        <w:ind w:left="0" w:right="0" w:firstLine="709"/>
        <w:jc w:val="both"/>
        <w:spacing w:before="1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.8.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Внесение изменений в заключенный Договор осуществляется в электронной форме посредством программно-аппаратных средств электронной площадки с использованием официального сайта.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888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pacing w:val="-2"/>
          <w:sz w:val="28"/>
          <w:szCs w:val="28"/>
          <w:highlight w:val="none"/>
          <w:lang w:val="en-US"/>
        </w:rPr>
        <w:t xml:space="preserve">5</w:t>
      </w:r>
      <w:r>
        <w:rPr>
          <w:rFonts w:ascii="Times New Roman" w:hAnsi="Times New Roman" w:cs="Times New Roman"/>
          <w:spacing w:val="-2"/>
          <w:sz w:val="28"/>
          <w:szCs w:val="28"/>
          <w:highlight w:val="none"/>
        </w:rPr>
        <w:t xml:space="preserve">.9.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Организатор аукциона</w:t>
      </w:r>
      <w:r>
        <w:rPr>
          <w:rFonts w:ascii="Times New Roman" w:hAnsi="Times New Roman" w:cs="Times New Roman"/>
          <w:spacing w:val="-8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spacing w:val="-1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течение</w:t>
      </w:r>
      <w:r>
        <w:rPr>
          <w:rFonts w:ascii="Times New Roman" w:hAnsi="Times New Roman" w:cs="Times New Roman"/>
          <w:spacing w:val="-1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pacing w:val="-1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рабочих</w:t>
      </w:r>
      <w:r>
        <w:rPr>
          <w:rFonts w:ascii="Times New Roman" w:hAnsi="Times New Roman" w:cs="Times New Roman"/>
          <w:spacing w:val="-1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дней</w:t>
      </w:r>
      <w:r>
        <w:rPr>
          <w:rFonts w:ascii="Times New Roman" w:hAnsi="Times New Roman" w:cs="Times New Roman"/>
          <w:spacing w:val="-1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со</w:t>
      </w:r>
      <w:r>
        <w:rPr>
          <w:rFonts w:ascii="Times New Roman" w:hAnsi="Times New Roman" w:cs="Times New Roman"/>
          <w:spacing w:val="-1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дня</w:t>
      </w:r>
      <w:r>
        <w:rPr>
          <w:rFonts w:ascii="Times New Roman" w:hAnsi="Times New Roman" w:cs="Times New Roman"/>
          <w:spacing w:val="-1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заключения</w:t>
      </w:r>
      <w:r>
        <w:rPr>
          <w:rFonts w:ascii="Times New Roman" w:hAnsi="Times New Roman" w:cs="Times New Roman"/>
          <w:spacing w:val="-1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Договора</w:t>
      </w:r>
      <w:r>
        <w:rPr>
          <w:rFonts w:ascii="Times New Roman" w:hAnsi="Times New Roman" w:cs="Times New Roman"/>
          <w:spacing w:val="-1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размещает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официальном сайте информацию о таком заключении и вносит соответствующие сведения в государственный рыбохозяйственный реестр.</w:t>
      </w:r>
      <w:r>
        <w:rPr>
          <w:highlight w:val="white"/>
        </w:rPr>
      </w:r>
      <w:r/>
    </w:p>
    <w:p>
      <w:pPr>
        <w:pStyle w:val="888"/>
        <w:ind w:left="0" w:right="0" w:firstLine="709"/>
        <w:jc w:val="both"/>
        <w:spacing w:line="276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</w:r>
      <w:r/>
    </w:p>
    <w:p>
      <w:pPr>
        <w:pStyle w:val="888"/>
        <w:ind w:left="0" w:right="0" w:firstLine="709"/>
        <w:jc w:val="center"/>
        <w:spacing w:line="276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val="en-US"/>
        </w:rPr>
        <w:t xml:space="preserve">6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. Порядок перевода задатка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pStyle w:val="888"/>
        <w:ind w:left="0" w:right="0" w:firstLine="709"/>
        <w:jc w:val="both"/>
        <w:spacing w:line="276" w:lineRule="auto"/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Внесение задатка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, указанного в пункте 1.6 документации об аукционе, осуществляется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заявителем на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специальный счет.</w:t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В целях блокирования и прекращения блокирования денежных средств на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специальном счете взаимодействие банков с оператором электронной площадки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осуществляется в соответствии с положениями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Оператор электронной площадки в течение одного часа с момента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размещения организатором аукциона на электронной площадке протокола</w:t>
      </w:r>
      <w:r>
        <w:rPr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 результатами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ау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кциона направляет в банк информацию:</w:t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 реквизитах специальных счетов участников аукциона, не победивших в аукционе, в целях прекращения блокирования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денежных средств в размере задатка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;</w:t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 реквизитах счета организатора аукциона в целях перевода задатка победителя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аукциона.</w:t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Банк не позднее одного часа с момента получения от оператора электронной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площадки указанной информации, прекращает блокирование денежных средств на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специальном счете, реквизиты которого поступили от оператора электронной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площадки, и направляет информацию о прекращении такого блокирования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оператору электронной площадки и (или) осуществляет перевод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заблокированных денежных средств в размере задатка на счет организатора аукциона.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/>
    </w:p>
    <w:p>
      <w:pPr>
        <w:pStyle w:val="888"/>
        <w:ind w:left="0" w:right="0" w:firstLine="709"/>
        <w:jc w:val="center"/>
        <w:spacing w:line="276" w:lineRule="auto"/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  <w:lang w:val="en-US"/>
        </w:rPr>
        <w:t xml:space="preserve">7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  <w:t xml:space="preserve">. Порядок и сроки перечисления доплаты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/>
    </w:p>
    <w:p>
      <w:pPr>
        <w:pStyle w:val="888"/>
        <w:ind w:left="0" w:right="0" w:firstLine="709"/>
        <w:jc w:val="center"/>
        <w:spacing w:line="276" w:lineRule="auto"/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pacing w:val="-7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Победитель аукциона в течение 10 рабочих дней со дня получения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от оператора электронной площадки уведомления обязан внести доплату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(разница между задатком и окончательной стоимостью предмета аукциона) на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счет организатора аукциона.</w:t>
      </w:r>
      <w:r>
        <w:rPr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Счет организатора аукциона для перечисления банком задатков победителей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аукциона, перечисления победителями аукциона доплат и перечисления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участником аукциона, сделавшим предпоследнее предложение о цене предмета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аукциона (лота), оплаты: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</w:t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Наименование получателя средств: УФК по Ханты-Мансийскому автономному округу – Югре (Департамент промышленности Ханты-Мансийского автономного округа – Югры, л/с 04871D91560)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Наименование банка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ОКЦ № 8 УГУ Банка России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//УФК по Хан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ты-М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ансийскому автономному округу – Югре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г.Ханты-Мансийск</w:t>
      </w:r>
      <w:r>
        <w:rPr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Номер счета получателя средств (номер казначейского счета) 03100643000000018700 </w:t>
      </w:r>
      <w:r>
        <w:rPr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Банковский счет, входящий в состав единого казначейского счета (ЕКС) 40102810245370000007</w:t>
      </w:r>
      <w:r>
        <w:rPr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БИК 007162163</w:t>
      </w:r>
      <w:r>
        <w:rPr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ИНН 8601063930 </w:t>
      </w:r>
      <w:r>
        <w:rPr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КПП 860101001  </w:t>
      </w:r>
      <w:r>
        <w:rPr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ОКТМО 71871000</w:t>
      </w:r>
      <w:r>
        <w:rPr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КБК 076 1 12 06011 01 6000 120</w:t>
      </w:r>
      <w:r>
        <w:rPr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 w:eastAsia="Times New Roman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Назначение платежа: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07611206011016000120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Плата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а заключение договора пользования рыболовным участком по результатам аукциона </w:t>
        <w:br/>
        <w:t xml:space="preserve">№ ____ по продаже права на заключение такого договора, лот № _____, название участка ________ 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Победителю аукциона, признанному уклонившимся от заключения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договора пользования рыболовным участком, задаток не возвращается.</w:t>
      </w:r>
      <w:r>
        <w:rPr>
          <w:highlight w:val="none"/>
        </w:rPr>
      </w:r>
      <w:r/>
    </w:p>
    <w:p>
      <w:pPr>
        <w:pStyle w:val="879"/>
        <w:ind w:left="0" w:right="0" w:firstLine="709"/>
        <w:jc w:val="center"/>
        <w:spacing w:line="276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val="en-US"/>
        </w:rPr>
        <w:t xml:space="preserve">8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. Порядок и сроки перечисления платы за предмет аукциона (лота) участником аукциона, сделавшим предпоследнее предложение о цене предмета аукциона (лота), признанным победителем аукциона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center"/>
        <w:spacing w:line="276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В случае, если победителем аукциона признан участник аукциона,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сделавший предпоследнее предложение о цене предмета аукциона (лота), он в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течение 10 календарных дней со дня признания победителем аукциона вносит на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счет организатора аукциона плату за предмет аукциона (лота), в размере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предложенной цены предмета аукциона (лота) в ходе аукциона.</w:t>
      </w:r>
      <w:r/>
    </w:p>
    <w:p>
      <w:pPr>
        <w:pStyle w:val="879"/>
        <w:ind w:left="0" w:right="0" w:firstLine="709"/>
        <w:jc w:val="both"/>
        <w:spacing w:line="276" w:lineRule="auto"/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После поступления платы за предмет аукциона (лот) в размере предложенной в ходе аукциона цены предмета аукциона (лота) участник аукциона, сделавший предпоследнее предложение о ц</w:t>
      </w:r>
      <w:r>
        <w:rPr>
          <w:rFonts w:ascii="Times New Roman" w:hAnsi="Times New Roman" w:cs="Times New Roman"/>
          <w:sz w:val="28"/>
          <w:szCs w:val="28"/>
        </w:rPr>
        <w:t xml:space="preserve">ене предмета аукциона (лота), признается победителем аукциона и организатор аукциона заключает договор.</w:t>
      </w:r>
      <w:r/>
    </w:p>
    <w:p>
      <w:pPr>
        <w:pStyle w:val="879"/>
        <w:ind w:left="0" w:right="0"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отказа участника аукциона, сделавшего предпос</w:t>
      </w:r>
      <w:r>
        <w:rPr>
          <w:rFonts w:ascii="Times New Roman" w:hAnsi="Times New Roman" w:cs="Times New Roman"/>
          <w:sz w:val="28"/>
          <w:szCs w:val="28"/>
        </w:rPr>
        <w:t xml:space="preserve">леднее предложение о цене предмета аукциона (лота), от заключения договора организатор аукциона реализует предмет аукциона (лот) повторно.</w:t>
      </w: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417" w:right="1276" w:bottom="1134" w:left="1559" w:header="0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entury Gothic">
    <w:panose1 w:val="020B050202020202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72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/>
  </w:p>
  <w:p>
    <w:pPr>
      <w:pStyle w:val="872"/>
      <w:jc w:val="center"/>
      <w:rPr>
        <w:rFonts w:ascii="Times New Roman" w:hAnsi="Times New Roman" w:cs="Times New Roman"/>
        <w:sz w:val="24"/>
        <w:szCs w:val="24"/>
        <w:highlight w:val="none"/>
      </w:rPr>
    </w:pPr>
    <w:fldSimple w:instr="PAGE \* MERGEFORMAT">
      <w:r>
        <w:rPr>
          <w:rFonts w:ascii="Times New Roman" w:hAnsi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  <w:r/>
  </w:p>
  <w:p>
    <w:pPr>
      <w:pStyle w:val="8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81" w:hanging="28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40" w:hanging="71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0"/>
      <w:numFmt w:val="bullet"/>
      <w:isLgl w:val="false"/>
      <w:suff w:val="tab"/>
      <w:lvlText w:val="-"/>
      <w:lvlJc w:val="left"/>
      <w:pPr>
        <w:ind w:left="140" w:hanging="17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5582" w:hanging="17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6283" w:hanging="17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984" w:hanging="17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86" w:hanging="17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87" w:hanging="17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81" w:hanging="28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40" w:hanging="71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0"/>
      <w:numFmt w:val="bullet"/>
      <w:isLgl w:val="false"/>
      <w:suff w:val="tab"/>
      <w:lvlText w:val="-"/>
      <w:lvlJc w:val="left"/>
      <w:pPr>
        <w:ind w:left="140" w:hanging="17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5582" w:hanging="17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6283" w:hanging="17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984" w:hanging="17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85" w:hanging="17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86" w:hanging="17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87" w:hanging="17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5"/>
    <w:next w:val="865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6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5"/>
    <w:next w:val="865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6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5"/>
    <w:next w:val="865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6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5"/>
    <w:next w:val="865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6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5"/>
    <w:next w:val="865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5"/>
    <w:next w:val="865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5"/>
    <w:next w:val="865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5"/>
    <w:next w:val="865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5"/>
    <w:next w:val="865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5"/>
    <w:uiPriority w:val="34"/>
    <w:qFormat/>
    <w:pPr>
      <w:contextualSpacing/>
      <w:ind w:left="720"/>
    </w:pPr>
  </w:style>
  <w:style w:type="paragraph" w:styleId="711">
    <w:name w:val="Title"/>
    <w:basedOn w:val="865"/>
    <w:next w:val="865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>
    <w:name w:val="Title Char"/>
    <w:basedOn w:val="866"/>
    <w:link w:val="711"/>
    <w:uiPriority w:val="10"/>
    <w:rPr>
      <w:sz w:val="48"/>
      <w:szCs w:val="48"/>
    </w:rPr>
  </w:style>
  <w:style w:type="paragraph" w:styleId="713">
    <w:name w:val="Subtitle"/>
    <w:basedOn w:val="865"/>
    <w:next w:val="865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>
    <w:name w:val="Subtitle Char"/>
    <w:basedOn w:val="866"/>
    <w:link w:val="713"/>
    <w:uiPriority w:val="11"/>
    <w:rPr>
      <w:sz w:val="24"/>
      <w:szCs w:val="24"/>
    </w:rPr>
  </w:style>
  <w:style w:type="paragraph" w:styleId="715">
    <w:name w:val="Quote"/>
    <w:basedOn w:val="865"/>
    <w:next w:val="865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5"/>
    <w:next w:val="865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character" w:styleId="719">
    <w:name w:val="Header Char"/>
    <w:basedOn w:val="866"/>
    <w:link w:val="872"/>
    <w:uiPriority w:val="99"/>
  </w:style>
  <w:style w:type="character" w:styleId="720">
    <w:name w:val="Footer Char"/>
    <w:basedOn w:val="866"/>
    <w:link w:val="874"/>
    <w:uiPriority w:val="99"/>
  </w:style>
  <w:style w:type="paragraph" w:styleId="721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874"/>
    <w:uiPriority w:val="99"/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6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6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Balloon Text"/>
    <w:basedOn w:val="865"/>
    <w:link w:val="87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66"/>
    <w:link w:val="869"/>
    <w:uiPriority w:val="99"/>
    <w:semiHidden/>
    <w:rPr>
      <w:rFonts w:ascii="Tahoma" w:hAnsi="Tahoma" w:cs="Tahoma"/>
      <w:sz w:val="16"/>
      <w:szCs w:val="16"/>
    </w:rPr>
  </w:style>
  <w:style w:type="table" w:styleId="871">
    <w:name w:val="Table Grid"/>
    <w:basedOn w:val="8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2">
    <w:name w:val="Header"/>
    <w:basedOn w:val="865"/>
    <w:link w:val="8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3" w:customStyle="1">
    <w:name w:val="Верхний колонтитул Знак"/>
    <w:basedOn w:val="866"/>
    <w:link w:val="872"/>
    <w:uiPriority w:val="99"/>
  </w:style>
  <w:style w:type="paragraph" w:styleId="874">
    <w:name w:val="Footer"/>
    <w:basedOn w:val="865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866"/>
    <w:link w:val="874"/>
    <w:uiPriority w:val="99"/>
  </w:style>
  <w:style w:type="paragraph" w:styleId="876" w:customStyle="1">
    <w:name w:val="ConsPlusTitle"/>
    <w:pPr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77">
    <w:name w:val="Body Text Indent"/>
    <w:basedOn w:val="865"/>
    <w:link w:val="878"/>
    <w:pPr>
      <w:ind w:left="283"/>
      <w:spacing w:after="120"/>
    </w:pPr>
    <w:rPr>
      <w:rFonts w:ascii="Century Gothic" w:hAnsi="Century Gothic" w:eastAsia="Times New Roman" w:cs="Times New Roman"/>
      <w:lang w:val="en-US"/>
    </w:rPr>
  </w:style>
  <w:style w:type="character" w:styleId="878" w:customStyle="1">
    <w:name w:val="Основной текст с отступом Знак"/>
    <w:basedOn w:val="866"/>
    <w:link w:val="877"/>
    <w:rPr>
      <w:rFonts w:ascii="Century Gothic" w:hAnsi="Century Gothic" w:eastAsia="Times New Roman" w:cs="Times New Roman"/>
      <w:lang w:val="en-US"/>
    </w:rPr>
  </w:style>
  <w:style w:type="paragraph" w:styleId="879">
    <w:name w:val="No Spacing"/>
    <w:uiPriority w:val="1"/>
    <w:qFormat/>
    <w:pPr>
      <w:spacing w:after="0" w:line="240" w:lineRule="auto"/>
    </w:pPr>
  </w:style>
  <w:style w:type="paragraph" w:styleId="880">
    <w:name w:val="Body Text 2"/>
    <w:basedOn w:val="865"/>
    <w:link w:val="881"/>
    <w:uiPriority w:val="99"/>
    <w:unhideWhenUsed/>
    <w:pPr>
      <w:spacing w:after="120" w:line="480" w:lineRule="auto"/>
    </w:pPr>
  </w:style>
  <w:style w:type="character" w:styleId="881" w:customStyle="1">
    <w:name w:val="Основной текст 2 Знак"/>
    <w:basedOn w:val="866"/>
    <w:link w:val="880"/>
    <w:uiPriority w:val="99"/>
  </w:style>
  <w:style w:type="paragraph" w:styleId="882" w:customStyle="1">
    <w:name w:val="Default"/>
    <w:pPr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883">
    <w:name w:val="Hyperlink"/>
    <w:basedOn w:val="866"/>
    <w:uiPriority w:val="99"/>
    <w:unhideWhenUsed/>
    <w:rPr>
      <w:color w:val="0000ff" w:themeColor="hyperlink"/>
      <w:u w:val="single"/>
    </w:rPr>
  </w:style>
  <w:style w:type="character" w:styleId="884" w:customStyle="1">
    <w:name w:val="extended-text__short"/>
    <w:basedOn w:val="866"/>
  </w:style>
  <w:style w:type="paragraph" w:styleId="885" w:customStyle="1">
    <w:name w:val="ConsPlusNormal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styleId="886">
    <w:name w:val="Strong"/>
    <w:basedOn w:val="866"/>
    <w:uiPriority w:val="22"/>
    <w:qFormat/>
    <w:rPr>
      <w:b/>
      <w:bCs/>
    </w:rPr>
  </w:style>
  <w:style w:type="paragraph" w:styleId="887" w:customStyle="1">
    <w:name w:val="       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Courier New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88" w:customStyle="1">
    <w:name w:val="Body Text"/>
    <w:uiPriority w:val="1"/>
    <w:qFormat/>
    <w:pPr>
      <w:contextualSpacing w:val="0"/>
      <w:ind w:left="14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89" w:customStyle="1">
    <w:name w:val="Table Paragraph"/>
    <w:uiPriority w:val="1"/>
    <w:qFormat/>
    <w:pPr>
      <w:contextualSpacing w:val="0"/>
      <w:ind w:left="16" w:right="0" w:firstLine="0"/>
      <w:jc w:val="left"/>
      <w:keepLines w:val="0"/>
      <w:keepNext w:val="0"/>
      <w:pageBreakBefore w:val="0"/>
      <w:spacing w:before="155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hyperlink" Target="mailto:depprom@admhmao.ru" TargetMode="External"/><Relationship Id="rId14" Type="http://schemas.openxmlformats.org/officeDocument/2006/relationships/hyperlink" Target="https://utp.sberbank-ast.ru." TargetMode="External"/><Relationship Id="rId15" Type="http://schemas.openxmlformats.org/officeDocument/2006/relationships/hyperlink" Target="http://www.torgi.gov.ru" TargetMode="External"/><Relationship Id="rId16" Type="http://schemas.openxmlformats.org/officeDocument/2006/relationships/hyperlink" Target="https://utp.sberbank-ast.ru" TargetMode="External"/><Relationship Id="rId17" Type="http://schemas.openxmlformats.org/officeDocument/2006/relationships/hyperlink" Target="https://depprom.admhmao.ru/deyatelnost/upravlenie-agropromyshlennogo-kompleksa/rybokhozyaystvennyy-kompleks/." TargetMode="External"/><Relationship Id="rId18" Type="http://schemas.openxmlformats.org/officeDocument/2006/relationships/hyperlink" Target="http://www.sberbank-ast.ru" TargetMode="External"/><Relationship Id="rId19" Type="http://schemas.openxmlformats.org/officeDocument/2006/relationships/hyperlink" Target="http://www.torgi.gov.ru" TargetMode="External"/><Relationship Id="rId20" Type="http://schemas.openxmlformats.org/officeDocument/2006/relationships/hyperlink" Target="https://login.consultant.ru/link/?req=doc&amp;base=LAW&amp;n=483238&amp;date=10.03.2025" TargetMode="External"/><Relationship Id="rId21" Type="http://schemas.openxmlformats.org/officeDocument/2006/relationships/hyperlink" Target="https://login.consultant.ru/link/?req=doc&amp;base=LAW&amp;n=456130&amp;date=10.03.2025" TargetMode="External"/><Relationship Id="rId22" Type="http://schemas.openxmlformats.org/officeDocument/2006/relationships/hyperlink" Target="https://login.consultant.ru/link/?req=doc&amp;base=LAW&amp;n=481408&amp;date=10.03.2025&amp;dst=842&amp;field=13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0017-04A6-4E84-8FA5-4AACE21F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37</cp:revision>
  <dcterms:created xsi:type="dcterms:W3CDTF">2020-07-02T06:46:00Z</dcterms:created>
  <dcterms:modified xsi:type="dcterms:W3CDTF">2026-02-16T07:59:22Z</dcterms:modified>
</cp:coreProperties>
</file>