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21F102B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535307" w:rsidRPr="00535307">
        <w:rPr>
          <w:b/>
          <w:bCs/>
          <w:sz w:val="24"/>
          <w:szCs w:val="24"/>
          <w:u w:val="single"/>
        </w:rPr>
        <w:t>77-20-20 сервис запчасти MITSUBISHI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0F5B" w14:textId="77777777" w:rsidR="004A7E3E" w:rsidRDefault="004A7E3E">
      <w:r>
        <w:separator/>
      </w:r>
    </w:p>
  </w:endnote>
  <w:endnote w:type="continuationSeparator" w:id="0">
    <w:p w14:paraId="0A02AC74" w14:textId="77777777" w:rsidR="004A7E3E" w:rsidRDefault="004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A245" w14:textId="77777777" w:rsidR="004A7E3E" w:rsidRDefault="004A7E3E">
      <w:r>
        <w:separator/>
      </w:r>
    </w:p>
  </w:footnote>
  <w:footnote w:type="continuationSeparator" w:id="0">
    <w:p w14:paraId="23272B9D" w14:textId="77777777" w:rsidR="004A7E3E" w:rsidRDefault="004A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2025-04-21T12:13:00Z</dcterms:modified>
</cp:coreProperties>
</file>