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A0" w:rsidRPr="005A5824" w:rsidRDefault="00546FA0" w:rsidP="005A5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8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525" cy="1466850"/>
            <wp:effectExtent l="0" t="0" r="9525" b="0"/>
            <wp:wrapTight wrapText="bothSides">
              <wp:wrapPolygon edited="0">
                <wp:start x="0" y="0"/>
                <wp:lineTo x="0" y="19636"/>
                <wp:lineTo x="9997" y="21319"/>
                <wp:lineTo x="11425" y="21319"/>
                <wp:lineTo x="21421" y="19636"/>
                <wp:lineTo x="21421" y="0"/>
                <wp:lineTo x="0" y="0"/>
              </wp:wrapPolygon>
            </wp:wrapTight>
            <wp:docPr id="1" name="Рисунок 1" descr="ÐÐ°ÑÑÐ¸Ð½ÐºÐ¸ Ð¿Ð¾ Ð·Ð°Ð¿ÑÐ¾ÑÑ Ð³ÐµÑÐ± ÑÑÐ·Ð´Ð°Ð»Ñ ÑÑÐ¾ Ð¾Ð·Ð½Ð°ÑÐ°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Ð°ÑÑÐ¸Ð½ÐºÐ¸ Ð¿Ð¾ Ð·Ð°Ð¿ÑÐ¾ÑÑ Ð³ÐµÑÐ± ÑÑÐ·Ð´Ð°Ð»Ñ ÑÑÐ¾ Ð¾Ð·Ð½Ð°ÑÐ°ÐµÑ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5824">
        <w:rPr>
          <w:rFonts w:ascii="Times New Roman" w:hAnsi="Times New Roman" w:cs="Times New Roman"/>
          <w:b/>
          <w:sz w:val="28"/>
          <w:szCs w:val="28"/>
        </w:rPr>
        <w:t>Суздаль</w:t>
      </w:r>
    </w:p>
    <w:p w:rsidR="00546FA0" w:rsidRPr="005A5824" w:rsidRDefault="00805CBC" w:rsidP="005A5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46FA0" w:rsidRPr="005A582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http://www.gorodsuzdal.ru</w:t>
        </w:r>
      </w:hyperlink>
    </w:p>
    <w:p w:rsidR="00546FA0" w:rsidRPr="005A5824" w:rsidRDefault="00546FA0" w:rsidP="005A5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CBC" w:rsidRDefault="00805CBC" w:rsidP="00805CB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городское поселение город Суздаль расположено в северной части Владимирской области. Утверждение границы города Суздаля и установление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на местности черты произведены в 1993 году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с решением малого Совета Владимирского областного Совета народных депутатов от 09 апреля 1992 г. № 80 «Об изменении городской черты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>г. Суздаля». Площадь города в утвержденных границах составляет 1500 га.</w:t>
      </w:r>
    </w:p>
    <w:p w:rsidR="00805CBC" w:rsidRPr="00805CBC" w:rsidRDefault="00805CBC" w:rsidP="00805CB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Город Суздаль имеет богатейшую историю, основные даты истории города: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• 1024 год – первое</w:t>
      </w:r>
      <w:r>
        <w:rPr>
          <w:rFonts w:ascii="Times New Roman" w:hAnsi="Times New Roman" w:cs="Times New Roman"/>
          <w:sz w:val="28"/>
          <w:szCs w:val="28"/>
        </w:rPr>
        <w:t xml:space="preserve"> упоминание Суздаля в Летописи;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• начало XII века – Суздаль - Центр </w:t>
      </w:r>
      <w:r>
        <w:rPr>
          <w:rFonts w:ascii="Times New Roman" w:hAnsi="Times New Roman" w:cs="Times New Roman"/>
          <w:sz w:val="28"/>
          <w:szCs w:val="28"/>
        </w:rPr>
        <w:t>Ростово-Суздальского княжества;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• в XII и первой трети XIII веков Суздаль переживает период наивысшего расцвета своей истории. В период феодальной раздробленности он становится столицей княжества, первым самостоятельным князем которого стал сын Влад</w:t>
      </w:r>
      <w:r>
        <w:rPr>
          <w:rFonts w:ascii="Times New Roman" w:hAnsi="Times New Roman" w:cs="Times New Roman"/>
          <w:sz w:val="28"/>
          <w:szCs w:val="28"/>
        </w:rPr>
        <w:t>имира Мономаха Юрий Долгорукий;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• в 1238 году Суздаль, как и вся Русская земля, подвергся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татаро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– монгольскому разорению, которого избежал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Ризоположенский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монастырь;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• в начале XIV века роль Суздаля вновь становится более заметной – на этот раз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в связи с возвышением Москвы и падением значения Владимира. В противовес Московскому княжеству возникло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Суздальско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– Нижегородское, при этом роль центра в этом союзе принадлежала поочерёдно то Суздалю, то Нижнему Новгороду. Союз двух княжеств был закреплён браком Дмитрия Донского с суздальской княжной. В 1380 году суздальское войско у</w:t>
      </w:r>
      <w:r>
        <w:rPr>
          <w:rFonts w:ascii="Times New Roman" w:hAnsi="Times New Roman" w:cs="Times New Roman"/>
          <w:sz w:val="28"/>
          <w:szCs w:val="28"/>
        </w:rPr>
        <w:t>частвовало в Куликовской битве;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• в XVI веке сложилась историческая планировка города, состоявшая из кремля, посада и монастырей, окружённых поселениями мо</w:t>
      </w:r>
      <w:r>
        <w:rPr>
          <w:rFonts w:ascii="Times New Roman" w:hAnsi="Times New Roman" w:cs="Times New Roman"/>
          <w:sz w:val="28"/>
          <w:szCs w:val="28"/>
        </w:rPr>
        <w:t>настырских слуг, или слободами;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• в XVI веке на посаде значилось 11 деревянных церквей, 414 дворов. В восточной части посада располагалось 290 лавок, т</w:t>
      </w:r>
      <w:r>
        <w:rPr>
          <w:rFonts w:ascii="Times New Roman" w:hAnsi="Times New Roman" w:cs="Times New Roman"/>
          <w:sz w:val="28"/>
          <w:szCs w:val="28"/>
        </w:rPr>
        <w:t>орговавших различными товарами;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• начало и вся первая половина XVII века для Суздаля прошла в тяжких испытаниях. Самыми страшными были набеги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польско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– литовских отрядов;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В Смутное время число жителей сокращается почти в 10 раз,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суздальцы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приняли самое активное участие в борьбе за освобождение Московского государства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польско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– литовских захватчиков, когда в 1612 г. отряд горожан выступил на помощь народному ополчению под командованием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суздальца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Д. М. Пожарского.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В 1642 году великий воевода был похоронен в усыпальнице под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– Преображенским собором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Евфимиева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мон</w:t>
      </w:r>
      <w:r>
        <w:rPr>
          <w:rFonts w:ascii="Times New Roman" w:hAnsi="Times New Roman" w:cs="Times New Roman"/>
          <w:sz w:val="28"/>
          <w:szCs w:val="28"/>
        </w:rPr>
        <w:t>астыря;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• в 1634г. крымские татары разоряют город. Через 10 лет пожар выжигает половину города, а ещё через 10 лет чума губит почти половину населения. Однако с середины XVII века вновь начинается экономический расцвет города, стоящего на торговых путях. Не случайно за следующие 100 лет небедными горожанами были построены почти все 30 существующих и 14 снесён</w:t>
      </w:r>
      <w:r>
        <w:rPr>
          <w:rFonts w:ascii="Times New Roman" w:hAnsi="Times New Roman" w:cs="Times New Roman"/>
          <w:sz w:val="28"/>
          <w:szCs w:val="28"/>
        </w:rPr>
        <w:t>ных в XX веке посадских храмов;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• в XVIII веке Суздаль переживает необыкновенный размах строительства на посаде: возводятся новые кирпичные храмы, деревянные замещаются кирпичными -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это объясняется тем, что храмовое место выбиралось очень тщательно,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и, как</w:t>
      </w:r>
      <w:r w:rsidRPr="00805CBC">
        <w:rPr>
          <w:rFonts w:ascii="Times New Roman" w:hAnsi="Times New Roman" w:cs="Times New Roman"/>
          <w:sz w:val="28"/>
          <w:szCs w:val="28"/>
        </w:rPr>
        <w:t xml:space="preserve"> правило, застраивалось вновь, если по каким-то причинам</w:t>
      </w:r>
      <w:r>
        <w:rPr>
          <w:rFonts w:ascii="Times New Roman" w:hAnsi="Times New Roman" w:cs="Times New Roman"/>
          <w:sz w:val="28"/>
          <w:szCs w:val="28"/>
        </w:rPr>
        <w:t xml:space="preserve"> разрушалась прежняя постройка;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• в XVIII веке Суздаль получает герб – сокола в короне, назначается уездным центром и в нём по плану регулярной застройки прокладывается центральная улица (ныне Ленина), сохранившая на выездах заставы 200 – летней давности. В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Евфимиевом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монастыре по указу Екатерины Второй разм</w:t>
      </w:r>
      <w:r>
        <w:rPr>
          <w:rFonts w:ascii="Times New Roman" w:hAnsi="Times New Roman" w:cs="Times New Roman"/>
          <w:sz w:val="28"/>
          <w:szCs w:val="28"/>
        </w:rPr>
        <w:t>ещается государственная тюрьма;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• XIX век стал для Суздаля не самым удачным временем. Город оказался в стороне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от прежних торговых путей – транзитная торговля уже не приносила доходов,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как прежде; замерли некоторые производства, в частности, кожевенное. Суздаль остался как бы на обочине цивилизации, продолжая быть в то же время центром плодородного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Ополья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, оплотом религиозной традиции и городом мастеров, которые продолжали трудиться как внутри, так и за пределами города. К числу осуществлённых идей регулярного плана относится организация нового центра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>с торговой площадью и гостиным каменным двором, строительство которого началось в 1806 году, а также новое направление центральной улицы города, соединивший его посад и некоторые монастырские слободы, оставив в стороне древний суздальский крем</w:t>
      </w:r>
      <w:r>
        <w:rPr>
          <w:rFonts w:ascii="Times New Roman" w:hAnsi="Times New Roman" w:cs="Times New Roman"/>
          <w:sz w:val="28"/>
          <w:szCs w:val="28"/>
        </w:rPr>
        <w:t>ль;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• в XX веке в истории города вновь периоды взлёта и падений: 1913год - визит Николая II, 1923 год – открыт музей (с 1958 г. –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Владимиро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–Суздальский музей- заповедник), 1920 -1950гг.- борьба с религией и сносы храмов. Начало исследовательских и восстановительных работ относится к 40–м годам XX века.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В 1945 году была организована Владимирская реставрационная мастерская, куда входил и Суздальский реставрационный участок. Значительный вклад в эту работу внесли Александр Васильевич Столетов и Алексей Дмитриевич Варганов. Понятно, что это было тяжёлое время для нашей страны – надо было восстанавливать разрушенное в годы Великой Отечественной войны хозяйство. С 1967 года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по решению правительства началась работа по превращению Суздаля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>в туристический и музейный центр, создаётся туристская инфраструктура, первым крупным предприятием которой стал Главный туристический центр, пос</w:t>
      </w:r>
      <w:r>
        <w:rPr>
          <w:rFonts w:ascii="Times New Roman" w:hAnsi="Times New Roman" w:cs="Times New Roman"/>
          <w:sz w:val="28"/>
          <w:szCs w:val="28"/>
        </w:rPr>
        <w:t xml:space="preserve">троенный </w:t>
      </w:r>
      <w:r>
        <w:rPr>
          <w:rFonts w:ascii="Times New Roman" w:hAnsi="Times New Roman" w:cs="Times New Roman"/>
          <w:sz w:val="28"/>
          <w:szCs w:val="28"/>
        </w:rPr>
        <w:br/>
        <w:t>в середине 70-х годов;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• 20 августа 1974 года Суздаль был награждён орденом «Знак Почёта» за большой вклад в пропаганду культурного наследия, сохранение и реставрацию памятников древнерусского искусства и зод</w:t>
      </w:r>
      <w:r>
        <w:rPr>
          <w:rFonts w:ascii="Times New Roman" w:hAnsi="Times New Roman" w:cs="Times New Roman"/>
          <w:sz w:val="28"/>
          <w:szCs w:val="28"/>
        </w:rPr>
        <w:t>чества и в связи с 950-летием; 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• в 1983 году Суздаль получил престижную награду от ФИЖЕТ - международной федерации журналистов, пишущи</w:t>
      </w:r>
      <w:r>
        <w:rPr>
          <w:rFonts w:ascii="Times New Roman" w:hAnsi="Times New Roman" w:cs="Times New Roman"/>
          <w:sz w:val="28"/>
          <w:szCs w:val="28"/>
        </w:rPr>
        <w:t>х о туризме - «Золотое яблоко»;</w:t>
      </w:r>
    </w:p>
    <w:p w:rsidR="00805CBC" w:rsidRDefault="00805CBC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• в 1992 году решением 16 сессии Комитета Всемирного наследия при ЮНЕСКО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в Список Всемирного наследия включены 4 памятника: Рожественский собор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 xml:space="preserve">в Кремле XIII века, Архиерейские палаты в Кремле XVI века, комплекс памятников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Евфимиева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монастыря XVI века, комплекс памятников </w:t>
      </w:r>
      <w:r>
        <w:rPr>
          <w:rFonts w:ascii="Times New Roman" w:hAnsi="Times New Roman" w:cs="Times New Roman"/>
          <w:sz w:val="28"/>
          <w:szCs w:val="28"/>
        </w:rPr>
        <w:t>Покровского монастыря XVI века;</w:t>
      </w:r>
    </w:p>
    <w:p w:rsidR="00805CBC" w:rsidRDefault="00805CBC" w:rsidP="0080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По обилию памятников, по сохранности своего первоначального облика Суздаль не знает себе равных. Здесь собрано большое количество памятников культовой и гражданской архитектуры XIII – XIX вв. Оставшись в границах XVIII в., Суздаль смог сохранить древнюю топографию, непередаваемый колорит старинного </w:t>
      </w:r>
      <w:r w:rsidRPr="00805CBC">
        <w:rPr>
          <w:rFonts w:ascii="Times New Roman" w:hAnsi="Times New Roman" w:cs="Times New Roman"/>
          <w:sz w:val="28"/>
          <w:szCs w:val="28"/>
        </w:rPr>
        <w:lastRenderedPageBreak/>
        <w:t xml:space="preserve">русского города, удивительную гармонию древнерусской </w:t>
      </w:r>
      <w:r>
        <w:rPr>
          <w:rFonts w:ascii="Times New Roman" w:hAnsi="Times New Roman" w:cs="Times New Roman"/>
          <w:sz w:val="28"/>
          <w:szCs w:val="28"/>
        </w:rPr>
        <w:t xml:space="preserve">архитектуры </w:t>
      </w:r>
      <w:r>
        <w:rPr>
          <w:rFonts w:ascii="Times New Roman" w:hAnsi="Times New Roman" w:cs="Times New Roman"/>
          <w:sz w:val="28"/>
          <w:szCs w:val="28"/>
        </w:rPr>
        <w:br/>
        <w:t>и окружающей среды.</w:t>
      </w:r>
    </w:p>
    <w:p w:rsidR="00805CBC" w:rsidRDefault="00805CBC" w:rsidP="0080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На площади 9 квадратных километров исторической части города находится 305 памятников архитектуры истории и культуры, среди которых 5 монастырских ансамблей, 30 церквей, 14 колоколен, десятки великолепных образцов гражданской застройки. Из них 79 – это памятники федерального значения, 167 – регионального значения, 63 – выявленные объекты, 4 ансамбля памятников всемирного культурного наследия ЮНЕСКО.</w:t>
      </w:r>
    </w:p>
    <w:p w:rsidR="00805CBC" w:rsidRPr="00805CBC" w:rsidRDefault="00805CBC" w:rsidP="0080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Основные достопримечательности города:</w:t>
      </w:r>
    </w:p>
    <w:p w:rsidR="00805CBC" w:rsidRDefault="00805CBC" w:rsidP="00805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Архитектурный ансамбль Суздальского Кремля, в том числе три церкви </w:t>
      </w:r>
      <w:r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t>у крепостных валов Кремля:</w:t>
      </w:r>
      <w:r w:rsidRPr="00805CBC">
        <w:rPr>
          <w:rFonts w:ascii="Times New Roman" w:hAnsi="Times New Roman" w:cs="Times New Roman"/>
          <w:sz w:val="28"/>
          <w:szCs w:val="28"/>
        </w:rPr>
        <w:br/>
        <w:t>- Успенская (XVII век)</w:t>
      </w:r>
      <w:r w:rsidRPr="00805CBC">
        <w:rPr>
          <w:rFonts w:ascii="Times New Roman" w:hAnsi="Times New Roman" w:cs="Times New Roman"/>
          <w:sz w:val="28"/>
          <w:szCs w:val="28"/>
        </w:rPr>
        <w:br/>
        <w:t>- Никольская (1720—1739)</w:t>
      </w:r>
      <w:r w:rsidRPr="00805CBC">
        <w:rPr>
          <w:rFonts w:ascii="Times New Roman" w:hAnsi="Times New Roman" w:cs="Times New Roman"/>
          <w:sz w:val="28"/>
          <w:szCs w:val="28"/>
        </w:rPr>
        <w:br/>
        <w:t>- Рождества Христова (1775)</w:t>
      </w:r>
      <w:r w:rsidRPr="00805CBC">
        <w:rPr>
          <w:rFonts w:ascii="Times New Roman" w:hAnsi="Times New Roman" w:cs="Times New Roman"/>
          <w:sz w:val="28"/>
          <w:szCs w:val="28"/>
        </w:rPr>
        <w:br/>
        <w:t>Архитектурные ансамбли: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Спасо-Евфимиева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монастыря</w:t>
      </w:r>
      <w:r w:rsidRPr="00805CBC">
        <w:rPr>
          <w:rFonts w:ascii="Times New Roman" w:hAnsi="Times New Roman" w:cs="Times New Roman"/>
          <w:sz w:val="28"/>
          <w:szCs w:val="28"/>
        </w:rPr>
        <w:br/>
        <w:t>- Покровского монастыря</w:t>
      </w:r>
      <w:r w:rsidRPr="00805CBC">
        <w:rPr>
          <w:rFonts w:ascii="Times New Roman" w:hAnsi="Times New Roman" w:cs="Times New Roman"/>
          <w:sz w:val="28"/>
          <w:szCs w:val="28"/>
        </w:rPr>
        <w:br/>
        <w:t>- Александровского монастыря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Ризоположенского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монастыря</w:t>
      </w:r>
      <w:r w:rsidRPr="00805CBC">
        <w:rPr>
          <w:rFonts w:ascii="Times New Roman" w:hAnsi="Times New Roman" w:cs="Times New Roman"/>
          <w:sz w:val="28"/>
          <w:szCs w:val="28"/>
        </w:rPr>
        <w:br/>
        <w:t>- Васильевского монастыря</w:t>
      </w:r>
      <w:r w:rsidRPr="00805CBC">
        <w:rPr>
          <w:rFonts w:ascii="Times New Roman" w:hAnsi="Times New Roman" w:cs="Times New Roman"/>
          <w:sz w:val="28"/>
          <w:szCs w:val="28"/>
        </w:rPr>
        <w:br/>
        <w:t>Архитектурный ансамбль Торговой площади:</w:t>
      </w:r>
      <w:r w:rsidRPr="00805CBC">
        <w:rPr>
          <w:rFonts w:ascii="Times New Roman" w:hAnsi="Times New Roman" w:cs="Times New Roman"/>
          <w:sz w:val="28"/>
          <w:szCs w:val="28"/>
        </w:rPr>
        <w:br/>
        <w:t>- Торговые ряды (1806—1811)</w:t>
      </w:r>
      <w:r w:rsidRPr="00805CBC">
        <w:rPr>
          <w:rFonts w:ascii="Times New Roman" w:hAnsi="Times New Roman" w:cs="Times New Roman"/>
          <w:sz w:val="28"/>
          <w:szCs w:val="28"/>
        </w:rPr>
        <w:br/>
        <w:t>- Церковь Воскресения (1732)</w:t>
      </w:r>
      <w:r w:rsidRPr="00805CBC">
        <w:rPr>
          <w:rFonts w:ascii="Times New Roman" w:hAnsi="Times New Roman" w:cs="Times New Roman"/>
          <w:sz w:val="28"/>
          <w:szCs w:val="28"/>
        </w:rPr>
        <w:br/>
        <w:t>- Церковь Казанской иконы Божьей Матери (1739)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Цареконстантиновская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церковь (1707)</w:t>
      </w:r>
      <w:r w:rsidRPr="00805CBC">
        <w:rPr>
          <w:rFonts w:ascii="Times New Roman" w:hAnsi="Times New Roman" w:cs="Times New Roman"/>
          <w:sz w:val="28"/>
          <w:szCs w:val="28"/>
        </w:rPr>
        <w:br/>
        <w:t>- Церковь иконы Божьей Матери Всех Скорбящих Радость (1750—1787)</w:t>
      </w:r>
      <w:r w:rsidRPr="00805CBC">
        <w:rPr>
          <w:rFonts w:ascii="Times New Roman" w:hAnsi="Times New Roman" w:cs="Times New Roman"/>
          <w:sz w:val="28"/>
          <w:szCs w:val="28"/>
        </w:rPr>
        <w:br/>
        <w:t>- Церковь Входа Господня в Иерусалим (1702—1707)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Церковь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Параскевы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Пятницы (1772).</w:t>
      </w:r>
      <w:r w:rsidRPr="00805CBC">
        <w:rPr>
          <w:rFonts w:ascii="Times New Roman" w:hAnsi="Times New Roman" w:cs="Times New Roman"/>
          <w:sz w:val="28"/>
          <w:szCs w:val="28"/>
        </w:rPr>
        <w:br/>
        <w:t>Церкви:</w:t>
      </w:r>
      <w:r w:rsidRPr="00805CBC">
        <w:rPr>
          <w:rFonts w:ascii="Times New Roman" w:hAnsi="Times New Roman" w:cs="Times New Roman"/>
          <w:sz w:val="28"/>
          <w:szCs w:val="28"/>
        </w:rPr>
        <w:br/>
        <w:t>- Усекновения главы Иоанна Предтечи (1720 г.)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Святого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Антипия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(1745)</w:t>
      </w:r>
      <w:r w:rsidRPr="00805CBC">
        <w:rPr>
          <w:rFonts w:ascii="Times New Roman" w:hAnsi="Times New Roman" w:cs="Times New Roman"/>
          <w:sz w:val="28"/>
          <w:szCs w:val="28"/>
        </w:rPr>
        <w:br/>
        <w:t>- Святого Лазаря (1667)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Кресто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>-Никольская (1770)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Косьмы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и Дамиана (1725)</w:t>
      </w:r>
      <w:r w:rsidRPr="00805CBC">
        <w:rPr>
          <w:rFonts w:ascii="Times New Roman" w:hAnsi="Times New Roman" w:cs="Times New Roman"/>
          <w:sz w:val="28"/>
          <w:szCs w:val="28"/>
        </w:rPr>
        <w:br/>
        <w:t>- Знамения (1749)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Ризоположения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(1777)</w:t>
      </w:r>
      <w:r w:rsidRPr="00805CBC">
        <w:rPr>
          <w:rFonts w:ascii="Times New Roman" w:hAnsi="Times New Roman" w:cs="Times New Roman"/>
          <w:sz w:val="28"/>
          <w:szCs w:val="28"/>
        </w:rPr>
        <w:br/>
        <w:t>- Бориса и Глеба (1749 г.)</w:t>
      </w:r>
      <w:r w:rsidRPr="00805CBC">
        <w:rPr>
          <w:rFonts w:ascii="Times New Roman" w:hAnsi="Times New Roman" w:cs="Times New Roman"/>
          <w:sz w:val="28"/>
          <w:szCs w:val="28"/>
        </w:rPr>
        <w:br/>
        <w:t>- Ильи Пророка (1744 г.)</w:t>
      </w:r>
      <w:r w:rsidRPr="00805CBC">
        <w:rPr>
          <w:rFonts w:ascii="Times New Roman" w:hAnsi="Times New Roman" w:cs="Times New Roman"/>
          <w:sz w:val="28"/>
          <w:szCs w:val="28"/>
        </w:rPr>
        <w:br/>
        <w:t>- Богоявления (1781 г.)</w:t>
      </w:r>
      <w:r w:rsidRPr="00805CBC">
        <w:rPr>
          <w:rFonts w:ascii="Times New Roman" w:hAnsi="Times New Roman" w:cs="Times New Roman"/>
          <w:sz w:val="28"/>
          <w:szCs w:val="28"/>
        </w:rPr>
        <w:br/>
        <w:t>- Рождества Иоанна Предтечи (1739 г.)</w:t>
      </w:r>
      <w:r w:rsidRPr="00805CBC">
        <w:rPr>
          <w:rFonts w:ascii="Times New Roman" w:hAnsi="Times New Roman" w:cs="Times New Roman"/>
          <w:sz w:val="28"/>
          <w:szCs w:val="28"/>
        </w:rPr>
        <w:br/>
        <w:t>- Тихвинской иконы Божьей Матери (XVII в.)</w:t>
      </w:r>
      <w:r w:rsidRPr="00805CBC">
        <w:rPr>
          <w:rFonts w:ascii="Times New Roman" w:hAnsi="Times New Roman" w:cs="Times New Roman"/>
          <w:sz w:val="28"/>
          <w:szCs w:val="28"/>
        </w:rPr>
        <w:br/>
        <w:t>- Святого Николая (1712)</w:t>
      </w:r>
      <w:r w:rsidRPr="00805CBC">
        <w:rPr>
          <w:rFonts w:ascii="Times New Roman" w:hAnsi="Times New Roman" w:cs="Times New Roman"/>
          <w:sz w:val="28"/>
          <w:szCs w:val="28"/>
        </w:rPr>
        <w:br/>
        <w:t>- Петра и Павла (1699)</w:t>
      </w:r>
      <w:r w:rsidRPr="00805CBC">
        <w:rPr>
          <w:rFonts w:ascii="Times New Roman" w:hAnsi="Times New Roman" w:cs="Times New Roman"/>
          <w:sz w:val="28"/>
          <w:szCs w:val="28"/>
        </w:rPr>
        <w:br/>
        <w:t>- Смоленской иконы Божьей Матери (1707)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Столпника (1749)</w:t>
      </w:r>
      <w:r w:rsidRPr="00805CBC">
        <w:rPr>
          <w:rFonts w:ascii="Times New Roman" w:hAnsi="Times New Roman" w:cs="Times New Roman"/>
          <w:sz w:val="28"/>
          <w:szCs w:val="28"/>
        </w:rPr>
        <w:br/>
      </w:r>
      <w:r w:rsidRPr="00805CB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Крестовоздвиженская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церковь (1696 г.)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Косьмы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и Дамиана на ул. Коровники (XVIII в.)</w:t>
      </w:r>
      <w:r w:rsidRPr="00805CBC">
        <w:rPr>
          <w:rFonts w:ascii="Times New Roman" w:hAnsi="Times New Roman" w:cs="Times New Roman"/>
          <w:sz w:val="28"/>
          <w:szCs w:val="28"/>
        </w:rPr>
        <w:br/>
        <w:t>- Флора и Лавра (1803)</w:t>
      </w:r>
      <w:r w:rsidRPr="00805CBC">
        <w:rPr>
          <w:rFonts w:ascii="Times New Roman" w:hAnsi="Times New Roman" w:cs="Times New Roman"/>
          <w:sz w:val="28"/>
          <w:szCs w:val="28"/>
        </w:rPr>
        <w:br/>
        <w:t>- Михаила Архангела (XVIII в.)</w:t>
      </w:r>
      <w:r w:rsidRPr="00805CBC">
        <w:rPr>
          <w:rFonts w:ascii="Times New Roman" w:hAnsi="Times New Roman" w:cs="Times New Roman"/>
          <w:sz w:val="28"/>
          <w:szCs w:val="28"/>
        </w:rPr>
        <w:br/>
        <w:t>- Александра Невского (начало XX века)</w:t>
      </w:r>
      <w:r w:rsidRPr="00805CBC">
        <w:rPr>
          <w:rFonts w:ascii="Times New Roman" w:hAnsi="Times New Roman" w:cs="Times New Roman"/>
          <w:sz w:val="28"/>
          <w:szCs w:val="28"/>
        </w:rPr>
        <w:br/>
        <w:t>Архитектурный ансамбль Музея деревянного зодчества: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Преображенская церковь из села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Козлятьево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района (1756)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Воскресенская церковь из села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Патакина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Камешковского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района (1776)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Изба крестьянина-середняка из с.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Илькино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Меленковского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района (XIX в.)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Изба из д.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Каменево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Камешковского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5CBC">
        <w:rPr>
          <w:rFonts w:ascii="Times New Roman" w:hAnsi="Times New Roman" w:cs="Times New Roman"/>
          <w:sz w:val="28"/>
          <w:szCs w:val="28"/>
        </w:rPr>
        <w:br/>
        <w:t>- Двухэтажный дом зажиточного крестьянина из д. Лог Вязниковского района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Дом с мезонином из села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Тынцы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Камешковского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района (вторая половина XIX в.)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Ветряные шатровые мельницы из с.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Мошок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Судогодского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района.(XVIII в.)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Амбар-лабаз из села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Мошок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(XIX в.)</w:t>
      </w:r>
      <w:r w:rsidRPr="00805CBC">
        <w:rPr>
          <w:rFonts w:ascii="Times New Roman" w:hAnsi="Times New Roman" w:cs="Times New Roman"/>
          <w:sz w:val="28"/>
          <w:szCs w:val="28"/>
        </w:rPr>
        <w:br/>
        <w:t xml:space="preserve">- Колесный колодец из села Кольцова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Селивановского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района. (XIX в.)</w:t>
      </w:r>
      <w:r w:rsidRPr="00805CBC">
        <w:rPr>
          <w:rFonts w:ascii="Times New Roman" w:hAnsi="Times New Roman" w:cs="Times New Roman"/>
          <w:sz w:val="28"/>
          <w:szCs w:val="28"/>
        </w:rPr>
        <w:br/>
        <w:t>- Баня из с. Ново-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Александрово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 Суздальского район</w:t>
      </w:r>
      <w:r>
        <w:rPr>
          <w:rFonts w:ascii="Times New Roman" w:hAnsi="Times New Roman" w:cs="Times New Roman"/>
          <w:sz w:val="28"/>
          <w:szCs w:val="28"/>
        </w:rPr>
        <w:t>а (XIX в.)</w:t>
      </w:r>
      <w:r>
        <w:rPr>
          <w:rFonts w:ascii="Times New Roman" w:hAnsi="Times New Roman" w:cs="Times New Roman"/>
          <w:sz w:val="28"/>
          <w:szCs w:val="28"/>
        </w:rPr>
        <w:br/>
        <w:t>- Два овина (XIX в.)</w:t>
      </w:r>
    </w:p>
    <w:p w:rsidR="00805CBC" w:rsidRDefault="00805CBC" w:rsidP="0080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Огромное значение для города имеет Суздальский историко-художественный музей, который с 1958 г. является филиалом Владимиро-Суздальского историко-архитектурного и худ</w:t>
      </w:r>
      <w:r>
        <w:rPr>
          <w:rFonts w:ascii="Times New Roman" w:hAnsi="Times New Roman" w:cs="Times New Roman"/>
          <w:sz w:val="28"/>
          <w:szCs w:val="28"/>
        </w:rPr>
        <w:t>ожественного музея-заповедника.</w:t>
      </w:r>
    </w:p>
    <w:p w:rsidR="00805CBC" w:rsidRDefault="00805CBC" w:rsidP="0080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города расположены четыре крупных 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>-туристических комплекса: «Николаевский Посад» с номерным фондом 180 номеров, из которых есть номера эконом-класса и 4 многоместных номера для паломников; «Пушкарская слобода» с номерным фондом 291 номеров; «Горячие ключи» с номерным фондом 185 номеров, «</w:t>
      </w:r>
      <w:proofErr w:type="spellStart"/>
      <w:r w:rsidRPr="00805CBC">
        <w:rPr>
          <w:rFonts w:ascii="Times New Roman" w:hAnsi="Times New Roman" w:cs="Times New Roman"/>
          <w:sz w:val="28"/>
          <w:szCs w:val="28"/>
        </w:rPr>
        <w:t>Турцентр</w:t>
      </w:r>
      <w:proofErr w:type="spellEnd"/>
      <w:r w:rsidRPr="00805CBC">
        <w:rPr>
          <w:rFonts w:ascii="Times New Roman" w:hAnsi="Times New Roman" w:cs="Times New Roman"/>
          <w:sz w:val="28"/>
          <w:szCs w:val="28"/>
        </w:rPr>
        <w:t xml:space="preserve">» - с номерным фондом </w:t>
      </w:r>
      <w:r>
        <w:rPr>
          <w:rFonts w:ascii="Times New Roman" w:hAnsi="Times New Roman" w:cs="Times New Roman"/>
          <w:sz w:val="28"/>
          <w:szCs w:val="28"/>
        </w:rPr>
        <w:br/>
        <w:t>705 номеров.</w:t>
      </w:r>
    </w:p>
    <w:p w:rsidR="00805CBC" w:rsidRDefault="00805CBC" w:rsidP="0080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Все комплексы имеют развитую сеть гостиниц, сеть точек общественного питания, бизнес-центров, конференц-залов, кино-концертных залов и других развлекательных услуг, предоставляемых гостям и жителям города, это – услуги СПА-салонов, соляриев, спортивных залов, бассейнов, бань, ледовых площадок.</w:t>
      </w:r>
      <w:r w:rsidRPr="00805CBC">
        <w:rPr>
          <w:rFonts w:ascii="Times New Roman" w:hAnsi="Times New Roman" w:cs="Times New Roman"/>
          <w:sz w:val="28"/>
          <w:szCs w:val="28"/>
        </w:rPr>
        <w:br/>
        <w:t>На территории города работают 50 гостевых домов с общим количеством номерного фонда 700 номеров, турбаза муниципального учреждения «Центр развития физкультуры, спорта и туризма», 13 ресторанов с количеством посадочных мест 1429,</w:t>
      </w:r>
      <w:r>
        <w:rPr>
          <w:rFonts w:ascii="Times New Roman" w:hAnsi="Times New Roman" w:cs="Times New Roman"/>
          <w:sz w:val="28"/>
          <w:szCs w:val="28"/>
        </w:rPr>
        <w:t xml:space="preserve"> 10 кафе на 305 мест, 11 баров.</w:t>
      </w:r>
    </w:p>
    <w:p w:rsidR="00805CBC" w:rsidRPr="00805CBC" w:rsidRDefault="00805CBC" w:rsidP="0080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CBC">
        <w:rPr>
          <w:rFonts w:ascii="Times New Roman" w:hAnsi="Times New Roman" w:cs="Times New Roman"/>
          <w:sz w:val="28"/>
          <w:szCs w:val="28"/>
        </w:rPr>
        <w:t>В городе развернута широкая розничная торговая сеть. Общее количество магазинов – 106. Мелкорозничная торговая сеть представлена 73 частными предпринимателями, осуществляющими уличную торговлю сувенирной продукцией.</w:t>
      </w:r>
      <w:r w:rsidRPr="00805CBC">
        <w:rPr>
          <w:rFonts w:ascii="Times New Roman" w:hAnsi="Times New Roman" w:cs="Times New Roman"/>
          <w:sz w:val="28"/>
          <w:szCs w:val="28"/>
        </w:rPr>
        <w:br/>
        <w:t>На основании всероссийской переписи населения 2010 года население города составило 10 535 чел.</w:t>
      </w:r>
    </w:p>
    <w:p w:rsidR="000F2AA0" w:rsidRPr="00805CBC" w:rsidRDefault="000F2AA0" w:rsidP="008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2AA0" w:rsidRPr="00805CBC" w:rsidSect="005A582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1C"/>
    <w:rsid w:val="000F2AA0"/>
    <w:rsid w:val="00546FA0"/>
    <w:rsid w:val="005A5824"/>
    <w:rsid w:val="00805CBC"/>
    <w:rsid w:val="0090111C"/>
    <w:rsid w:val="00A660EC"/>
    <w:rsid w:val="00E3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7616"/>
  <w15:chartTrackingRefBased/>
  <w15:docId w15:val="{9B44414F-4250-41DB-98FB-405F32E4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F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FA0"/>
    <w:rPr>
      <w:b/>
      <w:bCs/>
    </w:rPr>
  </w:style>
  <w:style w:type="character" w:styleId="a5">
    <w:name w:val="Hyperlink"/>
    <w:basedOn w:val="a0"/>
    <w:uiPriority w:val="99"/>
    <w:unhideWhenUsed/>
    <w:rsid w:val="00546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uzdal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Мазуренко Снежана Владиславовна</dc:creator>
  <cp:keywords/>
  <dc:description/>
  <cp:lastModifiedBy>Мазуренко Снежана Владиславовна</cp:lastModifiedBy>
  <cp:revision>5</cp:revision>
  <dcterms:created xsi:type="dcterms:W3CDTF">2019-05-29T09:22:00Z</dcterms:created>
  <dcterms:modified xsi:type="dcterms:W3CDTF">2019-05-30T06:28:00Z</dcterms:modified>
</cp:coreProperties>
</file>