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0B" w:rsidRDefault="00277A0B" w:rsidP="00656C1A">
      <w:pPr>
        <w:spacing w:line="120" w:lineRule="atLeast"/>
        <w:jc w:val="center"/>
        <w:rPr>
          <w:sz w:val="24"/>
          <w:szCs w:val="24"/>
        </w:rPr>
      </w:pPr>
    </w:p>
    <w:p w:rsidR="00277A0B" w:rsidRDefault="00277A0B" w:rsidP="00656C1A">
      <w:pPr>
        <w:spacing w:line="120" w:lineRule="atLeast"/>
        <w:jc w:val="center"/>
        <w:rPr>
          <w:sz w:val="24"/>
          <w:szCs w:val="24"/>
        </w:rPr>
      </w:pPr>
    </w:p>
    <w:p w:rsidR="00277A0B" w:rsidRPr="00852378" w:rsidRDefault="00277A0B" w:rsidP="00656C1A">
      <w:pPr>
        <w:spacing w:line="120" w:lineRule="atLeast"/>
        <w:jc w:val="center"/>
        <w:rPr>
          <w:sz w:val="10"/>
          <w:szCs w:val="10"/>
        </w:rPr>
      </w:pPr>
    </w:p>
    <w:p w:rsidR="00277A0B" w:rsidRDefault="00277A0B" w:rsidP="00656C1A">
      <w:pPr>
        <w:spacing w:line="120" w:lineRule="atLeast"/>
        <w:jc w:val="center"/>
        <w:rPr>
          <w:sz w:val="10"/>
          <w:szCs w:val="24"/>
        </w:rPr>
      </w:pPr>
    </w:p>
    <w:p w:rsidR="00277A0B" w:rsidRPr="005541F0" w:rsidRDefault="00277A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77A0B" w:rsidRDefault="00277A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77A0B" w:rsidRPr="005541F0" w:rsidRDefault="00277A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77A0B" w:rsidRPr="005649E4" w:rsidRDefault="00277A0B" w:rsidP="00656C1A">
      <w:pPr>
        <w:spacing w:line="120" w:lineRule="atLeast"/>
        <w:jc w:val="center"/>
        <w:rPr>
          <w:sz w:val="18"/>
          <w:szCs w:val="24"/>
        </w:rPr>
      </w:pPr>
    </w:p>
    <w:p w:rsidR="00277A0B" w:rsidRPr="00656C1A" w:rsidRDefault="00277A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77A0B" w:rsidRPr="005541F0" w:rsidRDefault="00277A0B" w:rsidP="00656C1A">
      <w:pPr>
        <w:spacing w:line="120" w:lineRule="atLeast"/>
        <w:jc w:val="center"/>
        <w:rPr>
          <w:sz w:val="18"/>
          <w:szCs w:val="24"/>
        </w:rPr>
      </w:pPr>
    </w:p>
    <w:p w:rsidR="00277A0B" w:rsidRPr="005541F0" w:rsidRDefault="00277A0B" w:rsidP="00656C1A">
      <w:pPr>
        <w:spacing w:line="120" w:lineRule="atLeast"/>
        <w:jc w:val="center"/>
        <w:rPr>
          <w:sz w:val="20"/>
          <w:szCs w:val="24"/>
        </w:rPr>
      </w:pPr>
    </w:p>
    <w:p w:rsidR="00277A0B" w:rsidRPr="00656C1A" w:rsidRDefault="00277A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77A0B" w:rsidRDefault="00277A0B" w:rsidP="00656C1A">
      <w:pPr>
        <w:spacing w:line="120" w:lineRule="atLeast"/>
        <w:jc w:val="center"/>
        <w:rPr>
          <w:sz w:val="30"/>
          <w:szCs w:val="24"/>
        </w:rPr>
      </w:pPr>
    </w:p>
    <w:p w:rsidR="00277A0B" w:rsidRPr="00656C1A" w:rsidRDefault="00277A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77A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77A0B" w:rsidRPr="00F8214F" w:rsidRDefault="00277A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77A0B" w:rsidRPr="00F8214F" w:rsidRDefault="009A4D3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77A0B" w:rsidRPr="00F8214F" w:rsidRDefault="00277A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77A0B" w:rsidRPr="00F8214F" w:rsidRDefault="009A4D3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77A0B" w:rsidRPr="00A63FB0" w:rsidRDefault="00277A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77A0B" w:rsidRPr="00A3761A" w:rsidRDefault="009A4D3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77A0B" w:rsidRPr="00F8214F" w:rsidRDefault="00277A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77A0B" w:rsidRPr="00F8214F" w:rsidRDefault="00277A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77A0B" w:rsidRPr="00AB4194" w:rsidRDefault="00277A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77A0B" w:rsidRPr="00F8214F" w:rsidRDefault="009A4D3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5798</w:t>
            </w:r>
          </w:p>
        </w:tc>
      </w:tr>
    </w:tbl>
    <w:p w:rsidR="00277A0B" w:rsidRPr="00C725A6" w:rsidRDefault="00277A0B" w:rsidP="00C725A6">
      <w:pPr>
        <w:rPr>
          <w:rFonts w:cs="Times New Roman"/>
          <w:szCs w:val="28"/>
        </w:rPr>
      </w:pP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Администрации города от 10.07.2023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№ 3455 «Об утверждении местных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нормативов градостроительного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проектирования на территории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</w:p>
    <w:p w:rsid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contextualSpacing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округа – Югры»</w:t>
      </w: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spacing w:after="200"/>
        <w:contextualSpacing/>
        <w:rPr>
          <w:rFonts w:eastAsia="Times New Roman" w:cs="Times New Roman"/>
          <w:szCs w:val="28"/>
          <w:lang w:eastAsia="ru-RU"/>
        </w:rPr>
      </w:pPr>
    </w:p>
    <w:p w:rsidR="00277A0B" w:rsidRPr="00277A0B" w:rsidRDefault="00277A0B" w:rsidP="00277A0B">
      <w:pPr>
        <w:widowControl w:val="0"/>
        <w:tabs>
          <w:tab w:val="center" w:pos="4677"/>
          <w:tab w:val="right" w:pos="9355"/>
        </w:tabs>
        <w:spacing w:after="200"/>
        <w:contextualSpacing/>
        <w:rPr>
          <w:rFonts w:eastAsia="Times New Roman" w:cs="Times New Roman"/>
          <w:szCs w:val="28"/>
          <w:lang w:eastAsia="ru-RU"/>
        </w:rPr>
      </w:pP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18.04.2007 № 39-оз </w:t>
      </w:r>
      <w:r w:rsidRPr="00277A0B">
        <w:rPr>
          <w:rFonts w:eastAsia="Times New Roman" w:cs="Times New Roman"/>
          <w:szCs w:val="28"/>
          <w:lang w:eastAsia="ru-RU"/>
        </w:rPr>
        <w:br/>
        <w:t xml:space="preserve">«О градостроительной деятельности на территории Ханты-Мансийского автономного округа – Югры», постановлением Правительства Ханты-Мансийского автономного округа – Югры от 29.12.2014 № 534-п </w:t>
      </w:r>
      <w:r>
        <w:rPr>
          <w:rFonts w:eastAsia="Times New Roman" w:cs="Times New Roman"/>
          <w:szCs w:val="28"/>
          <w:lang w:eastAsia="ru-RU"/>
        </w:rPr>
        <w:br/>
      </w:r>
      <w:r w:rsidRPr="00277A0B">
        <w:rPr>
          <w:rFonts w:eastAsia="Times New Roman" w:cs="Times New Roman"/>
          <w:szCs w:val="28"/>
          <w:lang w:eastAsia="ru-RU"/>
        </w:rPr>
        <w:t>«Об утверждении региональных нормативов градостроительного проектиро</w:t>
      </w:r>
      <w:r>
        <w:rPr>
          <w:rFonts w:eastAsia="Times New Roman" w:cs="Times New Roman"/>
          <w:szCs w:val="28"/>
          <w:lang w:eastAsia="ru-RU"/>
        </w:rPr>
        <w:t>-</w:t>
      </w:r>
      <w:r w:rsidRPr="00277A0B">
        <w:rPr>
          <w:rFonts w:eastAsia="Times New Roman" w:cs="Times New Roman"/>
          <w:szCs w:val="28"/>
          <w:lang w:eastAsia="ru-RU"/>
        </w:rPr>
        <w:t>вания Ханты-Мансийского автономного округа – Югры», Уставом муниципаль</w:t>
      </w:r>
      <w:r>
        <w:rPr>
          <w:rFonts w:eastAsia="Times New Roman" w:cs="Times New Roman"/>
          <w:szCs w:val="28"/>
          <w:lang w:eastAsia="ru-RU"/>
        </w:rPr>
        <w:t>-</w:t>
      </w:r>
      <w:r w:rsidRPr="00277A0B">
        <w:rPr>
          <w:rFonts w:eastAsia="Times New Roman" w:cs="Times New Roman"/>
          <w:szCs w:val="28"/>
          <w:lang w:eastAsia="ru-RU"/>
        </w:rPr>
        <w:t xml:space="preserve">ного образования городской округ Сургут Ханты-Мансийского автономного округа – Югры, постановлением Администрации города 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Югры», распоряжениями Администрации города </w:t>
      </w:r>
      <w:r w:rsidR="000F2AED" w:rsidRPr="00277A0B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</w:t>
      </w:r>
      <w:r w:rsidR="000F2AED">
        <w:rPr>
          <w:rFonts w:eastAsia="Times New Roman" w:cs="Times New Roman"/>
          <w:szCs w:val="28"/>
          <w:lang w:eastAsia="ru-RU"/>
        </w:rPr>
        <w:t xml:space="preserve">, </w:t>
      </w:r>
      <w:r w:rsidRPr="00277A0B">
        <w:rPr>
          <w:rFonts w:eastAsia="Times New Roman" w:cs="Times New Roman"/>
          <w:szCs w:val="28"/>
          <w:lang w:eastAsia="ru-RU"/>
        </w:rPr>
        <w:t xml:space="preserve">от 29.01.2024 № 241 «О разработке изменений в местные нормативы градостроительного проектирования </w:t>
      </w:r>
      <w:r>
        <w:rPr>
          <w:rFonts w:eastAsia="Times New Roman" w:cs="Times New Roman"/>
          <w:szCs w:val="28"/>
          <w:lang w:eastAsia="ru-RU"/>
        </w:rPr>
        <w:br/>
      </w:r>
      <w:r w:rsidRPr="00277A0B">
        <w:rPr>
          <w:rFonts w:eastAsia="Times New Roman" w:cs="Times New Roman"/>
          <w:szCs w:val="28"/>
          <w:lang w:eastAsia="ru-RU"/>
        </w:rPr>
        <w:t>на территории муниципального образования городской округ Сургут Ханты-Мансийского автономного округа – Югры»: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10.07.2023 № 3455 «Об утверждении местных нормативов градостроительного проектирования </w:t>
      </w:r>
      <w:r w:rsidRPr="00277A0B">
        <w:rPr>
          <w:rFonts w:eastAsia="Times New Roman" w:cs="Times New Roman"/>
          <w:szCs w:val="28"/>
          <w:lang w:eastAsia="ru-RU"/>
        </w:rPr>
        <w:br/>
        <w:t>на территории муниципального образования городской округ Сургут Ханты-Мансийского автономного округа – Югры» следующие изменения: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lastRenderedPageBreak/>
        <w:t>1.1. Пункт 6 постановления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«6. Настоящее постановление вступает в силу после его официального опубликования и действует до 01.03.2031».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1.2. В приложении к постановлению: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1.2.1. В подпункте 1.1 пункта 1 главы 1 раздела II слова «35 кв. м общей площади на человека» заменить словами «30 кв. м общей площади на человека»</w:t>
      </w:r>
      <w:r w:rsidR="00230F77">
        <w:rPr>
          <w:rFonts w:eastAsia="Times New Roman" w:cs="Times New Roman"/>
          <w:szCs w:val="28"/>
          <w:lang w:eastAsia="ru-RU"/>
        </w:rPr>
        <w:t>.</w:t>
      </w:r>
      <w:r w:rsidRPr="00277A0B">
        <w:rPr>
          <w:rFonts w:eastAsia="Times New Roman" w:cs="Times New Roman"/>
          <w:szCs w:val="28"/>
          <w:lang w:eastAsia="ru-RU"/>
        </w:rPr>
        <w:t xml:space="preserve"> 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1.2.2. Подпункт 2.1 пункта 2 главы 1 раздела </w:t>
      </w:r>
      <w:r w:rsidRPr="00277A0B">
        <w:rPr>
          <w:rFonts w:eastAsia="Times New Roman" w:cs="Times New Roman"/>
          <w:szCs w:val="28"/>
          <w:lang w:val="en-US" w:eastAsia="ru-RU"/>
        </w:rPr>
        <w:t>II</w:t>
      </w:r>
      <w:r w:rsidRPr="00277A0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«2.1. Предельные значения расчетных показателей для объектов местного значения городского округа в области образования, молодежной политики, культуры и искусства, отдыха и оздоровления детей принимать в соответствии </w:t>
      </w:r>
      <w:r w:rsidRPr="00277A0B">
        <w:rPr>
          <w:rFonts w:eastAsia="Times New Roman" w:cs="Times New Roman"/>
          <w:szCs w:val="28"/>
          <w:lang w:eastAsia="ru-RU"/>
        </w:rPr>
        <w:br/>
        <w:t>с региональными нормативами градостроительного проектирования Ханты-Мансийского автономного округа – Югры, утвержденными постановлением Правительства Ханты-Мансийского автономного округа – Югры от 29.12.2014 № 534-п (далее – РНГП ХМАО – Югры).</w:t>
      </w:r>
    </w:p>
    <w:p w:rsidR="00277A0B" w:rsidRPr="00277A0B" w:rsidRDefault="00277A0B" w:rsidP="00277A0B">
      <w:pPr>
        <w:ind w:firstLine="709"/>
        <w:jc w:val="both"/>
        <w:rPr>
          <w:rFonts w:eastAsia="Calibri" w:cs="Times New Roman"/>
        </w:rPr>
      </w:pPr>
      <w:r w:rsidRPr="00277A0B">
        <w:rPr>
          <w:rFonts w:eastAsia="Calibri" w:cs="Times New Roman"/>
        </w:rPr>
        <w:t>Расчетные показатели в сфере физической культуры и массового спорта принима</w:t>
      </w:r>
      <w:r w:rsidR="000F2AED">
        <w:rPr>
          <w:rFonts w:eastAsia="Calibri" w:cs="Times New Roman"/>
        </w:rPr>
        <w:t>ются</w:t>
      </w:r>
      <w:r w:rsidRPr="00277A0B">
        <w:rPr>
          <w:rFonts w:eastAsia="Calibri" w:cs="Times New Roman"/>
        </w:rPr>
        <w:t xml:space="preserve"> </w:t>
      </w:r>
      <w:r w:rsidR="000F2AED">
        <w:rPr>
          <w:rFonts w:eastAsia="Calibri" w:cs="Times New Roman"/>
        </w:rPr>
        <w:t>согласно</w:t>
      </w:r>
      <w:r w:rsidRPr="00277A0B">
        <w:rPr>
          <w:rFonts w:eastAsia="Calibri" w:cs="Times New Roman"/>
        </w:rPr>
        <w:t xml:space="preserve"> таблице 3.</w:t>
      </w:r>
    </w:p>
    <w:p w:rsidR="00277A0B" w:rsidRPr="00277A0B" w:rsidRDefault="00277A0B" w:rsidP="00277A0B">
      <w:pPr>
        <w:jc w:val="right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>Таблица 3</w:t>
      </w:r>
    </w:p>
    <w:p w:rsidR="00277A0B" w:rsidRPr="00277A0B" w:rsidRDefault="00277A0B" w:rsidP="00277A0B">
      <w:pPr>
        <w:jc w:val="center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 xml:space="preserve">Предельные значения расчетных показателей </w:t>
      </w:r>
    </w:p>
    <w:p w:rsidR="00277A0B" w:rsidRPr="00277A0B" w:rsidRDefault="00277A0B" w:rsidP="00277A0B">
      <w:pPr>
        <w:jc w:val="center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 xml:space="preserve">для объектов местного значения городского округа в области </w:t>
      </w:r>
    </w:p>
    <w:p w:rsidR="00277A0B" w:rsidRPr="00277A0B" w:rsidRDefault="00277A0B" w:rsidP="00277A0B">
      <w:pPr>
        <w:jc w:val="center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>физической культуры и массового спорта</w:t>
      </w:r>
    </w:p>
    <w:p w:rsidR="00277A0B" w:rsidRPr="00277A0B" w:rsidRDefault="00277A0B" w:rsidP="00277A0B">
      <w:pPr>
        <w:jc w:val="right"/>
        <w:rPr>
          <w:rFonts w:eastAsia="Calibri" w:cs="Times New Roman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277A0B" w:rsidRPr="00277A0B" w:rsidTr="00DD445D">
        <w:trPr>
          <w:trHeight w:val="20"/>
        </w:trPr>
        <w:tc>
          <w:tcPr>
            <w:tcW w:w="3256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Значение расчетного показателя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shd w:val="clear" w:color="auto" w:fill="auto"/>
          </w:tcPr>
          <w:p w:rsid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Объекты спорта </w:t>
            </w:r>
          </w:p>
          <w:p w:rsid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(в качестве сетевой единицы необходимо учитывать объекты спорта всех видов </w:t>
            </w:r>
          </w:p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и форм собственности)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уровень обеспеченности, единовременная пропускная способность на 1 тыс. человек общей численности населения 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64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Спортивные залы</w:t>
            </w:r>
          </w:p>
        </w:tc>
        <w:tc>
          <w:tcPr>
            <w:tcW w:w="3260" w:type="dxa"/>
            <w:shd w:val="clear" w:color="auto" w:fill="auto"/>
          </w:tcPr>
          <w:p w:rsid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уровень обеспеченности, кв. м площади пола </w:t>
            </w:r>
          </w:p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на 1 тыс. человек общей численности населения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195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15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Плоскостные спортивные сооружения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уровень обеспеченности, кв. м на 1 тыс. человек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600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10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Плавательные бассейны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уровень обеспеченности,</w:t>
            </w:r>
          </w:p>
          <w:p w:rsid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кв. м зеркала воды </w:t>
            </w:r>
          </w:p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на 1 тыс. человек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25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транспортная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77A0B">
            <w:pPr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15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shd w:val="clear" w:color="auto" w:fill="auto"/>
          </w:tcPr>
          <w:p w:rsid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 xml:space="preserve">Крытые спортивные объекты </w:t>
            </w:r>
          </w:p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с искусственным льдом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834D4">
            <w:pPr>
              <w:ind w:left="-108" w:right="-113"/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 объект на 100 тыс. чел. постоянного населения</w:t>
            </w:r>
          </w:p>
        </w:tc>
      </w:tr>
      <w:tr w:rsidR="00277A0B" w:rsidRPr="00277A0B" w:rsidTr="00DD445D">
        <w:trPr>
          <w:trHeight w:val="20"/>
        </w:trPr>
        <w:tc>
          <w:tcPr>
            <w:tcW w:w="3256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Лыжные базы</w:t>
            </w:r>
          </w:p>
        </w:tc>
        <w:tc>
          <w:tcPr>
            <w:tcW w:w="3260" w:type="dxa"/>
            <w:shd w:val="clear" w:color="auto" w:fill="auto"/>
          </w:tcPr>
          <w:p w:rsidR="00277A0B" w:rsidRPr="00277A0B" w:rsidRDefault="00277A0B" w:rsidP="00277A0B">
            <w:pPr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277A0B" w:rsidRPr="00277A0B" w:rsidRDefault="00277A0B" w:rsidP="002834D4">
            <w:pPr>
              <w:ind w:left="-108" w:right="-113"/>
              <w:jc w:val="center"/>
              <w:rPr>
                <w:rFonts w:eastAsia="Calibri" w:cs="Times New Roman"/>
                <w:szCs w:val="24"/>
              </w:rPr>
            </w:pPr>
            <w:r w:rsidRPr="00277A0B">
              <w:rPr>
                <w:rFonts w:eastAsia="Calibri" w:cs="Times New Roman"/>
                <w:szCs w:val="24"/>
              </w:rPr>
              <w:t>1 объект на 100 тыс. чел. постоянного населения</w:t>
            </w:r>
          </w:p>
        </w:tc>
      </w:tr>
    </w:tbl>
    <w:p w:rsidR="00277A0B" w:rsidRPr="00277A0B" w:rsidRDefault="00277A0B" w:rsidP="00277A0B">
      <w:pPr>
        <w:ind w:firstLine="709"/>
        <w:jc w:val="both"/>
        <w:rPr>
          <w:rFonts w:eastAsia="Calibri" w:cs="Times New Roman"/>
          <w:spacing w:val="-8"/>
          <w:sz w:val="10"/>
          <w:szCs w:val="10"/>
        </w:rPr>
      </w:pPr>
    </w:p>
    <w:p w:rsidR="00277A0B" w:rsidRPr="00277A0B" w:rsidRDefault="00277A0B" w:rsidP="00277A0B">
      <w:pPr>
        <w:ind w:firstLine="709"/>
        <w:jc w:val="both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>Примечание:</w:t>
      </w:r>
    </w:p>
    <w:p w:rsidR="00277A0B" w:rsidRPr="00277A0B" w:rsidRDefault="00277A0B" w:rsidP="00277A0B">
      <w:pPr>
        <w:ind w:firstLine="709"/>
        <w:jc w:val="both"/>
        <w:rPr>
          <w:rFonts w:eastAsia="Calibri" w:cs="Times New Roman"/>
          <w:szCs w:val="24"/>
        </w:rPr>
      </w:pPr>
      <w:r w:rsidRPr="00277A0B">
        <w:rPr>
          <w:rFonts w:eastAsia="Calibri" w:cs="Times New Roman"/>
          <w:szCs w:val="24"/>
        </w:rPr>
        <w:t>Размещение спортивной инфраструктуры в населенных пунктах муници</w:t>
      </w:r>
      <w:r>
        <w:rPr>
          <w:rFonts w:eastAsia="Calibri" w:cs="Times New Roman"/>
          <w:szCs w:val="24"/>
        </w:rPr>
        <w:t>-</w:t>
      </w:r>
      <w:r w:rsidRPr="00277A0B">
        <w:rPr>
          <w:rFonts w:eastAsia="Calibri" w:cs="Times New Roman"/>
          <w:szCs w:val="24"/>
        </w:rPr>
        <w:t>пальных образований исходя из численности постоянного населения необхо</w:t>
      </w:r>
      <w:r>
        <w:rPr>
          <w:rFonts w:eastAsia="Calibri" w:cs="Times New Roman"/>
          <w:szCs w:val="24"/>
        </w:rPr>
        <w:t>-</w:t>
      </w:r>
      <w:r w:rsidRPr="00277A0B">
        <w:rPr>
          <w:rFonts w:eastAsia="Calibri" w:cs="Times New Roman"/>
          <w:szCs w:val="24"/>
        </w:rPr>
        <w:t>димо осуществлять с учетом пункта 2 приложения к приказу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1.2.3. В тексте подпункта 3.5 пункта 3 главы 1 раздела </w:t>
      </w:r>
      <w:r w:rsidRPr="00277A0B">
        <w:rPr>
          <w:rFonts w:eastAsia="Times New Roman" w:cs="Times New Roman"/>
          <w:szCs w:val="28"/>
          <w:lang w:val="en-US" w:eastAsia="ru-RU"/>
        </w:rPr>
        <w:t>II</w:t>
      </w:r>
      <w:r w:rsidRPr="00277A0B">
        <w:rPr>
          <w:rFonts w:eastAsia="Times New Roman" w:cs="Times New Roman"/>
          <w:szCs w:val="28"/>
          <w:lang w:eastAsia="ru-RU"/>
        </w:rPr>
        <w:t xml:space="preserve"> слова «таблица 3» в соответствующем падеже заменить словами «таблица 4» в соответствующем падеже.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pacing w:val="-4"/>
          <w:szCs w:val="28"/>
          <w:lang w:eastAsia="ru-RU"/>
        </w:rPr>
        <w:t xml:space="preserve">1.2.4. В тексте подпункта 8.1 пункта 8 главы 2 раздела </w:t>
      </w:r>
      <w:r w:rsidRPr="00277A0B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277A0B">
        <w:rPr>
          <w:rFonts w:eastAsia="Times New Roman" w:cs="Times New Roman"/>
          <w:spacing w:val="-4"/>
          <w:szCs w:val="28"/>
          <w:lang w:eastAsia="ru-RU"/>
        </w:rPr>
        <w:t xml:space="preserve"> слова «таблица 4»</w:t>
      </w:r>
      <w:r w:rsidRPr="00277A0B">
        <w:rPr>
          <w:rFonts w:eastAsia="Times New Roman" w:cs="Times New Roman"/>
          <w:szCs w:val="28"/>
          <w:lang w:eastAsia="ru-RU"/>
        </w:rPr>
        <w:t xml:space="preserve"> заменить словами «таблица 5».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1.2.5. В тексте подпункта 9.1 пункта 9 главы 2 раздела </w:t>
      </w:r>
      <w:r w:rsidRPr="00277A0B">
        <w:rPr>
          <w:rFonts w:eastAsia="Times New Roman" w:cs="Times New Roman"/>
          <w:szCs w:val="28"/>
          <w:lang w:val="en-US" w:eastAsia="ru-RU"/>
        </w:rPr>
        <w:t>II</w:t>
      </w:r>
      <w:r w:rsidRPr="00277A0B">
        <w:rPr>
          <w:rFonts w:eastAsia="Times New Roman" w:cs="Times New Roman"/>
          <w:szCs w:val="28"/>
          <w:lang w:eastAsia="ru-RU"/>
        </w:rPr>
        <w:t xml:space="preserve"> слова «таблица 5» в соответствующем падеже заменить словами «таблица 6» в соответствующем падеже.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1.2.6. В подпункте 9.2 пункта 9 главы 2 раздела II: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в тексте слова «таблица 6» в соответствующем падеже заменить словами «таблица 7» в соответствующем падеже;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в таблице цифр</w:t>
      </w:r>
      <w:r>
        <w:rPr>
          <w:rFonts w:eastAsia="Times New Roman" w:cs="Times New Roman"/>
          <w:szCs w:val="28"/>
          <w:lang w:eastAsia="ru-RU"/>
        </w:rPr>
        <w:t>ы</w:t>
      </w:r>
      <w:r w:rsidRPr="00277A0B">
        <w:rPr>
          <w:rFonts w:eastAsia="Times New Roman" w:cs="Times New Roman"/>
          <w:szCs w:val="28"/>
          <w:lang w:eastAsia="ru-RU"/>
        </w:rPr>
        <w:t xml:space="preserve"> «367,7» заменить цифр</w:t>
      </w:r>
      <w:r>
        <w:rPr>
          <w:rFonts w:eastAsia="Times New Roman" w:cs="Times New Roman"/>
          <w:szCs w:val="28"/>
          <w:lang w:eastAsia="ru-RU"/>
        </w:rPr>
        <w:t>ами</w:t>
      </w:r>
      <w:r w:rsidRPr="00277A0B">
        <w:rPr>
          <w:rFonts w:eastAsia="Times New Roman" w:cs="Times New Roman"/>
          <w:szCs w:val="28"/>
          <w:lang w:eastAsia="ru-RU"/>
        </w:rPr>
        <w:t xml:space="preserve"> «400», цифр</w:t>
      </w:r>
      <w:r>
        <w:rPr>
          <w:rFonts w:eastAsia="Times New Roman" w:cs="Times New Roman"/>
          <w:szCs w:val="28"/>
          <w:lang w:eastAsia="ru-RU"/>
        </w:rPr>
        <w:t>ы</w:t>
      </w:r>
      <w:r w:rsidRPr="00277A0B">
        <w:rPr>
          <w:rFonts w:eastAsia="Times New Roman" w:cs="Times New Roman"/>
          <w:szCs w:val="28"/>
          <w:lang w:eastAsia="ru-RU"/>
        </w:rPr>
        <w:t xml:space="preserve"> «114» заменить цифр</w:t>
      </w:r>
      <w:r>
        <w:rPr>
          <w:rFonts w:eastAsia="Times New Roman" w:cs="Times New Roman"/>
          <w:szCs w:val="28"/>
          <w:lang w:eastAsia="ru-RU"/>
        </w:rPr>
        <w:t>ами</w:t>
      </w:r>
      <w:r w:rsidRPr="00277A0B">
        <w:rPr>
          <w:rFonts w:eastAsia="Times New Roman" w:cs="Times New Roman"/>
          <w:szCs w:val="28"/>
          <w:lang w:eastAsia="ru-RU"/>
        </w:rPr>
        <w:t xml:space="preserve"> «120».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1.2.7. В тексте подпункта 9.4 пункта 9 главы 2 раздела </w:t>
      </w:r>
      <w:r w:rsidRPr="00277A0B">
        <w:rPr>
          <w:rFonts w:eastAsia="Times New Roman" w:cs="Times New Roman"/>
          <w:szCs w:val="28"/>
          <w:lang w:val="en-US" w:eastAsia="ru-RU"/>
        </w:rPr>
        <w:t>II</w:t>
      </w:r>
      <w:r w:rsidRPr="00277A0B">
        <w:rPr>
          <w:rFonts w:eastAsia="Times New Roman" w:cs="Times New Roman"/>
          <w:szCs w:val="28"/>
          <w:lang w:eastAsia="ru-RU"/>
        </w:rPr>
        <w:t xml:space="preserve"> слова «таблица 7» в соответствующем падеже заменить словами «таблица 8» в соответствующем падеже.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1.2.8. В тексте подпункта 9.5 пункта 9 главы 2 раздела </w:t>
      </w:r>
      <w:r w:rsidRPr="00277A0B">
        <w:rPr>
          <w:rFonts w:eastAsia="Times New Roman" w:cs="Times New Roman"/>
          <w:szCs w:val="28"/>
          <w:lang w:val="en-US" w:eastAsia="ru-RU"/>
        </w:rPr>
        <w:t>II</w:t>
      </w:r>
      <w:r w:rsidRPr="00277A0B">
        <w:rPr>
          <w:rFonts w:eastAsia="Times New Roman" w:cs="Times New Roman"/>
          <w:szCs w:val="28"/>
          <w:lang w:eastAsia="ru-RU"/>
        </w:rPr>
        <w:t xml:space="preserve"> слова «таблица 8» в соответствующем падеже заменить словами «таблица 9» в соответствующем падеже.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1.2.9. Пункт 1 главы 1 раздела </w:t>
      </w:r>
      <w:r w:rsidRPr="00277A0B">
        <w:rPr>
          <w:rFonts w:eastAsia="Times New Roman" w:cs="Times New Roman"/>
          <w:szCs w:val="28"/>
          <w:lang w:val="en-US" w:eastAsia="ru-RU"/>
        </w:rPr>
        <w:t>III</w:t>
      </w:r>
      <w:r w:rsidRPr="00277A0B">
        <w:rPr>
          <w:rFonts w:eastAsia="Times New Roman" w:cs="Times New Roman"/>
          <w:szCs w:val="28"/>
          <w:lang w:eastAsia="ru-RU"/>
        </w:rPr>
        <w:t xml:space="preserve"> дополнить абзацем шестым следующего содержания: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«Департамент архитектуры и градостроительства Администрации города осуществляет оценку соблюдения обязательных требований, содержащихся </w:t>
      </w:r>
      <w:r w:rsidRPr="00277A0B">
        <w:rPr>
          <w:rFonts w:eastAsia="Times New Roman" w:cs="Times New Roman"/>
          <w:szCs w:val="28"/>
          <w:lang w:eastAsia="ru-RU"/>
        </w:rPr>
        <w:br/>
        <w:t>в местных нормативах градостроительного проектирования, при выдаче разрешений на строительство».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1.2.10. В пункте 2 главы 1 раздела III: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абзац второй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«Расчетные показатели подлежат применению разработчиком градострои</w:t>
      </w:r>
      <w:r>
        <w:rPr>
          <w:rFonts w:eastAsia="Times New Roman" w:cs="Times New Roman"/>
          <w:szCs w:val="28"/>
          <w:lang w:eastAsia="ru-RU"/>
        </w:rPr>
        <w:t>-</w:t>
      </w:r>
      <w:r w:rsidRPr="00277A0B">
        <w:rPr>
          <w:rFonts w:eastAsia="Times New Roman" w:cs="Times New Roman"/>
          <w:szCs w:val="28"/>
          <w:lang w:eastAsia="ru-RU"/>
        </w:rPr>
        <w:t>тельной документации, заказчиком градостроительной документации, застройщиками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населения»;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в тексте слова «таблица 9» в соответствующем падеже заменить словами «таблица 10» в соответствующем падеже.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1.3. В приложении к местным нормативам градостроительного проектиро</w:t>
      </w:r>
      <w:r>
        <w:rPr>
          <w:rFonts w:eastAsia="Times New Roman" w:cs="Times New Roman"/>
          <w:szCs w:val="28"/>
          <w:lang w:eastAsia="ru-RU"/>
        </w:rPr>
        <w:t>-</w:t>
      </w:r>
      <w:r w:rsidRPr="00277A0B">
        <w:rPr>
          <w:rFonts w:eastAsia="Times New Roman" w:cs="Times New Roman"/>
          <w:szCs w:val="28"/>
          <w:lang w:eastAsia="ru-RU"/>
        </w:rPr>
        <w:t>вания: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1.3.1. Подпункт 2.2.2 пункта 2.2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«2.2.2. Средний уровень жилищной обеспеченности.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Согласно данным Росстата общая площадь жилых помещений городского округа по состоянию на конец 2013 года составила 6 996,9 тыс. кв. м, при этом средняя жилищная обеспеченность находилась на уровне 21,1 кв. м/человека. 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Объем ввода в действие жилых домов за период 2012 года составил </w:t>
      </w:r>
      <w:r w:rsidRPr="00277A0B">
        <w:rPr>
          <w:rFonts w:eastAsia="Times New Roman" w:cs="Times New Roman"/>
          <w:szCs w:val="28"/>
          <w:lang w:eastAsia="ru-RU"/>
        </w:rPr>
        <w:br/>
        <w:t xml:space="preserve">341,6 тыс. кв. м общей площади жилых помещений, за период 2013 года – </w:t>
      </w:r>
      <w:r w:rsidRPr="00277A0B">
        <w:rPr>
          <w:rFonts w:eastAsia="Times New Roman" w:cs="Times New Roman"/>
          <w:szCs w:val="28"/>
          <w:lang w:eastAsia="ru-RU"/>
        </w:rPr>
        <w:br/>
        <w:t>308,1 тыс. кв. м.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Планируемый объем ввода жилищного фонда в 2014 году составил </w:t>
      </w:r>
      <w:r w:rsidRPr="00277A0B">
        <w:rPr>
          <w:rFonts w:eastAsia="Times New Roman" w:cs="Times New Roman"/>
          <w:szCs w:val="28"/>
          <w:lang w:eastAsia="ru-RU"/>
        </w:rPr>
        <w:br/>
        <w:t xml:space="preserve">275,4 тыс. кв. м общей площади жилых помещений, в 2015 – 2017 годах – </w:t>
      </w:r>
      <w:r w:rsidRPr="00277A0B">
        <w:rPr>
          <w:rFonts w:eastAsia="Times New Roman" w:cs="Times New Roman"/>
          <w:szCs w:val="28"/>
          <w:lang w:eastAsia="ru-RU"/>
        </w:rPr>
        <w:br/>
        <w:t>893,8 тыс. кв. м.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Таким образом, на основании темпов жилищного строительства, заложенных в стратегии социально-экономического развития муниципального образования, планируемых объемов ввода до 2017 года и фактических темпов ввода определен среднегодовой объем ввода жилья в размере 305 тыс. кв. м общей площади жилых помещений, позволяющий без перегрузки строительного комплекса до 2035 года реализовать свыше 6 млн. кв. м общей площади жилых помещений.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Достижение показателя средней жилищной обеспеченности в размере </w:t>
      </w:r>
      <w:r w:rsidRPr="00277A0B">
        <w:rPr>
          <w:rFonts w:eastAsia="Times New Roman" w:cs="Times New Roman"/>
          <w:szCs w:val="28"/>
          <w:lang w:eastAsia="ru-RU"/>
        </w:rPr>
        <w:br/>
        <w:t xml:space="preserve">30 кв. м общей площади жилых помещений на человека к 2035 году </w:t>
      </w:r>
      <w:r w:rsidRPr="00277A0B">
        <w:rPr>
          <w:rFonts w:eastAsia="Times New Roman" w:cs="Times New Roman"/>
          <w:szCs w:val="28"/>
          <w:lang w:eastAsia="ru-RU"/>
        </w:rPr>
        <w:br/>
        <w:t>не противоречит Стратегии социально-экономического развития Ханты-Мансийского автономного округа – Югры до 2036 года с целевыми ориентирами до 2050 года».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1.3.2. Пункт 2.3 пункта 2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«2.3. Расчетные показатели в сфере социального обеспечения.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Предельные значения расчетных показателей для объектов местного значения городского округа в области образования, физической культуры </w:t>
      </w:r>
      <w:r w:rsidRPr="00277A0B">
        <w:rPr>
          <w:rFonts w:eastAsia="Times New Roman" w:cs="Times New Roman"/>
          <w:szCs w:val="28"/>
          <w:lang w:eastAsia="ru-RU"/>
        </w:rPr>
        <w:br/>
        <w:t>и спорта, молодежной политики, культуры и искусства, отдыха и оздоровления детей принимать в соответствии с РНГП ХМАО – Югры».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1.3.3. В таблице 4: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цифр</w:t>
      </w:r>
      <w:r>
        <w:rPr>
          <w:rFonts w:eastAsia="Times New Roman" w:cs="Times New Roman"/>
          <w:szCs w:val="28"/>
          <w:lang w:eastAsia="ru-RU"/>
        </w:rPr>
        <w:t>ы</w:t>
      </w:r>
      <w:r w:rsidRPr="00277A0B">
        <w:rPr>
          <w:rFonts w:eastAsia="Times New Roman" w:cs="Times New Roman"/>
          <w:szCs w:val="28"/>
          <w:lang w:eastAsia="ru-RU"/>
        </w:rPr>
        <w:t xml:space="preserve"> «367,7» заменить цифр</w:t>
      </w:r>
      <w:r>
        <w:rPr>
          <w:rFonts w:eastAsia="Times New Roman" w:cs="Times New Roman"/>
          <w:szCs w:val="28"/>
          <w:lang w:eastAsia="ru-RU"/>
        </w:rPr>
        <w:t>ами</w:t>
      </w:r>
      <w:r w:rsidRPr="00277A0B">
        <w:rPr>
          <w:rFonts w:eastAsia="Times New Roman" w:cs="Times New Roman"/>
          <w:szCs w:val="28"/>
          <w:lang w:eastAsia="ru-RU"/>
        </w:rPr>
        <w:t xml:space="preserve"> «400»;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цифр</w:t>
      </w:r>
      <w:r>
        <w:rPr>
          <w:rFonts w:eastAsia="Times New Roman" w:cs="Times New Roman"/>
          <w:szCs w:val="28"/>
          <w:lang w:eastAsia="ru-RU"/>
        </w:rPr>
        <w:t>ы</w:t>
      </w:r>
      <w:r w:rsidRPr="00277A0B">
        <w:rPr>
          <w:rFonts w:eastAsia="Times New Roman" w:cs="Times New Roman"/>
          <w:szCs w:val="28"/>
          <w:lang w:eastAsia="ru-RU"/>
        </w:rPr>
        <w:t xml:space="preserve"> «114» заменить цифр</w:t>
      </w:r>
      <w:r>
        <w:rPr>
          <w:rFonts w:eastAsia="Times New Roman" w:cs="Times New Roman"/>
          <w:szCs w:val="28"/>
          <w:lang w:eastAsia="ru-RU"/>
        </w:rPr>
        <w:t>ами</w:t>
      </w:r>
      <w:r w:rsidRPr="00277A0B">
        <w:rPr>
          <w:rFonts w:eastAsia="Times New Roman" w:cs="Times New Roman"/>
          <w:szCs w:val="28"/>
          <w:lang w:eastAsia="ru-RU"/>
        </w:rPr>
        <w:t xml:space="preserve"> «120».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1.3.4. После таблицы 4: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абзац первый изложить в следующей редакции: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 xml:space="preserve">«Показатель минимальной обеспеченности местами стоянки автомобилей для объектов капитального строительства жилого назначения и уровень обеспеченности индивидуальными легковыми автомобилями установлены </w:t>
      </w:r>
      <w:r w:rsidRPr="00277A0B">
        <w:rPr>
          <w:rFonts w:eastAsia="Times New Roman" w:cs="Times New Roman"/>
          <w:szCs w:val="28"/>
          <w:lang w:eastAsia="ru-RU"/>
        </w:rPr>
        <w:br/>
        <w:t>в соответствии с РНГП ХМАО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277A0B">
        <w:rPr>
          <w:rFonts w:eastAsia="Times New Roman" w:cs="Times New Roman"/>
          <w:szCs w:val="28"/>
          <w:lang w:eastAsia="ru-RU"/>
        </w:rPr>
        <w:t>Югры».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- абзацы второй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277A0B">
        <w:rPr>
          <w:rFonts w:eastAsia="Times New Roman" w:cs="Times New Roman"/>
          <w:szCs w:val="28"/>
          <w:lang w:eastAsia="ru-RU"/>
        </w:rPr>
        <w:t>пятнадцатый признать утратившими силу.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7A0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77A0B" w:rsidRPr="00277A0B" w:rsidRDefault="00277A0B" w:rsidP="00277A0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77A0B" w:rsidRPr="00277A0B" w:rsidRDefault="00277A0B" w:rsidP="00277A0B">
      <w:pPr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77A0B">
        <w:rPr>
          <w:rFonts w:eastAsia="Times New Roman" w:cs="Times New Roman"/>
          <w:spacing w:val="-2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</w:t>
      </w:r>
      <w:r w:rsidRPr="00277A0B">
        <w:rPr>
          <w:rFonts w:eastAsia="Times New Roman" w:cs="Times New Roman"/>
          <w:spacing w:val="-2"/>
          <w:szCs w:val="28"/>
          <w:lang w:eastAsia="ru-RU"/>
        </w:rPr>
        <w:t xml:space="preserve">  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</w:t>
      </w:r>
      <w:r w:rsidRPr="00277A0B">
        <w:rPr>
          <w:rFonts w:eastAsia="Times New Roman" w:cs="Times New Roman"/>
          <w:spacing w:val="-2"/>
          <w:szCs w:val="28"/>
          <w:lang w:eastAsia="ru-RU"/>
        </w:rPr>
        <w:t xml:space="preserve">                                                                  М.Н. Слепов</w:t>
      </w:r>
    </w:p>
    <w:p w:rsidR="001766E8" w:rsidRPr="00277A0B" w:rsidRDefault="001766E8" w:rsidP="00277A0B"/>
    <w:sectPr w:rsidR="001766E8" w:rsidRPr="00277A0B" w:rsidSect="00277A0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5A" w:rsidRDefault="00A5405A">
      <w:r>
        <w:separator/>
      </w:r>
    </w:p>
  </w:endnote>
  <w:endnote w:type="continuationSeparator" w:id="0">
    <w:p w:rsidR="00A5405A" w:rsidRDefault="00A5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5A" w:rsidRDefault="00A5405A">
      <w:r>
        <w:separator/>
      </w:r>
    </w:p>
  </w:footnote>
  <w:footnote w:type="continuationSeparator" w:id="0">
    <w:p w:rsidR="00A5405A" w:rsidRDefault="00A5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11E8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4D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4D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A4D3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A4D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B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CA2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AED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0F77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0B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4D4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3957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01C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C6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4B43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52F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C53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1E87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225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4D35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05A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4AF0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F7A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5A8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E4EE19-269F-4D2A-8573-C6E94A95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7A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7A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2025-09-15T10:25:00Z</cp:lastPrinted>
  <dcterms:created xsi:type="dcterms:W3CDTF">2025-09-18T09:29:00Z</dcterms:created>
  <dcterms:modified xsi:type="dcterms:W3CDTF">2025-09-18T09:29:00Z</dcterms:modified>
</cp:coreProperties>
</file>