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E652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E6525" w:rsidRDefault="004E652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409938" r:id="rId7"/>
              </w:object>
            </w:r>
          </w:p>
          <w:p w:rsidR="004E6525" w:rsidRDefault="004E652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E6525" w:rsidRPr="005541F0" w:rsidRDefault="004E652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E6525" w:rsidRDefault="004E652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E6525" w:rsidRPr="005541F0" w:rsidRDefault="004E652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E6525" w:rsidRPr="005649E4" w:rsidRDefault="004E652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E6525" w:rsidRPr="00656C1A" w:rsidRDefault="004E652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E6525" w:rsidRPr="005541F0" w:rsidRDefault="004E652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E6525" w:rsidRPr="005541F0" w:rsidRDefault="004E652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E6525" w:rsidRPr="00656C1A" w:rsidRDefault="004E652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E6525" w:rsidRDefault="004E652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E6525" w:rsidRPr="003262E3" w:rsidRDefault="004E652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E652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E6525" w:rsidRPr="00F8214F" w:rsidRDefault="004E652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E6525" w:rsidRPr="00F8214F" w:rsidRDefault="007B6B1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E6525" w:rsidRPr="00F8214F" w:rsidRDefault="004E652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E6525" w:rsidRPr="00F8214F" w:rsidRDefault="007B6B1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E6525" w:rsidRPr="00A63FB0" w:rsidRDefault="004E652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E6525" w:rsidRPr="00A3761A" w:rsidRDefault="007B6B1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E6525" w:rsidRPr="00F8214F" w:rsidRDefault="004E652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E6525" w:rsidRPr="00AB4194" w:rsidRDefault="004E652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E6525" w:rsidRPr="00F8214F" w:rsidRDefault="007B6B1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7183</w:t>
            </w:r>
          </w:p>
        </w:tc>
      </w:tr>
    </w:tbl>
    <w:p w:rsidR="004E6525" w:rsidRDefault="004E6525" w:rsidP="009E222F"/>
    <w:p w:rsidR="004E6525" w:rsidRPr="004E6525" w:rsidRDefault="004E6525" w:rsidP="004E6525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4E6525">
        <w:rPr>
          <w:rFonts w:eastAsia="Times New Roman"/>
          <w:szCs w:val="28"/>
          <w:lang w:eastAsia="ru-RU"/>
        </w:rPr>
        <w:t xml:space="preserve">Об основных направлениях </w:t>
      </w:r>
    </w:p>
    <w:p w:rsidR="004E6525" w:rsidRPr="004E6525" w:rsidRDefault="004E6525" w:rsidP="004E6525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4E6525">
        <w:rPr>
          <w:rFonts w:eastAsia="Times New Roman"/>
          <w:szCs w:val="28"/>
          <w:lang w:eastAsia="ru-RU"/>
        </w:rPr>
        <w:t xml:space="preserve">бюджетной и налоговой политики </w:t>
      </w:r>
    </w:p>
    <w:p w:rsidR="004E6525" w:rsidRPr="004E6525" w:rsidRDefault="004E6525" w:rsidP="004E6525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4E6525">
        <w:rPr>
          <w:rFonts w:eastAsia="Times New Roman"/>
          <w:szCs w:val="28"/>
          <w:lang w:eastAsia="ru-RU"/>
        </w:rPr>
        <w:t xml:space="preserve">городского округа Сургут </w:t>
      </w:r>
    </w:p>
    <w:p w:rsidR="004E6525" w:rsidRPr="004E6525" w:rsidRDefault="004E6525" w:rsidP="004E6525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4E6525">
        <w:rPr>
          <w:rFonts w:eastAsia="Times New Roman"/>
          <w:szCs w:val="28"/>
          <w:lang w:eastAsia="ru-RU"/>
        </w:rPr>
        <w:t>Ханты-Мансийского автономного</w:t>
      </w:r>
    </w:p>
    <w:p w:rsidR="004E6525" w:rsidRPr="004E6525" w:rsidRDefault="004E6525" w:rsidP="004E6525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4E6525">
        <w:rPr>
          <w:rFonts w:eastAsia="Times New Roman"/>
          <w:szCs w:val="28"/>
          <w:lang w:eastAsia="ru-RU"/>
        </w:rPr>
        <w:t xml:space="preserve">округа – Югры на 2026 год </w:t>
      </w:r>
    </w:p>
    <w:p w:rsidR="004E6525" w:rsidRPr="004E6525" w:rsidRDefault="004E6525" w:rsidP="004E6525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4E6525">
        <w:rPr>
          <w:rFonts w:eastAsia="Times New Roman"/>
          <w:szCs w:val="28"/>
          <w:lang w:eastAsia="ru-RU"/>
        </w:rPr>
        <w:t>и плановый период 2027 – 2028 годов</w:t>
      </w:r>
    </w:p>
    <w:p w:rsidR="004E6525" w:rsidRPr="004E6525" w:rsidRDefault="004E6525" w:rsidP="004E6525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4E6525" w:rsidRPr="004E6525" w:rsidRDefault="004E6525" w:rsidP="004E652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4E6525" w:rsidRPr="004E6525" w:rsidRDefault="004E6525" w:rsidP="004E6525">
      <w:pPr>
        <w:ind w:firstLine="709"/>
        <w:jc w:val="both"/>
        <w:rPr>
          <w:rFonts w:eastAsia="Calibri"/>
          <w:spacing w:val="-6"/>
          <w:szCs w:val="28"/>
        </w:rPr>
      </w:pPr>
      <w:r w:rsidRPr="004E6525">
        <w:rPr>
          <w:rFonts w:eastAsia="Times New Roman"/>
          <w:szCs w:val="28"/>
          <w:lang w:eastAsia="ru-RU"/>
        </w:rPr>
        <w:t xml:space="preserve">В соответствии со статьями 172, 184.2 Бюджетного кодекса Российской Федерации, решением Думы города от 28.03.2008 № 358-IV ДГ «О Положении </w:t>
      </w:r>
      <w:r w:rsidRPr="004E6525">
        <w:rPr>
          <w:rFonts w:eastAsia="Times New Roman"/>
          <w:szCs w:val="28"/>
          <w:lang w:eastAsia="ru-RU"/>
        </w:rPr>
        <w:br/>
        <w:t xml:space="preserve">о бюджетном процессе в городском округе Сургут Ханты-Мансийского </w:t>
      </w:r>
      <w:r w:rsidRPr="004E6525">
        <w:rPr>
          <w:rFonts w:eastAsia="Times New Roman"/>
          <w:szCs w:val="28"/>
          <w:lang w:eastAsia="ru-RU"/>
        </w:rPr>
        <w:br/>
        <w:t xml:space="preserve">автономного округа – Югры», распоряжениями Администрации города  </w:t>
      </w:r>
      <w:r w:rsidRPr="004E6525">
        <w:rPr>
          <w:rFonts w:eastAsia="Times New Roman"/>
          <w:szCs w:val="28"/>
          <w:lang w:eastAsia="ru-RU"/>
        </w:rPr>
        <w:br/>
        <w:t xml:space="preserve">от 30.12.2005 № 3686 «Об утверждении </w:t>
      </w:r>
      <w:hyperlink r:id="rId8" w:history="1">
        <w:r w:rsidRPr="004E6525">
          <w:rPr>
            <w:rStyle w:val="a6"/>
            <w:rFonts w:eastAsia="Times New Roman"/>
            <w:color w:val="auto"/>
            <w:szCs w:val="28"/>
            <w:u w:val="none"/>
            <w:lang w:eastAsia="ru-RU"/>
          </w:rPr>
          <w:t>Регламент</w:t>
        </w:r>
      </w:hyperlink>
      <w:r w:rsidRPr="004E6525">
        <w:rPr>
          <w:rFonts w:eastAsia="Times New Roman"/>
          <w:szCs w:val="28"/>
          <w:lang w:eastAsia="ru-RU"/>
        </w:rPr>
        <w:t xml:space="preserve">а Администрации города», </w:t>
      </w:r>
      <w:r w:rsidRPr="004E6525">
        <w:rPr>
          <w:rFonts w:eastAsia="Times New Roman"/>
          <w:szCs w:val="28"/>
          <w:lang w:eastAsia="ru-RU"/>
        </w:rPr>
        <w:br/>
        <w:t xml:space="preserve">от 23.12.2024 № 8525 «О распределении отдельных полномочий Главы города между высшими должностными лицами Администрации города», от 20.06.2025 № 3588 «Об утверждении сроков составления проекта бюджета городского округа Сургут Ханты-Мансийского автономного округа – Югры на 2026 год </w:t>
      </w:r>
      <w:r>
        <w:rPr>
          <w:rFonts w:eastAsia="Times New Roman"/>
          <w:szCs w:val="28"/>
          <w:lang w:eastAsia="ru-RU"/>
        </w:rPr>
        <w:br/>
      </w:r>
      <w:r w:rsidRPr="004E6525">
        <w:rPr>
          <w:rFonts w:eastAsia="Times New Roman"/>
          <w:szCs w:val="28"/>
          <w:lang w:eastAsia="ru-RU"/>
        </w:rPr>
        <w:t>и плановый период 2027 – 2028 годов»</w:t>
      </w:r>
      <w:r w:rsidRPr="004E6525">
        <w:rPr>
          <w:rFonts w:eastAsia="Calibri"/>
          <w:spacing w:val="-6"/>
          <w:szCs w:val="28"/>
        </w:rPr>
        <w:t xml:space="preserve">: </w:t>
      </w:r>
    </w:p>
    <w:p w:rsidR="004E6525" w:rsidRPr="004E6525" w:rsidRDefault="004E6525" w:rsidP="004E6525">
      <w:pPr>
        <w:ind w:firstLine="709"/>
        <w:jc w:val="both"/>
      </w:pPr>
      <w:r w:rsidRPr="004E6525">
        <w:t xml:space="preserve">1. Одобрить основные направления бюджетной и налоговой политики </w:t>
      </w:r>
      <w:r w:rsidRPr="004E6525">
        <w:br/>
        <w:t xml:space="preserve">городского округа Сургут Ханты-Мансийского автономного округа – Югры </w:t>
      </w:r>
      <w:r w:rsidRPr="004E6525">
        <w:br/>
        <w:t>на 2026 год и плановый период 2027 – 2028 годов согласно приложению.</w:t>
      </w:r>
    </w:p>
    <w:p w:rsidR="004E6525" w:rsidRPr="004E6525" w:rsidRDefault="004E6525" w:rsidP="004E6525">
      <w:pPr>
        <w:ind w:firstLine="709"/>
        <w:jc w:val="both"/>
      </w:pPr>
      <w:r w:rsidRPr="004E6525">
        <w:t xml:space="preserve">2. Главным распорядителям бюджетных средств при подготовке проекта </w:t>
      </w:r>
      <w:r w:rsidRPr="004E6525">
        <w:br/>
        <w:t xml:space="preserve">бюджета на 2026 год и плановый период 2027 – 2028 годов руководствоваться </w:t>
      </w:r>
      <w:r w:rsidRPr="004E6525">
        <w:br/>
        <w:t>основными направлениями бюджетной и налоговой политики городского округа Сургут Ханты-Мансийского автономного округа – Югры на 2026 год и плановый период 2027 – 2028 годов.</w:t>
      </w:r>
    </w:p>
    <w:p w:rsidR="004E6525" w:rsidRPr="004E6525" w:rsidRDefault="004E6525" w:rsidP="004E6525">
      <w:pPr>
        <w:ind w:firstLine="709"/>
        <w:jc w:val="both"/>
      </w:pPr>
      <w:r w:rsidRPr="004E6525"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4E6525" w:rsidRPr="004E6525" w:rsidRDefault="004E6525" w:rsidP="004E65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E6525">
        <w:rPr>
          <w:rFonts w:eastAsia="Calibri"/>
          <w:szCs w:val="28"/>
        </w:rPr>
        <w:t xml:space="preserve">4. Муниципальному казенному учреждению «Наш город» обнародовать </w:t>
      </w:r>
      <w:r w:rsidRPr="004E6525">
        <w:rPr>
          <w:rFonts w:eastAsia="Calibri"/>
          <w:szCs w:val="28"/>
        </w:rPr>
        <w:br/>
        <w:t xml:space="preserve">(разместить) настоящее постановление в сетевом издании «Официальные             документы города Сургута»: DOCSURGUT.RU. </w:t>
      </w:r>
    </w:p>
    <w:p w:rsidR="004E6525" w:rsidRPr="004E6525" w:rsidRDefault="004E6525" w:rsidP="004E65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E6525">
        <w:rPr>
          <w:rFonts w:eastAsia="Calibri"/>
          <w:szCs w:val="28"/>
        </w:rPr>
        <w:lastRenderedPageBreak/>
        <w:t>5. Настоящее постановление вступает в силу с момента его издания.</w:t>
      </w:r>
    </w:p>
    <w:p w:rsidR="004E6525" w:rsidRPr="004E6525" w:rsidRDefault="004E6525" w:rsidP="004E65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E6525">
        <w:rPr>
          <w:rFonts w:eastAsia="Calibri"/>
          <w:szCs w:val="28"/>
        </w:rPr>
        <w:t>6. Контроль за выполнением постановления возложить на заместителя Главы города, курирующего сферу бюджета и финансов.</w:t>
      </w:r>
    </w:p>
    <w:p w:rsidR="004E6525" w:rsidRPr="004E6525" w:rsidRDefault="004E6525" w:rsidP="004E65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Cs w:val="28"/>
        </w:rPr>
      </w:pPr>
    </w:p>
    <w:p w:rsidR="004E6525" w:rsidRPr="004E6525" w:rsidRDefault="004E6525" w:rsidP="004E65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Cs w:val="28"/>
        </w:rPr>
      </w:pPr>
    </w:p>
    <w:p w:rsidR="004E6525" w:rsidRPr="004E6525" w:rsidRDefault="004E6525" w:rsidP="004E65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Cs w:val="28"/>
        </w:rPr>
      </w:pPr>
    </w:p>
    <w:p w:rsidR="004E6525" w:rsidRPr="004E6525" w:rsidRDefault="004E6525" w:rsidP="004E6525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4E6525">
        <w:rPr>
          <w:rFonts w:eastAsia="Calibri"/>
          <w:szCs w:val="28"/>
        </w:rPr>
        <w:t xml:space="preserve">Управляющий делами </w:t>
      </w:r>
    </w:p>
    <w:p w:rsidR="004E6525" w:rsidRPr="004E6525" w:rsidRDefault="004E6525" w:rsidP="004E6525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4E6525">
        <w:rPr>
          <w:rFonts w:eastAsia="Calibri"/>
          <w:szCs w:val="28"/>
        </w:rPr>
        <w:t>Администрации города                                                                            И.С. Вербовская</w:t>
      </w:r>
    </w:p>
    <w:p w:rsidR="004E6525" w:rsidRPr="004E6525" w:rsidRDefault="004E6525" w:rsidP="004E65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4E6525" w:rsidRDefault="004E6525" w:rsidP="004E6525">
      <w:pPr>
        <w:jc w:val="both"/>
        <w:rPr>
          <w:rFonts w:eastAsia="Calibri"/>
          <w:szCs w:val="28"/>
        </w:rPr>
        <w:sectPr w:rsidR="004E6525" w:rsidSect="00BB0D55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E6525" w:rsidRPr="004E6525" w:rsidRDefault="004E6525" w:rsidP="004E6525">
      <w:pPr>
        <w:ind w:firstLine="5670"/>
        <w:rPr>
          <w:rFonts w:eastAsia="Calibri" w:cs="Times New Roman"/>
          <w:szCs w:val="28"/>
        </w:rPr>
      </w:pPr>
      <w:r w:rsidRPr="004E6525">
        <w:rPr>
          <w:rFonts w:eastAsia="Calibri" w:cs="Times New Roman"/>
          <w:szCs w:val="28"/>
        </w:rPr>
        <w:lastRenderedPageBreak/>
        <w:t>Приложение</w:t>
      </w:r>
    </w:p>
    <w:p w:rsidR="004E6525" w:rsidRPr="004E6525" w:rsidRDefault="004E6525" w:rsidP="004E6525">
      <w:pPr>
        <w:ind w:firstLine="5670"/>
        <w:rPr>
          <w:rFonts w:eastAsia="Calibri" w:cs="Times New Roman"/>
          <w:szCs w:val="28"/>
        </w:rPr>
      </w:pPr>
      <w:r w:rsidRPr="004E6525">
        <w:rPr>
          <w:rFonts w:eastAsia="Calibri" w:cs="Times New Roman"/>
          <w:szCs w:val="28"/>
        </w:rPr>
        <w:t>к постановлению</w:t>
      </w:r>
    </w:p>
    <w:p w:rsidR="004E6525" w:rsidRPr="004E6525" w:rsidRDefault="004E6525" w:rsidP="004E6525">
      <w:pPr>
        <w:ind w:firstLine="5670"/>
        <w:rPr>
          <w:rFonts w:eastAsia="Calibri" w:cs="Times New Roman"/>
          <w:szCs w:val="28"/>
        </w:rPr>
      </w:pPr>
      <w:r w:rsidRPr="004E6525">
        <w:rPr>
          <w:rFonts w:eastAsia="Calibri" w:cs="Times New Roman"/>
          <w:szCs w:val="28"/>
        </w:rPr>
        <w:t>Администрации города</w:t>
      </w:r>
    </w:p>
    <w:p w:rsidR="004E6525" w:rsidRPr="004E6525" w:rsidRDefault="004E6525" w:rsidP="004E6525">
      <w:pPr>
        <w:ind w:firstLine="5670"/>
        <w:rPr>
          <w:rFonts w:eastAsia="Calibri" w:cs="Times New Roman"/>
          <w:szCs w:val="28"/>
        </w:rPr>
      </w:pPr>
      <w:r w:rsidRPr="004E6525">
        <w:rPr>
          <w:rFonts w:eastAsia="Calibri" w:cs="Times New Roman"/>
          <w:szCs w:val="28"/>
        </w:rPr>
        <w:t>от _____________ № ______</w:t>
      </w:r>
    </w:p>
    <w:p w:rsidR="004E6525" w:rsidRPr="004E6525" w:rsidRDefault="004E6525" w:rsidP="004E652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4E6525" w:rsidRPr="004E6525" w:rsidRDefault="004E6525" w:rsidP="004E652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4E6525" w:rsidRPr="004E6525" w:rsidRDefault="004E6525" w:rsidP="004E652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Основные направления </w:t>
      </w:r>
    </w:p>
    <w:p w:rsidR="004E6525" w:rsidRPr="004E6525" w:rsidRDefault="004E6525" w:rsidP="004E652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бюджетной и налоговой политики городского округа Сургут </w:t>
      </w:r>
    </w:p>
    <w:p w:rsidR="004E6525" w:rsidRPr="004E6525" w:rsidRDefault="004E6525" w:rsidP="004E652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Ханты-Мансийского автономного округа – Югры на 2026 год </w:t>
      </w:r>
      <w:r w:rsidRPr="004E6525">
        <w:rPr>
          <w:rFonts w:eastAsia="Times New Roman" w:cs="Times New Roman"/>
          <w:color w:val="000000"/>
          <w:szCs w:val="28"/>
          <w:lang w:eastAsia="ru-RU"/>
        </w:rPr>
        <w:br/>
        <w:t>и плановый период 2027 – 2028 годов</w:t>
      </w:r>
    </w:p>
    <w:p w:rsidR="004E6525" w:rsidRPr="004E6525" w:rsidRDefault="004E6525" w:rsidP="004E6525">
      <w:pPr>
        <w:widowControl w:val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Раздел I. Общие положения</w:t>
      </w:r>
    </w:p>
    <w:p w:rsidR="004E6525" w:rsidRPr="004E6525" w:rsidRDefault="004E6525" w:rsidP="004E6525">
      <w:pPr>
        <w:ind w:firstLine="709"/>
        <w:jc w:val="both"/>
        <w:rPr>
          <w:rFonts w:cs="Times New Roman"/>
          <w:szCs w:val="28"/>
        </w:rPr>
      </w:pPr>
      <w:r w:rsidRPr="004E6525">
        <w:rPr>
          <w:rFonts w:cs="Times New Roman"/>
          <w:szCs w:val="28"/>
          <w:lang w:eastAsia="ru-RU"/>
        </w:rPr>
        <w:t xml:space="preserve">Основные направления бюджетной и налоговой политики городского округа Сургут Ханты-Мансийского автономного округа – Югры на 2026 год </w:t>
      </w:r>
      <w:r w:rsidRPr="004E6525">
        <w:rPr>
          <w:rFonts w:cs="Times New Roman"/>
          <w:szCs w:val="28"/>
          <w:lang w:eastAsia="ru-RU"/>
        </w:rPr>
        <w:br/>
      </w:r>
      <w:r w:rsidRPr="004E6525">
        <w:rPr>
          <w:rFonts w:cs="Times New Roman"/>
          <w:szCs w:val="28"/>
        </w:rPr>
        <w:t xml:space="preserve">и плановый период 2027 – 2028 годов (далее – основные направления) подготовлены в соответствии со статьей 172 Бюджетного кодекса Российской Федерации, статьей 8 Положения о бюджетном процессе в городском округе Сургут Ханты-Мансийского автономного округа – Югры, утвержденного решением Думы города от 28.03.2008 № 358-IV ДГ, Стратегией социально-экономического развития города Сургута до 2036 года с целевыми ориентирами до 2050 года, утвержденной решением Думы города от 08.06.2015 № 718-V ДГ, с учетом положений Указа Президента Российской Федерации от 07.05.2024 </w:t>
      </w:r>
      <w:r>
        <w:rPr>
          <w:rFonts w:cs="Times New Roman"/>
          <w:szCs w:val="28"/>
        </w:rPr>
        <w:br/>
      </w:r>
      <w:r w:rsidRPr="004E6525">
        <w:rPr>
          <w:rFonts w:cs="Times New Roman"/>
          <w:szCs w:val="28"/>
        </w:rPr>
        <w:t xml:space="preserve">№ 309 «О национальных целях развития Российской Федерации на период </w:t>
      </w:r>
      <w:r>
        <w:rPr>
          <w:rFonts w:cs="Times New Roman"/>
          <w:szCs w:val="28"/>
        </w:rPr>
        <w:br/>
      </w:r>
      <w:r w:rsidRPr="004E6525">
        <w:rPr>
          <w:rFonts w:cs="Times New Roman"/>
          <w:szCs w:val="28"/>
        </w:rPr>
        <w:t xml:space="preserve">до 2030 года и на перспективу до 2036 года» (далее – Указ Президента № 309), Основных направлений налоговой, бюджетной и долговой политики Ханты-Мансийского автономного округа – Югры на 2026 год и плановый период </w:t>
      </w:r>
      <w:r>
        <w:rPr>
          <w:rFonts w:cs="Times New Roman"/>
          <w:szCs w:val="28"/>
        </w:rPr>
        <w:br/>
      </w:r>
      <w:r w:rsidRPr="004E6525">
        <w:rPr>
          <w:rFonts w:cs="Times New Roman"/>
          <w:szCs w:val="28"/>
        </w:rPr>
        <w:t>2027 – 2028 годов, утвержденных распоряжением Правительства Ханты-Мансийского автономного округа – Югры от 14.10.2025</w:t>
      </w:r>
      <w:r>
        <w:rPr>
          <w:rFonts w:cs="Times New Roman"/>
          <w:szCs w:val="28"/>
        </w:rPr>
        <w:t xml:space="preserve"> </w:t>
      </w:r>
      <w:r w:rsidRPr="004E6525">
        <w:rPr>
          <w:rFonts w:cs="Times New Roman"/>
          <w:szCs w:val="28"/>
        </w:rPr>
        <w:t>№ 463-рп.</w:t>
      </w:r>
    </w:p>
    <w:p w:rsidR="004E6525" w:rsidRPr="004E6525" w:rsidRDefault="004E6525" w:rsidP="004E6525">
      <w:pPr>
        <w:ind w:firstLine="709"/>
        <w:jc w:val="both"/>
        <w:rPr>
          <w:rFonts w:cs="Times New Roman"/>
          <w:szCs w:val="28"/>
        </w:rPr>
      </w:pPr>
      <w:r w:rsidRPr="004E6525">
        <w:rPr>
          <w:rFonts w:cs="Times New Roman"/>
          <w:szCs w:val="28"/>
        </w:rPr>
        <w:t>Целью разработки основных направлений является определение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Pr="004E6525">
        <w:rPr>
          <w:rFonts w:cs="Times New Roman"/>
          <w:szCs w:val="28"/>
        </w:rPr>
        <w:t xml:space="preserve">на ближайший трехлетний период основных задач и приоритетных направлений бюджетной и налоговой политики, а также базовых принципов, условий </w:t>
      </w:r>
      <w:r>
        <w:rPr>
          <w:rFonts w:cs="Times New Roman"/>
          <w:szCs w:val="28"/>
        </w:rPr>
        <w:br/>
      </w:r>
      <w:r w:rsidRPr="004E6525">
        <w:rPr>
          <w:rFonts w:cs="Times New Roman"/>
          <w:szCs w:val="28"/>
        </w:rPr>
        <w:t xml:space="preserve">и подходов, используемых при составлении проекта бюджета городского округа Сургут Ханты-Мансийского автономного округа – Югры на 2026 год и плановый период 2027 – 2028 годов. 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Раздел II. Задачи и приоритетные направления бюджетной и налоговой политики на 2026 год и плановый период 2027 – 2028 годов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Calibri" w:cs="Times New Roman"/>
          <w:szCs w:val="28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Бюджетная и налоговая политика города на 2026 год и плановый период</w:t>
      </w:r>
      <w:r w:rsidRPr="004E6525">
        <w:rPr>
          <w:rFonts w:eastAsia="Times New Roman" w:cs="Times New Roman"/>
          <w:color w:val="000000"/>
          <w:szCs w:val="28"/>
          <w:lang w:eastAsia="ru-RU"/>
        </w:rPr>
        <w:br/>
        <w:t>2027 – 2028 годов основана на принципах преемственности ранее поставленных стратегических целей и задач и призвана обеспечить устойчивое социально-экономическое развитие города, адаптируя бюджетную систему к современным реалиям.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szCs w:val="28"/>
        </w:rPr>
        <w:t xml:space="preserve">Основной акцент </w:t>
      </w:r>
      <w:r w:rsidRPr="004E6525">
        <w:rPr>
          <w:rFonts w:eastAsia="Times New Roman" w:cs="Times New Roman"/>
          <w:color w:val="000000"/>
          <w:szCs w:val="28"/>
          <w:lang w:eastAsia="ru-RU"/>
        </w:rPr>
        <w:t>бюджетной и налоговой политики делается на обеспе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чение сбалансированности бюджетной системы, </w:t>
      </w:r>
      <w:r w:rsidRPr="004E6525">
        <w:rPr>
          <w:rFonts w:eastAsia="Calibri" w:cs="Times New Roman"/>
          <w:szCs w:val="28"/>
        </w:rPr>
        <w:t>стимулирование инвестици</w:t>
      </w:r>
      <w:r>
        <w:rPr>
          <w:rFonts w:eastAsia="Calibri" w:cs="Times New Roman"/>
          <w:szCs w:val="28"/>
        </w:rPr>
        <w:t>-</w:t>
      </w:r>
      <w:r w:rsidRPr="004E6525">
        <w:rPr>
          <w:rFonts w:eastAsia="Calibri" w:cs="Times New Roman"/>
          <w:szCs w:val="28"/>
        </w:rPr>
        <w:t>онной активности</w:t>
      </w:r>
      <w:r w:rsidRPr="004E6525">
        <w:rPr>
          <w:rFonts w:eastAsia="Times New Roman" w:cs="Times New Roman"/>
          <w:color w:val="000000"/>
          <w:szCs w:val="28"/>
          <w:lang w:eastAsia="ru-RU"/>
        </w:rPr>
        <w:t>, создание стабильных и предсказуемых условий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4E6525">
        <w:rPr>
          <w:rFonts w:eastAsia="Times New Roman" w:cs="Times New Roman"/>
          <w:color w:val="000000"/>
          <w:szCs w:val="28"/>
          <w:lang w:eastAsia="ru-RU"/>
        </w:rPr>
        <w:t>для</w:t>
      </w:r>
      <w:r w:rsidRPr="004E6525">
        <w:rPr>
          <w:rFonts w:eastAsia="Calibri" w:cs="Times New Roman"/>
          <w:szCs w:val="28"/>
        </w:rPr>
        <w:t xml:space="preserve"> развития малого и среднего предпринимательства в городе. 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NewRoman" w:cs="Times New Roman"/>
          <w:szCs w:val="28"/>
        </w:rPr>
        <w:t>В этой связи ключевыми ориентирами являются</w:t>
      </w:r>
      <w:r w:rsidRPr="004E6525">
        <w:rPr>
          <w:rFonts w:eastAsia="Calibri" w:cs="Times New Roman"/>
          <w:szCs w:val="28"/>
        </w:rPr>
        <w:t xml:space="preserve"> рост доходного потен</w:t>
      </w:r>
      <w:r>
        <w:rPr>
          <w:rFonts w:eastAsia="Calibri" w:cs="Times New Roman"/>
          <w:szCs w:val="28"/>
        </w:rPr>
        <w:t>-</w:t>
      </w:r>
      <w:r w:rsidRPr="004E6525">
        <w:rPr>
          <w:rFonts w:eastAsia="Calibri" w:cs="Times New Roman"/>
          <w:szCs w:val="28"/>
        </w:rPr>
        <w:t>циала, повышение уровня собираемости доходов и</w:t>
      </w:r>
      <w:r w:rsidRPr="004E6525">
        <w:rPr>
          <w:rFonts w:eastAsia="TimesNewRoman" w:cs="Times New Roman"/>
          <w:szCs w:val="28"/>
        </w:rPr>
        <w:t xml:space="preserve"> эффективности муници</w:t>
      </w:r>
      <w:r>
        <w:rPr>
          <w:rFonts w:eastAsia="TimesNewRoman" w:cs="Times New Roman"/>
          <w:szCs w:val="28"/>
        </w:rPr>
        <w:t>-</w:t>
      </w:r>
      <w:r w:rsidRPr="004E6525">
        <w:rPr>
          <w:rFonts w:eastAsia="TimesNewRoman" w:cs="Times New Roman"/>
          <w:szCs w:val="28"/>
        </w:rPr>
        <w:t>пального управления</w:t>
      </w:r>
      <w:r w:rsidRPr="004E6525">
        <w:rPr>
          <w:rFonts w:eastAsia="Calibri" w:cs="Times New Roman"/>
          <w:szCs w:val="28"/>
        </w:rPr>
        <w:t>, привлечение межбюджетных трансфертов из вышесто</w:t>
      </w:r>
      <w:r>
        <w:rPr>
          <w:rFonts w:eastAsia="Calibri" w:cs="Times New Roman"/>
          <w:szCs w:val="28"/>
        </w:rPr>
        <w:t>-</w:t>
      </w:r>
      <w:r w:rsidRPr="004E6525">
        <w:rPr>
          <w:rFonts w:eastAsia="Calibri" w:cs="Times New Roman"/>
          <w:szCs w:val="28"/>
        </w:rPr>
        <w:t xml:space="preserve">ящих бюджетов, </w:t>
      </w: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а также повышение эффективности бюджетных расходов. 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Достижению позитивного сценария исполнения доходной части бюджета города в предстоящем бюджетном цикле будет способствовать деятельность</w:t>
      </w:r>
      <w:r w:rsidRPr="004E6525">
        <w:rPr>
          <w:rFonts w:eastAsia="Times New Roman" w:cs="Times New Roman"/>
          <w:color w:val="000000"/>
          <w:szCs w:val="28"/>
          <w:lang w:eastAsia="ru-RU"/>
        </w:rPr>
        <w:br/>
        <w:t>по следующим направлениям: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- повышение уровня ответственности главных администраторов доходов</w:t>
      </w:r>
      <w:r w:rsidRPr="004E6525">
        <w:rPr>
          <w:rFonts w:eastAsia="Times New Roman" w:cs="Times New Roman"/>
          <w:color w:val="000000"/>
          <w:szCs w:val="28"/>
          <w:lang w:eastAsia="ru-RU"/>
        </w:rPr>
        <w:br/>
        <w:t>за качественное планирование и выполнение плановых назначений по доходам;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- обеспечение надежности параметров, положенных в основу формиро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4E6525">
        <w:rPr>
          <w:rFonts w:eastAsia="Times New Roman" w:cs="Times New Roman"/>
          <w:color w:val="000000"/>
          <w:szCs w:val="28"/>
          <w:lang w:eastAsia="ru-RU"/>
        </w:rPr>
        <w:t>вания доходной базы бюджета;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pacing w:val="-4"/>
          <w:szCs w:val="28"/>
          <w:lang w:eastAsia="ru-RU"/>
        </w:rPr>
      </w:pPr>
      <w:r w:rsidRPr="004E6525">
        <w:rPr>
          <w:rFonts w:eastAsia="Times New Roman" w:cs="Times New Roman"/>
          <w:color w:val="000000"/>
          <w:spacing w:val="-4"/>
          <w:szCs w:val="28"/>
          <w:lang w:eastAsia="ru-RU"/>
        </w:rPr>
        <w:t>- совершенствование управления дебиторской задолженностью по доходам;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- расширение налоговой базы, повышение собираемости имущественных налогов, уплачиваемых физическими лицами;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- обеспечение рационального и эффективного использования муниципаль-ного имущества и бюджетных средств.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Достижению поставленных целей будет способствовать следующий план намерений и действий: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- реализация мер, способствующих повышению качества администри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рования доходов, в том числе посредством мониторинга качества финансового менеджмента, осуществляемого главными администраторами бюджетных средств, проведения работы с главными администраторами доходов бюджета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в рамках деятельности комиссии по мобилизации дополнительных доходов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4E6525">
        <w:rPr>
          <w:rFonts w:eastAsia="Times New Roman" w:cs="Times New Roman"/>
          <w:color w:val="000000"/>
          <w:szCs w:val="28"/>
          <w:lang w:eastAsia="ru-RU"/>
        </w:rPr>
        <w:t>в местный бюджет;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- осуществление мониторинга полноты и своевременности поступления налоговых и неналоговых платежей в бюджет города, в том числе мониторинг налоговых платежей, уплачиваемых крупными организациями города, с целью прогнозирования налоговых поступлений;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- проведение финансового анализа трансфертозамещения и формирование</w:t>
      </w:r>
      <w:r w:rsidRPr="004E6525">
        <w:rPr>
          <w:rFonts w:eastAsia="Times New Roman" w:cs="Times New Roman"/>
          <w:color w:val="000000"/>
          <w:szCs w:val="28"/>
          <w:lang w:eastAsia="ru-RU"/>
        </w:rPr>
        <w:br/>
        <w:t xml:space="preserve">на его основе соответствующего предложения по принятию Думой города решения о согласовании (об отказе в согласовании) полной или частичной замены дотаций на выравнивание бюджетной обеспеченности муниципальных районов (городских округов) дополнительными нормативами отчислений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4E6525">
        <w:rPr>
          <w:rFonts w:eastAsia="Times New Roman" w:cs="Times New Roman"/>
          <w:color w:val="000000"/>
          <w:szCs w:val="28"/>
          <w:lang w:eastAsia="ru-RU"/>
        </w:rPr>
        <w:t>от налога на доходы физических лиц (далее – НДФЛ);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- участие в формировании и ведении Департаментом финансов Ханты-Мансийского автономного округа – Югры перечня объектов коммерческой недвижимости, соответствующих критериям статьи 378.2 Налогового кодекса Российской Федерации, в том числе посредством проведения обследований зданий, строений, сооружений и помещений для определения вида их факти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4E6525">
        <w:rPr>
          <w:rFonts w:eastAsia="Times New Roman" w:cs="Times New Roman"/>
          <w:color w:val="000000"/>
          <w:szCs w:val="28"/>
          <w:lang w:eastAsia="ru-RU"/>
        </w:rPr>
        <w:t>ческого использования для целей налогообложения;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- выявление правообладателей ранее учтенных объектов недвижимости</w:t>
      </w:r>
      <w:r w:rsidRPr="004E6525">
        <w:rPr>
          <w:rFonts w:eastAsia="Times New Roman" w:cs="Times New Roman"/>
          <w:color w:val="000000"/>
          <w:szCs w:val="28"/>
          <w:lang w:eastAsia="ru-RU"/>
        </w:rPr>
        <w:br/>
        <w:t>и направление сведений о правообладателях данных объектов недвижимости</w:t>
      </w:r>
      <w:r w:rsidRPr="004E6525">
        <w:rPr>
          <w:rFonts w:eastAsia="Times New Roman" w:cs="Times New Roman"/>
          <w:color w:val="000000"/>
          <w:szCs w:val="28"/>
          <w:lang w:eastAsia="ru-RU"/>
        </w:rPr>
        <w:br/>
        <w:t>для внесения в Единый государственный реестр недвижимости;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pacing w:val="-2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- проведение адресной работы с должниками по налоговым и неналоговым платежам в бюджет города, в том числе в рамках деятельности рабочих групп</w:t>
      </w:r>
      <w:r w:rsidRPr="004E6525">
        <w:rPr>
          <w:rFonts w:eastAsia="Times New Roman" w:cs="Times New Roman"/>
          <w:color w:val="000000"/>
          <w:szCs w:val="28"/>
          <w:lang w:eastAsia="ru-RU"/>
        </w:rPr>
        <w:br/>
        <w:t>по контролю за поступлением арендных платежей, а также посредством участия</w:t>
      </w:r>
      <w:r w:rsidRPr="004E6525">
        <w:rPr>
          <w:rFonts w:eastAsia="Times New Roman" w:cs="Times New Roman"/>
          <w:color w:val="000000"/>
          <w:szCs w:val="28"/>
          <w:lang w:eastAsia="ru-RU"/>
        </w:rPr>
        <w:br/>
        <w:t>в деятельности комиссии по вопросу урегулирования задолженности по налогам</w:t>
      </w:r>
      <w:r w:rsidRPr="004E6525">
        <w:rPr>
          <w:rFonts w:eastAsia="Times New Roman" w:cs="Times New Roman"/>
          <w:color w:val="000000"/>
          <w:szCs w:val="28"/>
          <w:lang w:eastAsia="ru-RU"/>
        </w:rPr>
        <w:br/>
      </w:r>
      <w:r w:rsidRPr="004E6525">
        <w:rPr>
          <w:rFonts w:eastAsia="Times New Roman" w:cs="Times New Roman"/>
          <w:color w:val="000000"/>
          <w:spacing w:val="-2"/>
          <w:szCs w:val="28"/>
          <w:lang w:eastAsia="ru-RU"/>
        </w:rPr>
        <w:t xml:space="preserve">и сборам при Инспекции Федеральной налоговой службы по городу Сургуту Ханты-Мансийского автономного округа – Югры (далее – ИФНС России </w:t>
      </w:r>
      <w:r>
        <w:rPr>
          <w:rFonts w:eastAsia="Times New Roman" w:cs="Times New Roman"/>
          <w:color w:val="000000"/>
          <w:spacing w:val="-2"/>
          <w:szCs w:val="28"/>
          <w:lang w:eastAsia="ru-RU"/>
        </w:rPr>
        <w:br/>
      </w:r>
      <w:r w:rsidRPr="004E6525">
        <w:rPr>
          <w:rFonts w:eastAsia="Times New Roman" w:cs="Times New Roman"/>
          <w:color w:val="000000"/>
          <w:spacing w:val="-2"/>
          <w:szCs w:val="28"/>
          <w:lang w:eastAsia="ru-RU"/>
        </w:rPr>
        <w:t>по г. Сургуту);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- участие в реализации мероприятий, направленных на противодействие формирования просроченной задолженности по заработной плате в городе;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- применение взвешенного (комплексного) подхода к установлению налоговых и неналоговых преференций;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- ежегодное проведение оценки налоговых расходов города, принятие </w:t>
      </w:r>
      <w:r w:rsidRPr="004E6525">
        <w:rPr>
          <w:rFonts w:eastAsia="Times New Roman" w:cs="Times New Roman"/>
          <w:color w:val="000000"/>
          <w:szCs w:val="28"/>
          <w:lang w:eastAsia="ru-RU"/>
        </w:rPr>
        <w:br/>
        <w:t>мер в отношении неэффективных налоговых преференций;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- системное проведение совместно с ИФНС России по г. Сургуту информа-ционных кампаний по повышению налоговой грамотности граждан;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- реализация мер, направленных на улучшение инвестиционного климата</w:t>
      </w:r>
      <w:r w:rsidRPr="004E6525">
        <w:rPr>
          <w:rFonts w:eastAsia="Times New Roman" w:cs="Times New Roman"/>
          <w:color w:val="000000"/>
          <w:szCs w:val="28"/>
          <w:lang w:eastAsia="ru-RU"/>
        </w:rPr>
        <w:br/>
        <w:t>и формирование благоприятной среды для развития субъектов малого и среднего предпринимательства, самозанятых граждан;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- ежегодная реализация плана мероприятий по снижению просроченной дебиторской задолженности по неналоговым доходам бюджета города;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- вовлечение в хозяйственный оборот неиспользуемых или неэффективно используемых объектов недвижимости и земельных участков, осуществление муниципального контроля с целью выявления их неправомерного, нецелевого использования;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>- участие в государственных программах Ханты-Мансийского автоном</w:t>
      </w:r>
      <w:r>
        <w:rPr>
          <w:rFonts w:eastAsia="Calibri" w:cs="Times New Roman"/>
          <w:color w:val="000000"/>
          <w:szCs w:val="28"/>
          <w:lang w:eastAsia="ru-RU"/>
        </w:rPr>
        <w:t>-</w:t>
      </w:r>
      <w:r w:rsidRPr="004E6525">
        <w:rPr>
          <w:rFonts w:eastAsia="Calibri" w:cs="Times New Roman"/>
          <w:color w:val="000000"/>
          <w:szCs w:val="28"/>
          <w:lang w:eastAsia="ru-RU"/>
        </w:rPr>
        <w:t xml:space="preserve">ного округа – Югры, направленных на развитие межбюджетных отношений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4E6525">
        <w:rPr>
          <w:rFonts w:eastAsia="Calibri" w:cs="Times New Roman"/>
          <w:color w:val="000000"/>
          <w:szCs w:val="28"/>
          <w:lang w:eastAsia="ru-RU"/>
        </w:rPr>
        <w:t>и создание условий для эффективного управления муниципальными финансами.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 xml:space="preserve">Политика муниципальных заимствований в планируемом периоде будет ориентирована на необходимость финансового обеспечения инвестиционной </w:t>
      </w:r>
      <w:r w:rsidRPr="004E6525">
        <w:rPr>
          <w:rFonts w:eastAsia="Calibri" w:cs="Times New Roman"/>
          <w:color w:val="000000"/>
          <w:spacing w:val="-4"/>
          <w:szCs w:val="28"/>
          <w:lang w:eastAsia="ru-RU"/>
        </w:rPr>
        <w:t>составляющей в целях решения стоящих перед городом задач при условии сохранения</w:t>
      </w:r>
      <w:r w:rsidRPr="004E6525">
        <w:rPr>
          <w:rFonts w:eastAsia="Calibri" w:cs="Times New Roman"/>
          <w:color w:val="000000"/>
          <w:szCs w:val="28"/>
          <w:lang w:eastAsia="ru-RU"/>
        </w:rPr>
        <w:t xml:space="preserve"> показателей долговой устойчивости в диапазоне, позволяющем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4E6525">
        <w:rPr>
          <w:rFonts w:eastAsia="Calibri" w:cs="Times New Roman"/>
          <w:color w:val="000000"/>
          <w:szCs w:val="28"/>
          <w:lang w:eastAsia="ru-RU"/>
        </w:rPr>
        <w:t>в соответствии</w:t>
      </w:r>
      <w:r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4E6525">
        <w:rPr>
          <w:rFonts w:eastAsia="Calibri" w:cs="Times New Roman"/>
          <w:color w:val="000000"/>
          <w:szCs w:val="28"/>
          <w:lang w:eastAsia="ru-RU"/>
        </w:rPr>
        <w:t>с положениями бюджетного законодательства отнести муници</w:t>
      </w:r>
      <w:r>
        <w:rPr>
          <w:rFonts w:eastAsia="Calibri" w:cs="Times New Roman"/>
          <w:color w:val="000000"/>
          <w:szCs w:val="28"/>
          <w:lang w:eastAsia="ru-RU"/>
        </w:rPr>
        <w:t>-</w:t>
      </w:r>
      <w:r w:rsidRPr="004E6525">
        <w:rPr>
          <w:rFonts w:eastAsia="Calibri" w:cs="Times New Roman"/>
          <w:color w:val="000000"/>
          <w:szCs w:val="28"/>
          <w:lang w:eastAsia="ru-RU"/>
        </w:rPr>
        <w:t>палитет к группе заемщиков с высоким уровнем долговой устойчивости.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>Основными целями долговой политики в 2026 году и плановом периоде</w:t>
      </w:r>
      <w:r w:rsidRPr="004E6525">
        <w:rPr>
          <w:rFonts w:eastAsia="Calibri" w:cs="Times New Roman"/>
          <w:color w:val="000000"/>
          <w:szCs w:val="28"/>
          <w:lang w:eastAsia="ru-RU"/>
        </w:rPr>
        <w:br/>
        <w:t>2027 – 2028 годов являются своевременное исполнение текущих долговых обяза</w:t>
      </w:r>
      <w:r>
        <w:rPr>
          <w:rFonts w:eastAsia="Calibri" w:cs="Times New Roman"/>
          <w:color w:val="000000"/>
          <w:szCs w:val="28"/>
          <w:lang w:eastAsia="ru-RU"/>
        </w:rPr>
        <w:t>-</w:t>
      </w:r>
      <w:r w:rsidRPr="004E6525">
        <w:rPr>
          <w:rFonts w:eastAsia="Calibri" w:cs="Times New Roman"/>
          <w:color w:val="000000"/>
          <w:szCs w:val="28"/>
          <w:lang w:eastAsia="ru-RU"/>
        </w:rPr>
        <w:t>тельств и обслуживание муниципального долга на максимально выгодных условиях.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>Традиционно основными задачами долговой политики являются: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>-</w:t>
      </w:r>
      <w:r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4E6525">
        <w:rPr>
          <w:rFonts w:eastAsia="Calibri" w:cs="Times New Roman"/>
          <w:color w:val="000000"/>
          <w:szCs w:val="28"/>
          <w:lang w:eastAsia="ru-RU"/>
        </w:rPr>
        <w:t>поддержание приемлемого, экономически обоснованного объема муни</w:t>
      </w:r>
      <w:r>
        <w:rPr>
          <w:rFonts w:eastAsia="Calibri" w:cs="Times New Roman"/>
          <w:color w:val="000000"/>
          <w:szCs w:val="28"/>
          <w:lang w:eastAsia="ru-RU"/>
        </w:rPr>
        <w:t>-</w:t>
      </w:r>
      <w:r w:rsidRPr="004E6525">
        <w:rPr>
          <w:rFonts w:eastAsia="Calibri" w:cs="Times New Roman"/>
          <w:color w:val="000000"/>
          <w:szCs w:val="28"/>
          <w:lang w:eastAsia="ru-RU"/>
        </w:rPr>
        <w:t>ципального долга и исключение рисков неисполнения долговых обязательств;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>-</w:t>
      </w:r>
      <w:r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4E6525">
        <w:rPr>
          <w:rFonts w:eastAsia="Calibri" w:cs="Times New Roman"/>
          <w:color w:val="000000"/>
          <w:szCs w:val="28"/>
          <w:lang w:eastAsia="ru-RU"/>
        </w:rPr>
        <w:t>совершенствование сложившейся системы управления муниципальным долгом;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>-</w:t>
      </w:r>
      <w:r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4E6525">
        <w:rPr>
          <w:rFonts w:eastAsia="Calibri" w:cs="Times New Roman"/>
          <w:color w:val="000000"/>
          <w:szCs w:val="28"/>
          <w:lang w:eastAsia="ru-RU"/>
        </w:rPr>
        <w:t>снижение рисков в сфере управления муниципальным долгом;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>-</w:t>
      </w:r>
      <w:r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4E6525">
        <w:rPr>
          <w:rFonts w:eastAsia="Calibri" w:cs="Times New Roman"/>
          <w:color w:val="000000"/>
          <w:szCs w:val="28"/>
          <w:lang w:eastAsia="ru-RU"/>
        </w:rPr>
        <w:t>эффективное управление остатками средств на едином счете местного бюджета в целях недопущения образования кассового разрыва;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>-</w:t>
      </w:r>
      <w:r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4E6525">
        <w:rPr>
          <w:rFonts w:eastAsia="Calibri" w:cs="Times New Roman"/>
          <w:color w:val="000000"/>
          <w:szCs w:val="28"/>
          <w:lang w:eastAsia="ru-RU"/>
        </w:rPr>
        <w:t>гибкое реагирование на изменяющиеся условия финансовых рынков</w:t>
      </w:r>
      <w:r w:rsidRPr="004E6525">
        <w:rPr>
          <w:rFonts w:eastAsia="Calibri" w:cs="Times New Roman"/>
          <w:color w:val="000000"/>
          <w:szCs w:val="28"/>
          <w:lang w:eastAsia="ru-RU"/>
        </w:rPr>
        <w:br/>
        <w:t>и использование наиболее оптимальных форм и сроков заимствований;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>-</w:t>
      </w:r>
      <w:r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4E6525">
        <w:rPr>
          <w:rFonts w:eastAsia="Calibri" w:cs="Times New Roman"/>
          <w:color w:val="000000"/>
          <w:szCs w:val="28"/>
          <w:lang w:eastAsia="ru-RU"/>
        </w:rPr>
        <w:t>минимизация расходов на обслуживание муниципального долга;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>-</w:t>
      </w:r>
      <w:r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4E6525">
        <w:rPr>
          <w:rFonts w:eastAsia="Calibri" w:cs="Times New Roman"/>
          <w:color w:val="000000"/>
          <w:szCs w:val="28"/>
          <w:lang w:eastAsia="ru-RU"/>
        </w:rPr>
        <w:t>сохранение репутации муниципального образования, как надежного                        заемщика с высоким уровнем кредитоспособности, безупречно и своевременно выполняющего свои финансовые обязательства;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>-</w:t>
      </w:r>
      <w:r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4E6525">
        <w:rPr>
          <w:rFonts w:eastAsia="Calibri" w:cs="Times New Roman"/>
          <w:color w:val="000000"/>
          <w:szCs w:val="28"/>
          <w:lang w:eastAsia="ru-RU"/>
        </w:rPr>
        <w:t>открытость и прозрачность управления муниципальным долгом.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>Инструментами реализации долговой политики выступят: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>-</w:t>
      </w:r>
      <w:r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4E6525">
        <w:rPr>
          <w:rFonts w:eastAsia="Calibri" w:cs="Times New Roman"/>
          <w:color w:val="000000"/>
          <w:szCs w:val="28"/>
          <w:lang w:eastAsia="ru-RU"/>
        </w:rPr>
        <w:t>привлечение кредитов кредитных организаций в форме возобновляемых кредитных линий в условиях регулярного мониторинга рынка финансовых услуг</w:t>
      </w:r>
      <w:r w:rsidRPr="004E6525">
        <w:rPr>
          <w:rFonts w:eastAsia="Calibri" w:cs="Times New Roman"/>
          <w:color w:val="000000"/>
          <w:szCs w:val="28"/>
          <w:lang w:eastAsia="ru-RU"/>
        </w:rPr>
        <w:br/>
        <w:t>и размера ключевой ставки, установленной Банком России;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>-</w:t>
      </w:r>
      <w:r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4E6525">
        <w:rPr>
          <w:rFonts w:eastAsia="Calibri" w:cs="Times New Roman"/>
          <w:color w:val="000000"/>
          <w:szCs w:val="28"/>
          <w:lang w:eastAsia="ru-RU"/>
        </w:rPr>
        <w:t xml:space="preserve">определение объемов и параметров муниципальных заимствований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4E6525">
        <w:rPr>
          <w:rFonts w:eastAsia="Calibri" w:cs="Times New Roman"/>
          <w:color w:val="000000"/>
          <w:szCs w:val="28"/>
          <w:lang w:eastAsia="ru-RU"/>
        </w:rPr>
        <w:t>с учетом необходимости обеспечения сбалансированности бюджета городского округа</w:t>
      </w:r>
      <w:r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4E6525">
        <w:rPr>
          <w:rFonts w:eastAsia="Calibri" w:cs="Times New Roman"/>
          <w:color w:val="000000"/>
          <w:szCs w:val="28"/>
          <w:lang w:eastAsia="ru-RU"/>
        </w:rPr>
        <w:t>и соблюдения ограничений, установленных Бюджетным кодексом Российской Федерации.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>-</w:t>
      </w:r>
      <w:r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4E6525">
        <w:rPr>
          <w:rFonts w:eastAsia="Calibri" w:cs="Times New Roman"/>
          <w:color w:val="000000"/>
          <w:szCs w:val="28"/>
          <w:lang w:eastAsia="ru-RU"/>
        </w:rPr>
        <w:t>контроль и оценка рисков, возникающих в процессе управления муници-пальным долгом.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>При реализации долговой политики учитывается риск снижения ликвид</w:t>
      </w:r>
      <w:r>
        <w:rPr>
          <w:rFonts w:eastAsia="Calibri" w:cs="Times New Roman"/>
          <w:color w:val="000000"/>
          <w:szCs w:val="28"/>
          <w:lang w:eastAsia="ru-RU"/>
        </w:rPr>
        <w:t>-</w:t>
      </w:r>
      <w:r w:rsidRPr="004E6525">
        <w:rPr>
          <w:rFonts w:eastAsia="Calibri" w:cs="Times New Roman"/>
          <w:color w:val="000000"/>
          <w:szCs w:val="28"/>
          <w:lang w:eastAsia="ru-RU"/>
        </w:rPr>
        <w:t>ности рынка финансовых услуг, а также следующие базовые риски, которые могут повлиять на проводимую долговую политику: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>-</w:t>
      </w:r>
      <w:r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4E6525">
        <w:rPr>
          <w:rFonts w:eastAsia="Calibri" w:cs="Times New Roman"/>
          <w:color w:val="000000"/>
          <w:szCs w:val="28"/>
          <w:lang w:eastAsia="ru-RU"/>
        </w:rPr>
        <w:t>процентный риск – вероятность увеличения стоимости заимствований</w:t>
      </w:r>
      <w:r w:rsidRPr="004E6525">
        <w:rPr>
          <w:rFonts w:eastAsia="Calibri" w:cs="Times New Roman"/>
          <w:color w:val="000000"/>
          <w:szCs w:val="28"/>
          <w:lang w:eastAsia="ru-RU"/>
        </w:rPr>
        <w:br/>
        <w:t>и объема расходов бюджета города на обслуживание муниципального долга вследствие увеличения процентных ставок за пользование заемными средствами</w:t>
      </w:r>
      <w:r w:rsidRPr="004E6525">
        <w:rPr>
          <w:rFonts w:eastAsia="Calibri" w:cs="Times New Roman"/>
          <w:color w:val="000000"/>
          <w:szCs w:val="28"/>
          <w:lang w:eastAsia="ru-RU"/>
        </w:rPr>
        <w:br/>
        <w:t>на финансовом рынке;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>-</w:t>
      </w:r>
      <w:r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4E6525">
        <w:rPr>
          <w:rFonts w:eastAsia="Calibri" w:cs="Times New Roman"/>
          <w:color w:val="000000"/>
          <w:szCs w:val="28"/>
          <w:lang w:eastAsia="ru-RU"/>
        </w:rPr>
        <w:t>риск отсутствия возможности осуществить рефинансирование долговых обязательств на более выгодных условиях с целью снижения финансовой нагрузки на бюджет.</w:t>
      </w:r>
    </w:p>
    <w:p w:rsidR="004E6525" w:rsidRPr="004E6525" w:rsidRDefault="004E6525" w:rsidP="004E6525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Бюджетная политика города Сургута в сфере расходов на среднесрочную перспективу ориентирована на достижение национальных целей развития, определенных Указом Президента № 309, </w:t>
      </w:r>
      <w:r>
        <w:rPr>
          <w:rFonts w:eastAsia="Times New Roman" w:cs="Times New Roman"/>
          <w:color w:val="000000"/>
          <w:szCs w:val="28"/>
          <w:lang w:eastAsia="ru-RU"/>
        </w:rPr>
        <w:t>приоритетов социально-экономи-</w:t>
      </w:r>
      <w:r w:rsidRPr="004E6525">
        <w:rPr>
          <w:rFonts w:eastAsia="Times New Roman" w:cs="Times New Roman"/>
          <w:color w:val="000000"/>
          <w:szCs w:val="28"/>
          <w:lang w:eastAsia="ru-RU"/>
        </w:rPr>
        <w:t>ческого развития города в соответствии с утвержденной Стратегией до 2036 года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с целевыми ориентирами до 2050 года. 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В этой связи ключевым направлением является достижение показателей федеральных проектов, направленных на реализацию национальных проектов «Молодежь и дети», «Семья», «Инфраструктура для жизни», «Эффективная</w:t>
      </w:r>
      <w:r w:rsidRPr="004E6525">
        <w:rPr>
          <w:rFonts w:eastAsia="Times New Roman" w:cs="Times New Roman"/>
          <w:color w:val="000000"/>
          <w:szCs w:val="28"/>
          <w:lang w:eastAsia="ru-RU"/>
        </w:rPr>
        <w:br/>
        <w:t xml:space="preserve">и конкурентная экономика», «Экологическое благополучие», показателей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4E6525">
        <w:rPr>
          <w:rFonts w:eastAsia="Times New Roman" w:cs="Times New Roman"/>
          <w:color w:val="000000"/>
          <w:szCs w:val="28"/>
          <w:lang w:eastAsia="ru-RU"/>
        </w:rPr>
        <w:t>иных федеральных проектов, не направленных на реализацию национальных проектов,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а также показателей региональных и муниципальных проектов, отвечающих целям социально-экономического развития города и округа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4E6525">
        <w:rPr>
          <w:rFonts w:eastAsia="Times New Roman" w:cs="Times New Roman"/>
          <w:color w:val="000000"/>
          <w:szCs w:val="28"/>
          <w:lang w:eastAsia="ru-RU"/>
        </w:rPr>
        <w:t>в целом.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При этом, взаимосвязь указанных проектов с показателями и меропри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4E6525">
        <w:rPr>
          <w:rFonts w:eastAsia="Times New Roman" w:cs="Times New Roman"/>
          <w:color w:val="000000"/>
          <w:szCs w:val="28"/>
          <w:lang w:eastAsia="ru-RU"/>
        </w:rPr>
        <w:t>ятиями (результатами) их достижения, а также с приоритетами социально-экономического развития города будет прямо отражена в муниципальных программах города.</w:t>
      </w:r>
    </w:p>
    <w:p w:rsid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По-прежнему безусловным социальным приоритетом бюджетной политики города выступает полное и своевременное исполнение социально значимых обязательств, обеспечение доступности и качества сферы услуг, создание комфортных условий для жизни граждан.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В этой связи особое внимание планируется уделить развитию инфраструк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туры объектов социальной </w:t>
      </w:r>
      <w:r w:rsidRPr="004E6525">
        <w:rPr>
          <w:rFonts w:eastAsia="Times New Roman" w:cs="Times New Roman"/>
          <w:szCs w:val="28"/>
          <w:lang w:eastAsia="ru-RU"/>
        </w:rPr>
        <w:t xml:space="preserve">сферы. Как </w:t>
      </w:r>
      <w:r w:rsidRPr="004E6525">
        <w:rPr>
          <w:rFonts w:eastAsia="Times New Roman" w:cs="Times New Roman"/>
          <w:color w:val="000000"/>
          <w:szCs w:val="28"/>
          <w:lang w:eastAsia="ru-RU"/>
        </w:rPr>
        <w:t>и прежде одной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4E6525">
        <w:rPr>
          <w:rFonts w:eastAsia="Times New Roman" w:cs="Times New Roman"/>
          <w:color w:val="000000"/>
          <w:szCs w:val="28"/>
          <w:lang w:eastAsia="ru-RU"/>
        </w:rPr>
        <w:t>из важнейших задач остается комплексное обновление материально-технической базы муници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пальных учреждений, создание условий для самореализации молодежи города. 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С учетом направленности бюджетной политики города на повышение эффективности бюджетных расходов, актуальной остается задача по нормиро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ванию расходов на проведение мероприятий различного уровня в сферах культуры, образования и молодежной политики. 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В целях комплексного развития городской инфраструктуры важными задачами являются формирование комфортной городской среды, соответст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4E6525">
        <w:rPr>
          <w:rFonts w:eastAsia="Times New Roman" w:cs="Times New Roman"/>
          <w:color w:val="000000"/>
          <w:szCs w:val="28"/>
          <w:lang w:eastAsia="ru-RU"/>
        </w:rPr>
        <w:t>вующей современным стандартам, повышение транспортной доступности путем развития улично-дорожной сети города и планомерного проведения ремонтов дорог, поддержания их в надлежащем техническом состоянии, оптимизация работы общественного транспорта, модернизация коммунальной инфраструк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4E6525">
        <w:rPr>
          <w:rFonts w:eastAsia="Times New Roman" w:cs="Times New Roman"/>
          <w:color w:val="000000"/>
          <w:szCs w:val="28"/>
          <w:lang w:eastAsia="ru-RU"/>
        </w:rPr>
        <w:t>туры города, в том числе путем привлечения средств казначейских инфраструк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4E6525">
        <w:rPr>
          <w:rFonts w:eastAsia="Times New Roman" w:cs="Times New Roman"/>
          <w:color w:val="000000"/>
          <w:szCs w:val="28"/>
          <w:lang w:eastAsia="ru-RU"/>
        </w:rPr>
        <w:t>турных кредитов из федерального бюджета.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Развитие городской инфраструктуры будет осуществляться также с прив</w:t>
      </w:r>
      <w:r>
        <w:rPr>
          <w:rFonts w:eastAsia="Times New Roman" w:cs="Times New Roman"/>
          <w:color w:val="000000"/>
          <w:szCs w:val="28"/>
          <w:lang w:eastAsia="ru-RU"/>
        </w:rPr>
        <w:t>-ле</w:t>
      </w: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чением частных инвестиций. Так, это строительство социальных объектов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в рамках проектов комплексного развития территорий, реализация заключенных концессионных соглашений по созданию и эксплуатации объектов образования, спорта, объектов дорожного хозяйства и наружного освещения.  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Продолжится реализация мероприятий, направленных на развитие негосу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дарственного сектора экономики, на поддержку субъектов малого и среднего предпринимательства, </w:t>
      </w:r>
      <w:r w:rsidRPr="004E6525">
        <w:rPr>
          <w:rFonts w:eastAsia="Times New Roman" w:cs="Times New Roman"/>
          <w:szCs w:val="28"/>
          <w:lang w:eastAsia="ru-RU"/>
        </w:rPr>
        <w:t>в том числе в сферах соци</w:t>
      </w:r>
      <w:r>
        <w:rPr>
          <w:rFonts w:eastAsia="Times New Roman" w:cs="Times New Roman"/>
          <w:szCs w:val="28"/>
          <w:lang w:eastAsia="ru-RU"/>
        </w:rPr>
        <w:t>ального и креативного предприни</w:t>
      </w:r>
      <w:r w:rsidRPr="004E6525">
        <w:rPr>
          <w:rFonts w:eastAsia="Times New Roman" w:cs="Times New Roman"/>
          <w:szCs w:val="28"/>
          <w:lang w:eastAsia="ru-RU"/>
        </w:rPr>
        <w:t>мательства, производства, сельского хозяйства, информационных технологий.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Бюджетные инвестиции из бюджета города в приоритетном порядке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будут направлены на завершение ранее начатых строительством объектов, </w:t>
      </w:r>
      <w:r w:rsidRPr="004E6525">
        <w:rPr>
          <w:rFonts w:eastAsia="Times New Roman" w:cs="Times New Roman"/>
          <w:color w:val="000000"/>
          <w:szCs w:val="28"/>
          <w:lang w:eastAsia="ru-RU"/>
        </w:rPr>
        <w:br/>
        <w:t>на строительство новых автомобильных дорог города, объектов коммунальной инфраструктуры, а также на разработку проектной документации по строи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4E6525">
        <w:rPr>
          <w:rFonts w:eastAsia="Times New Roman" w:cs="Times New Roman"/>
          <w:color w:val="000000"/>
          <w:szCs w:val="28"/>
          <w:lang w:eastAsia="ru-RU"/>
        </w:rPr>
        <w:t>тельству социальных объектов.</w:t>
      </w:r>
    </w:p>
    <w:p w:rsidR="004E6525" w:rsidRPr="004E6525" w:rsidRDefault="004E6525" w:rsidP="004E6525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Неизменным направлением по вовлечению граждан к участию в жизни города остается реализация практики инициативного бюджетирования, успешное развитие которой способствует повышению активности жителей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в решении приоритетных вопросов местного значения. </w:t>
      </w:r>
    </w:p>
    <w:p w:rsidR="004E6525" w:rsidRPr="004E6525" w:rsidRDefault="004E6525" w:rsidP="004E6525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В этом направлении ключевой задачей, транслируемой на региональном уровне, является активное вовлечение молодых граждан в инициативное бюджетирование и реализацию молодежных инициатив в рамках </w:t>
      </w:r>
      <w:r w:rsidRPr="004E6525">
        <w:rPr>
          <w:rFonts w:eastAsia="Times New Roman" w:cs="Times New Roman"/>
          <w:szCs w:val="28"/>
          <w:lang w:eastAsia="ru-RU"/>
        </w:rPr>
        <w:t>регионального проекта «Россия – страна возможностей».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Достижению поставленных задач и приоритетных направлений бюджетной политики города будут способствовать мероприятия по цифрови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4E6525">
        <w:rPr>
          <w:rFonts w:eastAsia="Times New Roman" w:cs="Times New Roman"/>
          <w:color w:val="000000"/>
          <w:szCs w:val="28"/>
          <w:lang w:eastAsia="ru-RU"/>
        </w:rPr>
        <w:t>зации всех этапов бюджетного процесса с применением современных техно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4E6525">
        <w:rPr>
          <w:rFonts w:eastAsia="Times New Roman" w:cs="Times New Roman"/>
          <w:color w:val="000000"/>
          <w:szCs w:val="28"/>
          <w:lang w:eastAsia="ru-RU"/>
        </w:rPr>
        <w:t>логий и инструментов,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4E6525">
        <w:rPr>
          <w:rFonts w:eastAsia="Times New Roman" w:cs="Times New Roman"/>
          <w:color w:val="000000"/>
          <w:szCs w:val="28"/>
          <w:lang w:eastAsia="ru-RU"/>
        </w:rPr>
        <w:t>а также деятельность, направленная на повышение эффективности бюджетных расходов, а именно: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- мониторинг качества финансового менеджмента в части управления расходами бюджета города;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- реализация планов мероприятий по оптимизации расходов;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- мониторинг достижения результатов реализации мероприятий муници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4E6525">
        <w:rPr>
          <w:rFonts w:eastAsia="Times New Roman" w:cs="Times New Roman"/>
          <w:color w:val="000000"/>
          <w:szCs w:val="28"/>
          <w:lang w:eastAsia="ru-RU"/>
        </w:rPr>
        <w:t>пальных программ, а также результатов предоставления субсидий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4E6525">
        <w:rPr>
          <w:rFonts w:eastAsia="Times New Roman" w:cs="Times New Roman"/>
          <w:color w:val="000000"/>
          <w:szCs w:val="28"/>
          <w:lang w:eastAsia="ru-RU"/>
        </w:rPr>
        <w:t>из бюджета города;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- оценка эффективности реализации муниципальных программ;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- проведение обзоров расходов бюджета города, по результатам которых выявляемые внутренние резервы направляются на приоритетные направления деятельности.</w:t>
      </w: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E6525" w:rsidRPr="004E6525" w:rsidRDefault="004E6525" w:rsidP="004E6525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Раздел III. Основные условия и подходы, используемые при составлении проекта бюджета городского округа Сургут Ханты-Мансийского автономного округа – Югры на 2026 год и плановый период 2027 – 2028 годов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>Прогнозирование доходной части бюджета осуществлялось исходя</w:t>
      </w:r>
      <w:r w:rsidRPr="004E6525">
        <w:rPr>
          <w:rFonts w:eastAsia="Calibri" w:cs="Times New Roman"/>
          <w:color w:val="000000"/>
          <w:szCs w:val="28"/>
          <w:lang w:eastAsia="ru-RU"/>
        </w:rPr>
        <w:br/>
        <w:t>из действующих норм бюджетного и налогового законодательства Российской Федерации, правовой базы Ханты-Мансийского автономного округа – Югры</w:t>
      </w:r>
      <w:r w:rsidRPr="004E6525">
        <w:rPr>
          <w:rFonts w:eastAsia="Calibri" w:cs="Times New Roman"/>
          <w:color w:val="000000"/>
          <w:szCs w:val="28"/>
          <w:lang w:eastAsia="ru-RU"/>
        </w:rPr>
        <w:br/>
        <w:t>и города Сургута, с применением базового варианта прогноза социально-экономического развития города, предполагающего рост внутреннего потреби</w:t>
      </w:r>
      <w:r>
        <w:rPr>
          <w:rFonts w:eastAsia="Calibri" w:cs="Times New Roman"/>
          <w:color w:val="000000"/>
          <w:szCs w:val="28"/>
          <w:lang w:eastAsia="ru-RU"/>
        </w:rPr>
        <w:t>-</w:t>
      </w:r>
      <w:r w:rsidRPr="004E6525">
        <w:rPr>
          <w:rFonts w:eastAsia="Calibri" w:cs="Times New Roman"/>
          <w:color w:val="000000"/>
          <w:szCs w:val="28"/>
          <w:lang w:eastAsia="ru-RU"/>
        </w:rPr>
        <w:t>тельского и инвестиционного спроса.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 xml:space="preserve">Положительная динамика поступлений в текущем периоде способствовала формированию доходов в большем объеме, чем было предусмотрено </w:t>
      </w:r>
      <w:r>
        <w:rPr>
          <w:rFonts w:eastAsia="Calibri" w:cs="Times New Roman"/>
          <w:color w:val="000000"/>
          <w:szCs w:val="28"/>
          <w:lang w:eastAsia="ru-RU"/>
        </w:rPr>
        <w:br/>
        <w:t>при утверж</w:t>
      </w:r>
      <w:r w:rsidRPr="004E6525">
        <w:rPr>
          <w:rFonts w:eastAsia="Calibri" w:cs="Times New Roman"/>
          <w:color w:val="000000"/>
          <w:szCs w:val="28"/>
          <w:lang w:eastAsia="ru-RU"/>
        </w:rPr>
        <w:t>дении бюджета на 2025 год и плановый период 2026 – 2027 годов.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>Прогнозный объем поступлений в бюджет города собственных доходов спроектирован с ростом к утвержденным параметрам: в 2026 году на 4,8 млрд. рублей, в 2027 году – на 2,4 млрд. рублей, в 2028 году (к утвержденным параметрам 2027 года) – на 3,5 млрд. рублей.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>Основными источниками формирования собственных доходов бюджета города, как и в предыдущие периоды, остаются налоговые доходы, преиму</w:t>
      </w:r>
      <w:r>
        <w:rPr>
          <w:rFonts w:eastAsia="Calibri" w:cs="Times New Roman"/>
          <w:color w:val="000000"/>
          <w:szCs w:val="28"/>
          <w:lang w:eastAsia="ru-RU"/>
        </w:rPr>
        <w:t>-</w:t>
      </w:r>
      <w:r w:rsidRPr="004E6525">
        <w:rPr>
          <w:rFonts w:eastAsia="Calibri" w:cs="Times New Roman"/>
          <w:color w:val="000000"/>
          <w:szCs w:val="28"/>
          <w:lang w:eastAsia="ru-RU"/>
        </w:rPr>
        <w:t>щественно поступления от НДФЛ.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 xml:space="preserve">В связи с ростом НДФЛ в текущем периоде принято решение </w:t>
      </w:r>
      <w:r w:rsidRPr="004E6525">
        <w:rPr>
          <w:rFonts w:eastAsia="Calibri" w:cs="Times New Roman"/>
          <w:color w:val="000000"/>
          <w:szCs w:val="28"/>
          <w:lang w:eastAsia="ru-RU"/>
        </w:rPr>
        <w:br/>
        <w:t>о продолжении практики замены дотации на выравнивание бюджетной обеспеченности городских округов дополнительными нормативами отчислений</w:t>
      </w:r>
      <w:r w:rsidRPr="004E6525">
        <w:rPr>
          <w:rFonts w:eastAsia="Calibri" w:cs="Times New Roman"/>
          <w:color w:val="000000"/>
          <w:szCs w:val="28"/>
          <w:lang w:eastAsia="ru-RU"/>
        </w:rPr>
        <w:br/>
        <w:t>от НДФЛ в следующем бюджетном цикле.</w:t>
      </w:r>
    </w:p>
    <w:p w:rsidR="004E6525" w:rsidRPr="004E6525" w:rsidRDefault="004E6525" w:rsidP="004E6525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В целях выравнивания налоговой нагрузки на иностранных граждан, осуществляющих трудовую деятельность на основании патента, и российских граждан, с учетом анализа средней заработной платы в регионе, автономным округом планируется увеличение </w:t>
      </w:r>
      <w:r w:rsidRPr="004E6525">
        <w:rPr>
          <w:rFonts w:eastAsia="Times New Roman" w:cs="Times New Roman"/>
          <w:bCs/>
          <w:color w:val="000000"/>
          <w:szCs w:val="28"/>
          <w:lang w:eastAsia="ru-RU"/>
        </w:rPr>
        <w:t>в 2026 году регионального коэффициента, отражающего региональные особенности рынка труда на территории автоном-</w:t>
      </w:r>
      <w:r w:rsidRPr="004E6525">
        <w:rPr>
          <w:rFonts w:eastAsia="Times New Roman" w:cs="Times New Roman"/>
          <w:bCs/>
          <w:color w:val="000000"/>
          <w:szCs w:val="28"/>
          <w:lang w:eastAsia="ru-RU"/>
        </w:rPr>
        <w:br/>
        <w:t xml:space="preserve">ного округа, с 3,565 до 4,284, что положительно скажется на поступлениях соответствующего вида НДФЛ. 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>По налогам на совокупный доход прогнозируется незначительный рост поступлений по отношению к ожидаемому исполнению за текущий год.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>Влияние на поступления налогов, включенных в данную группу доходов, могут оказать планируемые на федеральном уровне к реализации следующие мероприятия: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>- снижение предельной величины налогового дохода, позволяющего применять патентную систему налогообложения (далее – ПСН), с одновре</w:t>
      </w:r>
      <w:r>
        <w:rPr>
          <w:rFonts w:eastAsia="Calibri" w:cs="Times New Roman"/>
          <w:color w:val="000000"/>
          <w:szCs w:val="28"/>
          <w:lang w:eastAsia="ru-RU"/>
        </w:rPr>
        <w:t>-</w:t>
      </w:r>
      <w:r w:rsidRPr="004E6525">
        <w:rPr>
          <w:rFonts w:eastAsia="Calibri" w:cs="Times New Roman"/>
          <w:color w:val="000000"/>
          <w:szCs w:val="28"/>
          <w:lang w:eastAsia="ru-RU"/>
        </w:rPr>
        <w:t>менным исключением из перечня видов деятельности, в отношении которых может применяться ПСН, розничной торговли, осуществляемой через объекты стационарной торговой сети, а также деятельность по оказанию автотранс</w:t>
      </w:r>
      <w:r>
        <w:rPr>
          <w:rFonts w:eastAsia="Calibri" w:cs="Times New Roman"/>
          <w:color w:val="000000"/>
          <w:szCs w:val="28"/>
          <w:lang w:eastAsia="ru-RU"/>
        </w:rPr>
        <w:t>-</w:t>
      </w:r>
      <w:r w:rsidRPr="004E6525">
        <w:rPr>
          <w:rFonts w:eastAsia="Calibri" w:cs="Times New Roman"/>
          <w:color w:val="000000"/>
          <w:szCs w:val="28"/>
          <w:lang w:eastAsia="ru-RU"/>
        </w:rPr>
        <w:t>портных услуг по перевозке грузов автомобильным транспортом;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 xml:space="preserve">- снижение порога дохода, при превышении которого плательщики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4E6525">
        <w:rPr>
          <w:rFonts w:eastAsia="Calibri" w:cs="Times New Roman"/>
          <w:color w:val="000000"/>
          <w:szCs w:val="28"/>
          <w:lang w:eastAsia="ru-RU"/>
        </w:rPr>
        <w:t>налога, взимаемого в связи с применением упрощенной системы налогообло</w:t>
      </w:r>
      <w:r>
        <w:rPr>
          <w:rFonts w:eastAsia="Calibri" w:cs="Times New Roman"/>
          <w:color w:val="000000"/>
          <w:szCs w:val="28"/>
          <w:lang w:eastAsia="ru-RU"/>
        </w:rPr>
        <w:t>-</w:t>
      </w:r>
      <w:r w:rsidRPr="004E6525">
        <w:rPr>
          <w:rFonts w:eastAsia="Calibri" w:cs="Times New Roman"/>
          <w:color w:val="000000"/>
          <w:szCs w:val="28"/>
          <w:lang w:eastAsia="ru-RU"/>
        </w:rPr>
        <w:t>жения, обязаны уплачивать налог на добавленную стоимость.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>На поступления транспортного налога с физических лиц окажет влияние планируемое на региональном уровне увеличение льготных ставок транс</w:t>
      </w:r>
      <w:r>
        <w:rPr>
          <w:rFonts w:eastAsia="Calibri" w:cs="Times New Roman"/>
          <w:color w:val="000000"/>
          <w:szCs w:val="28"/>
          <w:lang w:eastAsia="ru-RU"/>
        </w:rPr>
        <w:t>-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4E6525">
        <w:rPr>
          <w:rFonts w:eastAsia="Calibri" w:cs="Times New Roman"/>
          <w:color w:val="000000"/>
          <w:szCs w:val="28"/>
          <w:lang w:eastAsia="ru-RU"/>
        </w:rPr>
        <w:t xml:space="preserve">портного налога для легковых автомобилей с мощностью двигателя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4E6525">
        <w:rPr>
          <w:rFonts w:eastAsia="Calibri" w:cs="Times New Roman"/>
          <w:color w:val="000000"/>
          <w:szCs w:val="28"/>
          <w:lang w:eastAsia="ru-RU"/>
        </w:rPr>
        <w:t>до 100 лошадиных сил</w:t>
      </w:r>
      <w:r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4E6525">
        <w:rPr>
          <w:rFonts w:eastAsia="Calibri" w:cs="Times New Roman"/>
          <w:color w:val="000000"/>
          <w:szCs w:val="28"/>
          <w:lang w:eastAsia="ru-RU"/>
        </w:rPr>
        <w:t xml:space="preserve">и с мощностью двигателя от 100 до 150 лошадиных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4E6525">
        <w:rPr>
          <w:rFonts w:eastAsia="Calibri" w:cs="Times New Roman"/>
          <w:color w:val="000000"/>
          <w:szCs w:val="28"/>
          <w:lang w:eastAsia="ru-RU"/>
        </w:rPr>
        <w:t>сил с одновременным введением ограничения на применение льготных ставок – в отношении только одного транспортного средства, что позволит поддержать стабильность доходов дорожного фонда в условиях расширения</w:t>
      </w: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4E6525">
        <w:rPr>
          <w:rFonts w:eastAsia="Calibri" w:cs="Times New Roman"/>
          <w:color w:val="000000"/>
          <w:szCs w:val="28"/>
          <w:lang w:eastAsia="ru-RU"/>
        </w:rPr>
        <w:t>для отдельных социально уязвимых групп населения категории транспортных средств, освобождаемых от уплаты транспортного налога.</w:t>
      </w:r>
    </w:p>
    <w:p w:rsidR="004E6525" w:rsidRPr="004E6525" w:rsidRDefault="004E6525" w:rsidP="004E6525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>Прогнозирование местных налогов (налога на имущество физических лиц</w:t>
      </w:r>
      <w:r w:rsidRPr="004E6525">
        <w:rPr>
          <w:rFonts w:eastAsia="Calibri" w:cs="Times New Roman"/>
          <w:color w:val="000000"/>
          <w:szCs w:val="28"/>
          <w:lang w:eastAsia="ru-RU"/>
        </w:rPr>
        <w:br/>
        <w:t>и земельного налога) осуществлено с учетом увеличения налоговой нагрузки</w:t>
      </w:r>
      <w:r w:rsidRPr="004E6525">
        <w:rPr>
          <w:rFonts w:eastAsia="Calibri" w:cs="Times New Roman"/>
          <w:color w:val="000000"/>
          <w:szCs w:val="28"/>
          <w:lang w:eastAsia="ru-RU"/>
        </w:rPr>
        <w:br/>
        <w:t xml:space="preserve">для физических лиц на 10% в год (до достижения полного объема исчисленной суммы налога по </w:t>
      </w:r>
      <w:r w:rsidRPr="004E6525">
        <w:rPr>
          <w:rFonts w:eastAsia="Times New Roman" w:cs="Times New Roman"/>
          <w:color w:val="000000"/>
          <w:szCs w:val="28"/>
          <w:lang w:eastAsia="ru-RU"/>
        </w:rPr>
        <w:t>результатам государственной оценки кадастровой стоимости объектов недвижимости).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 xml:space="preserve">На поступления местных налогов также окажут влияние принятое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4E6525">
        <w:rPr>
          <w:rFonts w:eastAsia="Calibri" w:cs="Times New Roman"/>
          <w:color w:val="000000"/>
          <w:szCs w:val="28"/>
          <w:lang w:eastAsia="ru-RU"/>
        </w:rPr>
        <w:t>в 2024 году решение Думы города о поэтапном увеличении налоговой нагрузки (в результате проведенной переоценки кадастровой стоимости) для собствен</w:t>
      </w:r>
      <w:r>
        <w:rPr>
          <w:rFonts w:eastAsia="Calibri" w:cs="Times New Roman"/>
          <w:color w:val="000000"/>
          <w:szCs w:val="28"/>
          <w:lang w:eastAsia="ru-RU"/>
        </w:rPr>
        <w:t>-</w:t>
      </w:r>
      <w:r w:rsidRPr="004E6525">
        <w:rPr>
          <w:rFonts w:eastAsia="Calibri" w:cs="Times New Roman"/>
          <w:color w:val="000000"/>
          <w:szCs w:val="28"/>
          <w:lang w:eastAsia="ru-RU"/>
        </w:rPr>
        <w:t>ников объектов коммерческой недвижимости, включенных в перечень объектов, соответствующих критериям статьи 378.2 Налогового кодекса Российской Федерации, а также планируемые к установлению</w:t>
      </w: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4E6525">
        <w:rPr>
          <w:rFonts w:eastAsia="Calibri" w:cs="Times New Roman"/>
          <w:color w:val="000000"/>
          <w:szCs w:val="28"/>
          <w:lang w:eastAsia="ru-RU"/>
        </w:rPr>
        <w:t xml:space="preserve">налоговые преференции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4E6525">
        <w:rPr>
          <w:rFonts w:eastAsia="Calibri" w:cs="Times New Roman"/>
          <w:color w:val="000000"/>
          <w:szCs w:val="28"/>
          <w:lang w:eastAsia="ru-RU"/>
        </w:rPr>
        <w:t>по земельному налогу в виде социальной налоговой льготы для участников специальной военной операции</w:t>
      </w:r>
      <w:r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4E6525">
        <w:rPr>
          <w:rFonts w:eastAsia="Calibri" w:cs="Times New Roman"/>
          <w:color w:val="000000"/>
          <w:szCs w:val="28"/>
          <w:lang w:eastAsia="ru-RU"/>
        </w:rPr>
        <w:t>и членов их семей и стимулирующей налоговой льготы для собственников земельных участков, на которых осуществляется строительство объектов спорта.</w:t>
      </w:r>
    </w:p>
    <w:p w:rsidR="004E6525" w:rsidRPr="004E6525" w:rsidRDefault="004E6525" w:rsidP="004E6525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Неналоговые доходы в целом планируются на уровне утвержденных показателей. Основным источником формирования неналоговых доходов,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4E6525">
        <w:rPr>
          <w:rFonts w:eastAsia="Times New Roman" w:cs="Times New Roman"/>
          <w:color w:val="000000"/>
          <w:szCs w:val="28"/>
          <w:lang w:eastAsia="ru-RU"/>
        </w:rPr>
        <w:t>как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4E6525">
        <w:rPr>
          <w:rFonts w:eastAsia="Times New Roman" w:cs="Times New Roman"/>
          <w:color w:val="000000"/>
          <w:szCs w:val="28"/>
          <w:lang w:eastAsia="ru-RU"/>
        </w:rPr>
        <w:t>и прежде, являются доходы от использования муниципального имущества.</w:t>
      </w:r>
    </w:p>
    <w:p w:rsidR="004E6525" w:rsidRPr="004E6525" w:rsidRDefault="004E6525" w:rsidP="004E6525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В соответствии с новой редакцией Бюджетного кодекса Российской Федерации с 2026 года плата за негативное воздействие на окружающую среду перестает являться источником неналоговых доходов местных бюджетов (полностью подлежит зачислению в бюджеты субъектов Российской Федерации</w:t>
      </w:r>
      <w:r w:rsidRPr="004E6525">
        <w:rPr>
          <w:rFonts w:eastAsia="Times New Roman" w:cs="Times New Roman"/>
          <w:color w:val="000000"/>
          <w:szCs w:val="28"/>
          <w:lang w:eastAsia="ru-RU"/>
        </w:rPr>
        <w:br/>
        <w:t>без права передачи данных доходов (части данны</w:t>
      </w:r>
      <w:r>
        <w:rPr>
          <w:rFonts w:eastAsia="Times New Roman" w:cs="Times New Roman"/>
          <w:color w:val="000000"/>
          <w:szCs w:val="28"/>
          <w:lang w:eastAsia="ru-RU"/>
        </w:rPr>
        <w:t>х доходов) в местные бюджеты).</w:t>
      </w:r>
    </w:p>
    <w:p w:rsidR="004E6525" w:rsidRPr="004E6525" w:rsidRDefault="004E6525" w:rsidP="004E6525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Для формирования расходов бюджета города на 2026 год и плановый</w:t>
      </w:r>
      <w:r w:rsidRPr="004E6525">
        <w:rPr>
          <w:rFonts w:eastAsia="Times New Roman" w:cs="Times New Roman"/>
          <w:color w:val="000000"/>
          <w:szCs w:val="28"/>
          <w:lang w:eastAsia="ru-RU"/>
        </w:rPr>
        <w:br/>
        <w:t xml:space="preserve">период 2027 – 2028 годов в качестве базовых приняты расходы, утвержденные решением Думы города от 23.12.2024 № 713-VII ДГ «О бюджете городского округа Сургут Ханты-Мансийского автономного округа – Югры на 2025 год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4E6525">
        <w:rPr>
          <w:rFonts w:eastAsia="Times New Roman" w:cs="Times New Roman"/>
          <w:color w:val="000000"/>
          <w:szCs w:val="28"/>
          <w:lang w:eastAsia="ru-RU"/>
        </w:rPr>
        <w:t>и плановый период 2026 – 2027 годов».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При этом, исходя из п</w:t>
      </w:r>
      <w:r w:rsidRPr="004E6525">
        <w:rPr>
          <w:rFonts w:eastAsia="Calibri" w:cs="Times New Roman"/>
          <w:color w:val="000000"/>
          <w:szCs w:val="28"/>
          <w:lang w:eastAsia="ru-RU"/>
        </w:rPr>
        <w:t xml:space="preserve">рогнозирования доходной части бюджета </w:t>
      </w:r>
      <w:r w:rsidRPr="004E6525">
        <w:rPr>
          <w:rFonts w:eastAsia="Times New Roman" w:cs="Times New Roman"/>
          <w:color w:val="000000"/>
          <w:szCs w:val="28"/>
          <w:lang w:eastAsia="ru-RU"/>
        </w:rPr>
        <w:t>города</w:t>
      </w:r>
      <w:r w:rsidRPr="004E6525">
        <w:rPr>
          <w:rFonts w:eastAsia="Times New Roman" w:cs="Times New Roman"/>
          <w:color w:val="000000"/>
          <w:szCs w:val="28"/>
          <w:lang w:eastAsia="ru-RU"/>
        </w:rPr>
        <w:br/>
        <w:t>в</w:t>
      </w:r>
      <w:r w:rsidRPr="004E6525">
        <w:rPr>
          <w:rFonts w:eastAsia="Calibri" w:cs="Times New Roman"/>
          <w:color w:val="000000"/>
          <w:szCs w:val="28"/>
          <w:lang w:eastAsia="ru-RU"/>
        </w:rPr>
        <w:t xml:space="preserve"> большем объеме, чем было предусмотрено при утверждении бюджета </w:t>
      </w:r>
      <w:r w:rsidRPr="004E6525">
        <w:rPr>
          <w:rFonts w:eastAsia="Calibri" w:cs="Times New Roman"/>
          <w:color w:val="000000"/>
          <w:szCs w:val="28"/>
          <w:lang w:eastAsia="ru-RU"/>
        </w:rPr>
        <w:br/>
        <w:t xml:space="preserve">на 2025 год и плановый период 2026 – 2027 годов, расходы бюджеты города также запланированы с ростом от уровня утвержденного бюджета города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4E6525">
        <w:rPr>
          <w:rFonts w:eastAsia="Calibri" w:cs="Times New Roman"/>
          <w:color w:val="000000"/>
          <w:szCs w:val="28"/>
          <w:lang w:eastAsia="ru-RU"/>
        </w:rPr>
        <w:t>на 2026</w:t>
      </w:r>
      <w:r>
        <w:rPr>
          <w:rFonts w:eastAsia="Calibri" w:cs="Times New Roman"/>
          <w:color w:val="000000"/>
          <w:szCs w:val="28"/>
          <w:lang w:eastAsia="ru-RU"/>
        </w:rPr>
        <w:t xml:space="preserve"> – </w:t>
      </w:r>
      <w:r w:rsidRPr="004E6525">
        <w:rPr>
          <w:rFonts w:eastAsia="Calibri" w:cs="Times New Roman"/>
          <w:color w:val="000000"/>
          <w:szCs w:val="28"/>
          <w:lang w:eastAsia="ru-RU"/>
        </w:rPr>
        <w:t xml:space="preserve">2027 годы и направлены на развитие городской инфраструктуры, обеспечение роста оплаты труда работников бюджетной сферы, повышение стоимости коммунальных и охранных услуг на объектах социальной сферы. </w:t>
      </w:r>
    </w:p>
    <w:p w:rsidR="004E6525" w:rsidRPr="004E6525" w:rsidRDefault="004E6525" w:rsidP="004E6525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Так, при расчете расходов бюджета города предусмотрено обеспечение достигнутого уровня соотношений оплаты труда отдельных категорий работ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ников, попадающих под действие указов Президента Российской Федерации, обеспечение расходных обязательств, связанных с повышением с 01.01.2026 минимального размера оплаты труда, учтена индексация оплаты труда «неуказных» работников бюджетной сферы на 7,6% с 01.10.2025 и на 4%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4E6525">
        <w:rPr>
          <w:rFonts w:eastAsia="Times New Roman" w:cs="Times New Roman"/>
          <w:color w:val="000000"/>
          <w:szCs w:val="28"/>
          <w:lang w:eastAsia="ru-RU"/>
        </w:rPr>
        <w:t>с 01.10.2026.</w:t>
      </w:r>
    </w:p>
    <w:p w:rsidR="004E6525" w:rsidRPr="004E6525" w:rsidRDefault="004E6525" w:rsidP="004E6525">
      <w:pPr>
        <w:ind w:firstLine="709"/>
        <w:jc w:val="both"/>
        <w:rPr>
          <w:rFonts w:eastAsia="Times New Roman" w:cs="Times New Roman"/>
          <w:color w:val="000000"/>
          <w:spacing w:val="-2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В проекте бюджета предусмотрено увеличение бюджетной составляющей стоимости питания учащихся 5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– </w:t>
      </w:r>
      <w:r w:rsidRPr="004E6525">
        <w:rPr>
          <w:rFonts w:eastAsia="Times New Roman" w:cs="Times New Roman"/>
          <w:color w:val="000000"/>
          <w:szCs w:val="28"/>
          <w:lang w:eastAsia="ru-RU"/>
        </w:rPr>
        <w:t>11 классов муниципальных образовательных учреждений (с 55 рублей до 81 рубля в день), запланировано обновление торгово-технологического оборудования столовых в школах города, увеличены расходы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4E6525">
        <w:rPr>
          <w:rFonts w:eastAsia="Times New Roman" w:cs="Times New Roman"/>
          <w:color w:val="000000"/>
          <w:spacing w:val="-2"/>
          <w:szCs w:val="28"/>
          <w:lang w:eastAsia="ru-RU"/>
        </w:rPr>
        <w:t xml:space="preserve">на обеспечение антитеррористической защищенности образовательных учреждений города. </w:t>
      </w:r>
    </w:p>
    <w:p w:rsidR="004E6525" w:rsidRPr="004E6525" w:rsidRDefault="004E6525" w:rsidP="004E6525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pacing w:val="-2"/>
          <w:szCs w:val="28"/>
          <w:lang w:eastAsia="ru-RU"/>
        </w:rPr>
        <w:t>Также особенностью формирования расходов бюджета города на предсто</w:t>
      </w:r>
      <w:r>
        <w:rPr>
          <w:rFonts w:eastAsia="Times New Roman" w:cs="Times New Roman"/>
          <w:color w:val="000000"/>
          <w:spacing w:val="-2"/>
          <w:szCs w:val="28"/>
          <w:lang w:eastAsia="ru-RU"/>
        </w:rPr>
        <w:t>-</w:t>
      </w:r>
      <w:r w:rsidRPr="004E6525">
        <w:rPr>
          <w:rFonts w:eastAsia="Times New Roman" w:cs="Times New Roman"/>
          <w:color w:val="000000"/>
          <w:spacing w:val="-2"/>
          <w:szCs w:val="28"/>
          <w:lang w:eastAsia="ru-RU"/>
        </w:rPr>
        <w:t>ящий трехлетний цикл является их направленность на повышение качества</w:t>
      </w: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 городской среды, благоустройство города, ремонт и поддержание в норма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тивном состоянии автомобильных дорог города. Так, в 2026 году порядка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4E6525">
        <w:rPr>
          <w:rFonts w:eastAsia="Times New Roman" w:cs="Times New Roman"/>
          <w:color w:val="000000"/>
          <w:szCs w:val="28"/>
          <w:lang w:eastAsia="ru-RU"/>
        </w:rPr>
        <w:t>2,4 млрд. рублей будет направлено на капитальный ремонт и ремонт автомо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бильных дорог, внутриквартальных проездов и тротуаров города. </w:t>
      </w:r>
    </w:p>
    <w:p w:rsidR="004E6525" w:rsidRPr="004E6525" w:rsidRDefault="004E6525" w:rsidP="004E6525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Для поддержания дорог в надлежащем техническом состоянии будут выполняться новые виды работ по их содержанию: мойка автопавильонов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4E6525">
        <w:rPr>
          <w:rFonts w:eastAsia="Times New Roman" w:cs="Times New Roman"/>
          <w:color w:val="000000"/>
          <w:szCs w:val="28"/>
          <w:lang w:eastAsia="ru-RU"/>
        </w:rPr>
        <w:t>и ремонт их конструктивных элементов, мойка урн, окрашивание конструк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4E6525">
        <w:rPr>
          <w:rFonts w:eastAsia="Times New Roman" w:cs="Times New Roman"/>
          <w:color w:val="000000"/>
          <w:szCs w:val="28"/>
          <w:lang w:eastAsia="ru-RU"/>
        </w:rPr>
        <w:t>тивных элементов объектов дорожного хозяйства, ремонт смотровых колодцев системы ливневой канализации.</w:t>
      </w:r>
    </w:p>
    <w:p w:rsidR="004E6525" w:rsidRPr="004E6525" w:rsidRDefault="004E6525" w:rsidP="004E6525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Акцент будет сделан и на благоустройстве города – создании новых общественных пространств и содержании территорий общего пользования,</w:t>
      </w:r>
      <w:r w:rsidRPr="004E6525">
        <w:rPr>
          <w:rFonts w:eastAsia="Times New Roman" w:cs="Times New Roman"/>
          <w:color w:val="000000"/>
          <w:szCs w:val="28"/>
          <w:lang w:eastAsia="ru-RU"/>
        </w:rPr>
        <w:br/>
        <w:t xml:space="preserve">в том числе в части ремонта детских игровых и спортивных площадок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в скверах города. </w:t>
      </w:r>
    </w:p>
    <w:p w:rsidR="004E6525" w:rsidRPr="004E6525" w:rsidRDefault="004E6525" w:rsidP="004E6525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Помимо расходов текущего характера, сформирован инвестиционный бюджет развития города, направленный в первую очередь на завершение ранее начатых строительством объектов.</w:t>
      </w:r>
    </w:p>
    <w:p w:rsidR="004E6525" w:rsidRPr="004E6525" w:rsidRDefault="004E6525" w:rsidP="004E6525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Говоря о крупных инвестиционных проектах, уже реализуемых с участием средств бюджетов всех уровней, планируется завершение двух объектов инфра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структуры Научно-технологического центра (сети водоотведения и тепло-снабжения). </w:t>
      </w:r>
    </w:p>
    <w:p w:rsidR="004E6525" w:rsidRPr="004E6525" w:rsidRDefault="004E6525" w:rsidP="004E6525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szCs w:val="28"/>
          <w:lang w:eastAsia="ru-RU"/>
        </w:rPr>
        <w:t xml:space="preserve">В сфере дорожного хозяйства с участием средств окружного бюджета продолжится строительство пяти автомобильных дорог, в том числе Восточной объездной автомобильной дороги, которая </w:t>
      </w:r>
      <w:r w:rsidRPr="004E6525">
        <w:rPr>
          <w:rFonts w:eastAsia="Times New Roman" w:cs="Times New Roman"/>
          <w:color w:val="000000"/>
          <w:szCs w:val="28"/>
          <w:lang w:eastAsia="ru-RU"/>
        </w:rPr>
        <w:t>обеспечит транспортную связь между Восточным и Северным промышленными районами города и</w:t>
      </w:r>
      <w:r w:rsidRPr="004E6525">
        <w:rPr>
          <w:rFonts w:eastAsia="Times New Roman" w:cs="Times New Roman"/>
          <w:szCs w:val="28"/>
          <w:lang w:eastAsia="ru-RU"/>
        </w:rPr>
        <w:t xml:space="preserve"> объездной автомобильной дороги к дачным кооперативам в обход гидротехнических </w:t>
      </w: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сооружений ГРЭС-1 и ГРЭС-2. </w:t>
      </w:r>
    </w:p>
    <w:p w:rsidR="004E6525" w:rsidRPr="004E6525" w:rsidRDefault="004E6525" w:rsidP="004E6525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За счет средств </w:t>
      </w:r>
      <w:r w:rsidRPr="004E6525">
        <w:rPr>
          <w:rFonts w:eastAsia="Times New Roman" w:cs="Times New Roman"/>
          <w:szCs w:val="28"/>
          <w:lang w:eastAsia="ru-RU"/>
        </w:rPr>
        <w:t>местного бюджета в 2026 году будет построено</w:t>
      </w:r>
      <w:r w:rsidRPr="004E6525">
        <w:rPr>
          <w:rFonts w:eastAsia="Times New Roman" w:cs="Times New Roman"/>
          <w:szCs w:val="28"/>
          <w:lang w:eastAsia="ru-RU"/>
        </w:rPr>
        <w:br/>
        <w:t>две автомобильные дороги и три проезда для повышения транспортной доступности участков индивидуального жилищного строительства и новых микрорайонов города «Марьина гора» и «Голдфиш», завершено строительство</w:t>
      </w:r>
      <w:r w:rsidRPr="004E6525">
        <w:rPr>
          <w:rFonts w:eastAsia="Times New Roman" w:cs="Times New Roman"/>
          <w:szCs w:val="28"/>
          <w:lang w:eastAsia="ru-RU"/>
        </w:rPr>
        <w:br/>
      </w:r>
      <w:r w:rsidRPr="004E6525">
        <w:rPr>
          <w:rFonts w:eastAsia="Times New Roman" w:cs="Times New Roman"/>
          <w:szCs w:val="28"/>
          <w:lang w:val="en-US" w:eastAsia="ru-RU"/>
        </w:rPr>
        <w:t>I</w:t>
      </w:r>
      <w:r w:rsidRPr="004E6525">
        <w:rPr>
          <w:rFonts w:eastAsia="Times New Roman" w:cs="Times New Roman"/>
          <w:szCs w:val="28"/>
          <w:lang w:eastAsia="ru-RU"/>
        </w:rPr>
        <w:t xml:space="preserve"> этапа дороги на участке от Тюменского тракта до ул. Киртбая.</w:t>
      </w:r>
    </w:p>
    <w:p w:rsidR="004E6525" w:rsidRPr="004E6525" w:rsidRDefault="004E6525" w:rsidP="004E652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В социальной сфере планируется строительство школ в 20А и 5А микро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районах </w:t>
      </w:r>
      <w:r w:rsidRPr="004E6525">
        <w:rPr>
          <w:rFonts w:eastAsia="Times New Roman" w:cs="Times New Roman"/>
          <w:szCs w:val="28"/>
          <w:lang w:eastAsia="ru-RU"/>
        </w:rPr>
        <w:t>города, завершение работ по строительству спортивного центра</w:t>
      </w:r>
      <w:r w:rsidRPr="004E6525">
        <w:rPr>
          <w:rFonts w:eastAsia="Times New Roman" w:cs="Times New Roman"/>
          <w:szCs w:val="28"/>
          <w:lang w:eastAsia="ru-RU"/>
        </w:rPr>
        <w:br/>
        <w:t xml:space="preserve">с административно-бытовыми помещениями в микрорайоне 35А, реконструкция входной группы музейного центра. </w:t>
      </w:r>
    </w:p>
    <w:p w:rsidR="004E6525" w:rsidRPr="004E6525" w:rsidRDefault="004E6525" w:rsidP="004E6525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Продолжат свою реализацию проекты по развитию коммунального комплекса. Так, одиннадцать объектов (из них три объекта в поселке Юность) будут построены, а также четыре объекта отремонтированы с участием средств вышестоящих бюджетов, еще четыре объекта инженерной инфраструктуры будут построены за счет средств местного бюджета. </w:t>
      </w:r>
    </w:p>
    <w:p w:rsidR="004E6525" w:rsidRPr="004E6525" w:rsidRDefault="004E6525" w:rsidP="004E6525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Times New Roman" w:cs="Times New Roman"/>
          <w:color w:val="000000"/>
          <w:szCs w:val="28"/>
          <w:lang w:eastAsia="ru-RU"/>
        </w:rPr>
        <w:t>Общая характеристика показателей и результатов бюджетной деятель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4E6525">
        <w:rPr>
          <w:rFonts w:eastAsia="Times New Roman" w:cs="Times New Roman"/>
          <w:color w:val="000000"/>
          <w:szCs w:val="28"/>
          <w:lang w:eastAsia="ru-RU"/>
        </w:rPr>
        <w:t>ности по каждой муниципальной программе будет отражена в поясни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4E6525">
        <w:rPr>
          <w:rFonts w:eastAsia="Times New Roman" w:cs="Times New Roman"/>
          <w:color w:val="000000"/>
          <w:szCs w:val="28"/>
          <w:lang w:eastAsia="ru-RU"/>
        </w:rPr>
        <w:t>тельной записке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4E6525">
        <w:rPr>
          <w:rFonts w:eastAsia="Times New Roman" w:cs="Times New Roman"/>
          <w:color w:val="000000"/>
          <w:szCs w:val="28"/>
          <w:lang w:eastAsia="ru-RU"/>
        </w:rPr>
        <w:t xml:space="preserve">к проекту бюджета города на 2026 год и плановый период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4E6525">
        <w:rPr>
          <w:rFonts w:eastAsia="Times New Roman" w:cs="Times New Roman"/>
          <w:color w:val="000000"/>
          <w:szCs w:val="28"/>
          <w:lang w:eastAsia="ru-RU"/>
        </w:rPr>
        <w:t>2027 – 2027 годов.</w:t>
      </w:r>
    </w:p>
    <w:p w:rsidR="004E6525" w:rsidRPr="004E6525" w:rsidRDefault="004E6525" w:rsidP="004E6525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>Прогнозируемый объем источников финансирования дефицита бюджета города на 2026 год и плановый период 2027 – 2028 годов предусмотрен</w:t>
      </w:r>
      <w:r w:rsidRPr="004E6525">
        <w:rPr>
          <w:rFonts w:eastAsia="Calibri" w:cs="Times New Roman"/>
          <w:color w:val="000000"/>
          <w:szCs w:val="28"/>
          <w:lang w:eastAsia="ru-RU"/>
        </w:rPr>
        <w:br/>
        <w:t>с изменением составных частей структуры – отсутствуют бюджетные кредиты</w:t>
      </w:r>
      <w:r w:rsidRPr="004E6525">
        <w:rPr>
          <w:rFonts w:eastAsia="Calibri" w:cs="Times New Roman"/>
          <w:color w:val="000000"/>
          <w:szCs w:val="28"/>
          <w:lang w:eastAsia="ru-RU"/>
        </w:rPr>
        <w:br/>
      </w:r>
      <w:r w:rsidRPr="004E6525">
        <w:rPr>
          <w:rFonts w:eastAsia="Calibri" w:cs="Times New Roman"/>
          <w:color w:val="000000"/>
          <w:spacing w:val="-2"/>
          <w:szCs w:val="28"/>
          <w:lang w:eastAsia="ru-RU"/>
        </w:rPr>
        <w:t xml:space="preserve">в связи с их полным погашением. В составе источников финансирования </w:t>
      </w:r>
      <w:r>
        <w:rPr>
          <w:rFonts w:eastAsia="Calibri" w:cs="Times New Roman"/>
          <w:color w:val="000000"/>
          <w:spacing w:val="-2"/>
          <w:szCs w:val="28"/>
          <w:lang w:eastAsia="ru-RU"/>
        </w:rPr>
        <w:br/>
      </w:r>
      <w:r w:rsidRPr="004E6525">
        <w:rPr>
          <w:rFonts w:eastAsia="Calibri" w:cs="Times New Roman"/>
          <w:color w:val="000000"/>
          <w:spacing w:val="-2"/>
          <w:szCs w:val="28"/>
          <w:lang w:eastAsia="ru-RU"/>
        </w:rPr>
        <w:t>на 2026 год включены остатки средств на едином счете бюджета на начало финансового</w:t>
      </w:r>
      <w:r w:rsidRPr="004E6525">
        <w:rPr>
          <w:rFonts w:eastAsia="Calibri" w:cs="Times New Roman"/>
          <w:color w:val="000000"/>
          <w:szCs w:val="28"/>
          <w:lang w:eastAsia="ru-RU"/>
        </w:rPr>
        <w:t xml:space="preserve"> года, заемные кредитные средства, а также поступления от продажи акций, находящихся в собственности муниципального образования.</w:t>
      </w:r>
    </w:p>
    <w:p w:rsidR="004E6525" w:rsidRPr="004E6525" w:rsidRDefault="004E6525" w:rsidP="004E6525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525">
        <w:rPr>
          <w:rFonts w:eastAsia="Calibri" w:cs="Times New Roman"/>
          <w:color w:val="000000"/>
          <w:szCs w:val="28"/>
          <w:lang w:eastAsia="ru-RU"/>
        </w:rPr>
        <w:t>Привлечение кредитных ресурсов будет осуществляться с учетом склады</w:t>
      </w:r>
      <w:r>
        <w:rPr>
          <w:rFonts w:eastAsia="Calibri" w:cs="Times New Roman"/>
          <w:color w:val="000000"/>
          <w:szCs w:val="28"/>
          <w:lang w:eastAsia="ru-RU"/>
        </w:rPr>
        <w:t>-</w:t>
      </w:r>
      <w:r w:rsidRPr="004E6525">
        <w:rPr>
          <w:rFonts w:eastAsia="Calibri" w:cs="Times New Roman"/>
          <w:color w:val="000000"/>
          <w:szCs w:val="28"/>
          <w:lang w:eastAsia="ru-RU"/>
        </w:rPr>
        <w:t>вающейся на рынке конъюнктуры на конкурентной основе по итогам проведения электронных аукционов.</w:t>
      </w:r>
    </w:p>
    <w:p w:rsidR="00F865B3" w:rsidRPr="004E6525" w:rsidRDefault="00F865B3" w:rsidP="004E6525">
      <w:pPr>
        <w:ind w:firstLine="709"/>
        <w:rPr>
          <w:rFonts w:cs="Times New Roman"/>
          <w:szCs w:val="28"/>
        </w:rPr>
      </w:pPr>
    </w:p>
    <w:sectPr w:rsidR="00F865B3" w:rsidRPr="004E6525" w:rsidSect="004E6525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B2C" w:rsidRDefault="00456B2C">
      <w:r>
        <w:separator/>
      </w:r>
    </w:p>
  </w:endnote>
  <w:endnote w:type="continuationSeparator" w:id="0">
    <w:p w:rsidR="00456B2C" w:rsidRDefault="0045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B2C" w:rsidRDefault="00456B2C">
      <w:r>
        <w:separator/>
      </w:r>
    </w:p>
  </w:footnote>
  <w:footnote w:type="continuationSeparator" w:id="0">
    <w:p w:rsidR="00456B2C" w:rsidRDefault="00456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82E3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B6B14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B6B14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B6B14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D19BF">
          <w:rPr>
            <w:noProof/>
            <w:sz w:val="20"/>
            <w:szCs w:val="20"/>
            <w:lang w:val="en-US"/>
          </w:rPr>
          <w:instrText>11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5466A2" w:rsidRDefault="007B6B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25"/>
    <w:rsid w:val="00182E34"/>
    <w:rsid w:val="00456B2C"/>
    <w:rsid w:val="004E6525"/>
    <w:rsid w:val="005C05C3"/>
    <w:rsid w:val="007B6B14"/>
    <w:rsid w:val="00924D41"/>
    <w:rsid w:val="00BD4DF0"/>
    <w:rsid w:val="00CD19B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DD5332D-3116-433D-A3FC-F50F60F2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52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E6525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4E65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8119E4CCC1E46228FBC84C0B3F674B78F96F8D51AB48131244E165A8E921B524386746AA62F3BBB13328P0CAL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3942</Words>
  <Characters>22470</Characters>
  <Application>Microsoft Office Word</Application>
  <DocSecurity>0</DocSecurity>
  <Lines>187</Lines>
  <Paragraphs>52</Paragraphs>
  <ScaleCrop>false</ScaleCrop>
  <Company/>
  <LinksUpToDate>false</LinksUpToDate>
  <CharactersWithSpaces>26360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2025-10-28T06:40:00Z</cp:lastPrinted>
  <dcterms:created xsi:type="dcterms:W3CDTF">2025-10-31T04:59:00Z</dcterms:created>
  <dcterms:modified xsi:type="dcterms:W3CDTF">2025-10-31T04:59:00Z</dcterms:modified>
</cp:coreProperties>
</file>