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7A5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7A50" w:rsidRDefault="00187A5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5501836" r:id="rId8"/>
              </w:object>
            </w:r>
          </w:p>
          <w:p w:rsidR="00187A50" w:rsidRDefault="00187A5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87A50" w:rsidRPr="005541F0" w:rsidRDefault="00187A5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87A50" w:rsidRDefault="00187A5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87A50" w:rsidRPr="005541F0" w:rsidRDefault="00187A50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7A50" w:rsidRPr="005649E4" w:rsidRDefault="00187A5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7A50" w:rsidRPr="001D25B0" w:rsidRDefault="00187A50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187A50" w:rsidRPr="005541F0" w:rsidRDefault="00187A50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7A50" w:rsidRPr="005541F0" w:rsidRDefault="00187A50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87A50" w:rsidRPr="001D25B0" w:rsidRDefault="00187A50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187A50" w:rsidRDefault="00187A5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87A50" w:rsidRPr="003262E3" w:rsidRDefault="00187A5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87A5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7A50" w:rsidRPr="00F8214F" w:rsidRDefault="00187A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7A50" w:rsidRPr="00F8214F" w:rsidRDefault="00AE288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7A50" w:rsidRPr="00F8214F" w:rsidRDefault="00187A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7A50" w:rsidRPr="00F8214F" w:rsidRDefault="00AE288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7A50" w:rsidRPr="00A63FB0" w:rsidRDefault="00187A5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7A50" w:rsidRPr="00A3761A" w:rsidRDefault="00AE2883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7A50" w:rsidRPr="00F8214F" w:rsidRDefault="00187A5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7A50" w:rsidRPr="00AB4194" w:rsidRDefault="00187A5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7A50" w:rsidRPr="00F8214F" w:rsidRDefault="00AE288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53</w:t>
            </w:r>
          </w:p>
        </w:tc>
      </w:tr>
    </w:tbl>
    <w:p w:rsidR="00187A50" w:rsidRDefault="00187A50" w:rsidP="00F169F5"/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О внесении изменений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в распоряжение Главы города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>от 06.04.2022 № 19 «О назначении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ответственных структурных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подразделений Администрации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города за реализацию инициатив,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поступивших по итогам общественных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>площадок («Карта развития Югры»,</w:t>
      </w:r>
    </w:p>
    <w:p w:rsid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Общественная палата автономного 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  <w:r w:rsidRPr="00187A50">
        <w:rPr>
          <w:rFonts w:eastAsia="Calibri" w:cs="Times New Roman"/>
          <w:color w:val="000000" w:themeColor="text1"/>
          <w:kern w:val="3"/>
          <w:szCs w:val="28"/>
        </w:rPr>
        <w:t xml:space="preserve">округа, портал </w:t>
      </w:r>
      <w:r w:rsidRPr="00187A50">
        <w:rPr>
          <w:rFonts w:eastAsia="SimSun" w:cs="Times New Roman"/>
          <w:color w:val="000000" w:themeColor="text1"/>
          <w:kern w:val="3"/>
          <w:szCs w:val="28"/>
        </w:rPr>
        <w:t>ugra2030.myopenugra.ru)</w:t>
      </w:r>
      <w:r w:rsidRPr="00187A50">
        <w:rPr>
          <w:rFonts w:eastAsia="Calibri" w:cs="Times New Roman"/>
          <w:color w:val="000000" w:themeColor="text1"/>
          <w:kern w:val="3"/>
          <w:szCs w:val="28"/>
        </w:rPr>
        <w:t>»</w:t>
      </w: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rPr>
          <w:rFonts w:eastAsia="Calibri" w:cs="Times New Roman"/>
          <w:color w:val="000000" w:themeColor="text1"/>
          <w:kern w:val="3"/>
          <w:szCs w:val="28"/>
        </w:rPr>
      </w:pPr>
    </w:p>
    <w:p w:rsidR="00187A50" w:rsidRPr="00187A50" w:rsidRDefault="00187A50" w:rsidP="00187A50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города»:   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cs="Times New Roman"/>
          <w:szCs w:val="28"/>
        </w:rPr>
      </w:pPr>
      <w:r w:rsidRPr="00187A50">
        <w:rPr>
          <w:rFonts w:eastAsia="SimSun" w:cs="Times New Roman"/>
          <w:kern w:val="3"/>
          <w:szCs w:val="28"/>
        </w:rPr>
        <w:t>1. Внести в распоряжение Главы города от 06.04.2022 № 19 «О назначении ответственных структурных подразделений Администрации города за реали</w:t>
      </w:r>
      <w:r>
        <w:rPr>
          <w:rFonts w:eastAsia="SimSun" w:cs="Times New Roman"/>
          <w:kern w:val="3"/>
          <w:szCs w:val="28"/>
        </w:rPr>
        <w:t>-</w:t>
      </w:r>
      <w:r w:rsidRPr="00187A50">
        <w:rPr>
          <w:rFonts w:eastAsia="SimSun" w:cs="Times New Roman"/>
          <w:kern w:val="3"/>
          <w:szCs w:val="28"/>
        </w:rPr>
        <w:t xml:space="preserve">зацию инициатив, поступивших по итогам общественных площадок («Карта развития Югры», Общественная палата автономного округа, портал ugra2030.myopenugra.ru)» </w:t>
      </w:r>
      <w:r w:rsidRPr="00187A50">
        <w:rPr>
          <w:rFonts w:eastAsia="SimSun" w:cs="Times New Roman"/>
          <w:color w:val="000000" w:themeColor="text1"/>
          <w:kern w:val="3"/>
          <w:szCs w:val="28"/>
        </w:rPr>
        <w:t xml:space="preserve">следующие </w:t>
      </w:r>
      <w:r w:rsidRPr="00187A50">
        <w:rPr>
          <w:rFonts w:cs="Times New Roman"/>
          <w:szCs w:val="28"/>
        </w:rPr>
        <w:t>изменения: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187A50">
        <w:rPr>
          <w:rFonts w:cs="Times New Roman"/>
          <w:szCs w:val="28"/>
        </w:rPr>
        <w:t xml:space="preserve">1.1. </w:t>
      </w:r>
      <w:r w:rsidRPr="00187A50">
        <w:rPr>
          <w:rFonts w:eastAsia="Times New Roman" w:cs="Times New Roman"/>
          <w:kern w:val="3"/>
          <w:szCs w:val="28"/>
          <w:lang w:eastAsia="ru-RU"/>
        </w:rPr>
        <w:t>Пункты 3, 4 распоряжения изложить в следующей редакции: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SimSun" w:cs="Times New Roman"/>
          <w:kern w:val="3"/>
          <w:szCs w:val="28"/>
        </w:rPr>
      </w:pPr>
      <w:r w:rsidRPr="00187A50">
        <w:rPr>
          <w:rFonts w:cs="Times New Roman"/>
          <w:szCs w:val="28"/>
        </w:rPr>
        <w:t xml:space="preserve">«3. </w:t>
      </w:r>
      <w:r w:rsidRPr="00187A50">
        <w:rPr>
          <w:rFonts w:eastAsia="SimSun" w:cs="Times New Roman"/>
          <w:kern w:val="3"/>
          <w:szCs w:val="28"/>
        </w:rPr>
        <w:t>Ответственным структурным подразделениям Администрации города</w:t>
      </w:r>
      <w:r w:rsidR="00C727CD">
        <w:rPr>
          <w:rFonts w:eastAsia="SimSun" w:cs="Times New Roman"/>
          <w:kern w:val="3"/>
          <w:szCs w:val="28"/>
        </w:rPr>
        <w:br/>
      </w:r>
      <w:r w:rsidRPr="00187A50">
        <w:rPr>
          <w:rFonts w:eastAsia="SimSun" w:cs="Times New Roman"/>
          <w:kern w:val="3"/>
          <w:szCs w:val="28"/>
        </w:rPr>
        <w:t>в срок до 10 числа месяца, следующего за отчетным кварталом</w:t>
      </w:r>
      <w:r w:rsidR="00C727CD">
        <w:rPr>
          <w:rFonts w:eastAsia="SimSun" w:cs="Times New Roman"/>
          <w:kern w:val="3"/>
          <w:szCs w:val="28"/>
        </w:rPr>
        <w:t>,</w:t>
      </w:r>
      <w:r w:rsidRPr="00187A50">
        <w:rPr>
          <w:rFonts w:eastAsia="SimSun" w:cs="Times New Roman"/>
          <w:kern w:val="3"/>
          <w:szCs w:val="28"/>
        </w:rPr>
        <w:t xml:space="preserve"> предоставлять </w:t>
      </w:r>
      <w:r w:rsidRPr="00187A50">
        <w:rPr>
          <w:rFonts w:eastAsia="SimSun" w:cs="Times New Roman"/>
          <w:kern w:val="3"/>
          <w:szCs w:val="28"/>
        </w:rPr>
        <w:br/>
        <w:t>в комитет внутренней и молодёжной политики информацию о ходе реализации инициатив по форме согласно приложению 3.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7A50">
        <w:rPr>
          <w:rFonts w:eastAsia="SimSun" w:cs="Times New Roman"/>
          <w:kern w:val="3"/>
          <w:szCs w:val="28"/>
        </w:rPr>
        <w:t xml:space="preserve">4. Комитету внутренней и молодёжной политики не позднее 15 числа месяца, следующего за отчетным кварталом, направлять сводную информацию </w:t>
      </w:r>
      <w:r w:rsidRPr="00187A50">
        <w:rPr>
          <w:rFonts w:eastAsia="SimSun" w:cs="Times New Roman"/>
          <w:kern w:val="3"/>
          <w:szCs w:val="28"/>
        </w:rPr>
        <w:br/>
        <w:t xml:space="preserve">о ходе реализации инициатив заместителю Главы города, курирующему сферу </w:t>
      </w: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>внутренней и молодёжной политики».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 xml:space="preserve">1.2. </w:t>
      </w:r>
      <w:r w:rsidRPr="00187A50">
        <w:rPr>
          <w:rFonts w:eastAsia="Times New Roman" w:cs="Times New Roman"/>
          <w:kern w:val="3"/>
          <w:szCs w:val="28"/>
          <w:lang w:eastAsia="ru-RU"/>
        </w:rPr>
        <w:t>Пункт 8 распоряжения изложить в следующей редакции: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 xml:space="preserve">«8. </w:t>
      </w:r>
      <w:r w:rsidRPr="00187A50">
        <w:rPr>
          <w:rFonts w:eastAsia="SimSun" w:cs="Times New Roman"/>
          <w:kern w:val="3"/>
          <w:szCs w:val="28"/>
        </w:rPr>
        <w:t xml:space="preserve">Контроль за выполнением распоряжения возложить на заместителя Главы города, курирующего сферу </w:t>
      </w: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>внутренней и молодёжной политики».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lastRenderedPageBreak/>
        <w:t xml:space="preserve">1.3. </w:t>
      </w:r>
      <w:hyperlink r:id="rId9" w:history="1">
        <w:r w:rsidRPr="00187A50">
          <w:rPr>
            <w:rFonts w:eastAsia="SimSun" w:cs="Times New Roman"/>
            <w:kern w:val="3"/>
            <w:szCs w:val="28"/>
          </w:rPr>
          <w:t>Приложение 1</w:t>
        </w:r>
      </w:hyperlink>
      <w:r w:rsidRPr="00187A50">
        <w:rPr>
          <w:rFonts w:eastAsia="SimSun" w:cs="Times New Roman"/>
          <w:kern w:val="3"/>
          <w:szCs w:val="28"/>
        </w:rPr>
        <w:t xml:space="preserve"> к распоряжению изложить в новой редакции согласно приложению 1 к настоящему распоряжению.</w:t>
      </w:r>
    </w:p>
    <w:p w:rsidR="00187A50" w:rsidRPr="00187A50" w:rsidRDefault="00187A50" w:rsidP="00187A50">
      <w:pPr>
        <w:shd w:val="clear" w:color="auto" w:fill="FFFFFF"/>
        <w:ind w:firstLine="709"/>
        <w:rPr>
          <w:rFonts w:eastAsia="Times New Roman" w:cs="Times New Roman"/>
          <w:color w:val="000000" w:themeColor="text1"/>
          <w:szCs w:val="28"/>
          <w:lang w:eastAsia="ru-RU"/>
        </w:rPr>
      </w:pPr>
      <w:r w:rsidRPr="00187A50">
        <w:rPr>
          <w:rFonts w:eastAsia="Times New Roman" w:cs="Times New Roman"/>
          <w:szCs w:val="28"/>
          <w:lang w:eastAsia="ru-RU"/>
        </w:rPr>
        <w:t xml:space="preserve">1.4. </w:t>
      </w:r>
      <w:r w:rsidRPr="00187A50">
        <w:rPr>
          <w:rFonts w:cs="Times New Roman"/>
          <w:color w:val="000000" w:themeColor="text1"/>
          <w:szCs w:val="28"/>
          <w:lang w:eastAsia="ru-RU"/>
        </w:rPr>
        <w:t>Пункт 20 приложения 2 к распоряжению изложить в новой редакции согласно приложению 2 к настоящему распоряжению.</w:t>
      </w:r>
    </w:p>
    <w:p w:rsidR="00187A50" w:rsidRPr="00187A50" w:rsidRDefault="00187A50" w:rsidP="00187A50">
      <w:pPr>
        <w:shd w:val="clear" w:color="auto" w:fill="FFFFFF"/>
        <w:ind w:firstLine="709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www.admsurgut.ru. </w:t>
      </w:r>
    </w:p>
    <w:p w:rsidR="00187A50" w:rsidRPr="00187A50" w:rsidRDefault="00187A50" w:rsidP="00187A50">
      <w:pPr>
        <w:suppressAutoHyphens/>
        <w:autoSpaceDN w:val="0"/>
        <w:ind w:firstLine="709"/>
        <w:rPr>
          <w:rFonts w:eastAsia="Times New Roman" w:cs="Times New Roman"/>
          <w:kern w:val="3"/>
          <w:szCs w:val="28"/>
          <w:lang w:eastAsia="ru-RU"/>
        </w:rPr>
      </w:pPr>
      <w:r w:rsidRPr="00187A50">
        <w:rPr>
          <w:rFonts w:eastAsia="Times New Roman" w:cs="Times New Roman"/>
          <w:kern w:val="3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</w:t>
      </w:r>
      <w:r w:rsidRPr="00187A50">
        <w:rPr>
          <w:rFonts w:eastAsia="SimSun" w:cs="Times New Roman"/>
          <w:kern w:val="3"/>
          <w:szCs w:val="28"/>
        </w:rPr>
        <w:t>распоряжение</w:t>
      </w:r>
      <w:r w:rsidRPr="00187A50">
        <w:rPr>
          <w:rFonts w:eastAsia="Times New Roman" w:cs="Times New Roman"/>
          <w:kern w:val="3"/>
          <w:szCs w:val="28"/>
          <w:lang w:eastAsia="ru-RU"/>
        </w:rPr>
        <w:t xml:space="preserve"> в сетевом издании «Официальные документы города Сургута»: DOCSURGUT.RU. 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t xml:space="preserve">4. </w:t>
      </w:r>
      <w:r w:rsidRPr="00187A50">
        <w:rPr>
          <w:rFonts w:eastAsia="SimSun" w:cs="Times New Roman"/>
          <w:color w:val="000000" w:themeColor="text1"/>
          <w:kern w:val="3"/>
          <w:szCs w:val="28"/>
        </w:rPr>
        <w:t>Настоящее распоряжение вступает в силу с момента его издания</w:t>
      </w:r>
      <w:r w:rsidRPr="00187A50">
        <w:rPr>
          <w:rFonts w:eastAsia="SimSun" w:cs="Times New Roman"/>
          <w:kern w:val="3"/>
          <w:szCs w:val="28"/>
        </w:rPr>
        <w:t>.</w:t>
      </w:r>
    </w:p>
    <w:p w:rsidR="00187A50" w:rsidRPr="00187A50" w:rsidRDefault="00187A50" w:rsidP="00187A50">
      <w:pPr>
        <w:widowControl w:val="0"/>
        <w:suppressAutoHyphens/>
        <w:autoSpaceDN w:val="0"/>
        <w:ind w:firstLine="709"/>
        <w:rPr>
          <w:rFonts w:cs="Times New Roman"/>
          <w:color w:val="000000" w:themeColor="text1"/>
          <w:szCs w:val="28"/>
        </w:rPr>
      </w:pPr>
      <w:r w:rsidRPr="00187A50">
        <w:rPr>
          <w:rFonts w:eastAsia="SimSun" w:cs="Times New Roman"/>
          <w:kern w:val="3"/>
          <w:szCs w:val="28"/>
        </w:rPr>
        <w:t xml:space="preserve">5. Контроль за выполнением </w:t>
      </w:r>
      <w:r w:rsidRPr="00187A50">
        <w:rPr>
          <w:rFonts w:eastAsia="SimSun" w:cs="Times New Roman"/>
          <w:color w:val="000000" w:themeColor="text1"/>
          <w:kern w:val="3"/>
          <w:szCs w:val="28"/>
        </w:rPr>
        <w:t>распоряжения</w:t>
      </w:r>
      <w:r w:rsidRPr="00187A50">
        <w:rPr>
          <w:rFonts w:eastAsia="SimSun" w:cs="Times New Roman"/>
          <w:kern w:val="3"/>
          <w:szCs w:val="28"/>
        </w:rPr>
        <w:t xml:space="preserve"> возложить на заместителя Главы города, курирующего сферу </w:t>
      </w:r>
      <w:r w:rsidRPr="00187A50">
        <w:rPr>
          <w:rFonts w:eastAsia="Times New Roman" w:cs="Times New Roman"/>
          <w:color w:val="000000" w:themeColor="text1"/>
          <w:szCs w:val="28"/>
          <w:lang w:eastAsia="ru-RU"/>
        </w:rPr>
        <w:t>внутренней и молодёжной политики.</w:t>
      </w:r>
    </w:p>
    <w:p w:rsidR="00187A50" w:rsidRPr="00187A50" w:rsidRDefault="00187A50" w:rsidP="00187A50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187A50" w:rsidRPr="00187A50" w:rsidRDefault="00187A50" w:rsidP="00187A50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187A50" w:rsidRPr="00187A50" w:rsidRDefault="00187A50" w:rsidP="00187A50">
      <w:pPr>
        <w:suppressAutoHyphens/>
        <w:autoSpaceDN w:val="0"/>
        <w:rPr>
          <w:rFonts w:eastAsia="Times New Roman" w:cs="Times New Roman"/>
          <w:color w:val="000000" w:themeColor="text1"/>
          <w:kern w:val="3"/>
          <w:szCs w:val="28"/>
          <w:lang w:eastAsia="ru-RU"/>
        </w:rPr>
      </w:pPr>
    </w:p>
    <w:p w:rsidR="00187A50" w:rsidRPr="00187A50" w:rsidRDefault="00187A50" w:rsidP="00187A50">
      <w:pPr>
        <w:widowControl w:val="0"/>
        <w:suppressAutoHyphens/>
        <w:autoSpaceDN w:val="0"/>
        <w:spacing w:after="160" w:line="256" w:lineRule="auto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t xml:space="preserve">Глава города                  </w:t>
      </w:r>
      <w:r>
        <w:rPr>
          <w:rFonts w:eastAsia="SimSun" w:cs="Times New Roman"/>
          <w:kern w:val="3"/>
          <w:szCs w:val="28"/>
        </w:rPr>
        <w:t xml:space="preserve">  </w:t>
      </w:r>
      <w:r w:rsidRPr="00187A50">
        <w:rPr>
          <w:rFonts w:eastAsia="SimSun" w:cs="Times New Roman"/>
          <w:kern w:val="3"/>
          <w:szCs w:val="28"/>
        </w:rPr>
        <w:t xml:space="preserve">                           </w:t>
      </w:r>
      <w:r>
        <w:rPr>
          <w:rFonts w:eastAsia="SimSun" w:cs="Times New Roman"/>
          <w:kern w:val="3"/>
          <w:szCs w:val="28"/>
        </w:rPr>
        <w:t xml:space="preserve"> </w:t>
      </w:r>
      <w:r w:rsidRPr="00187A50">
        <w:rPr>
          <w:rFonts w:eastAsia="SimSun" w:cs="Times New Roman"/>
          <w:kern w:val="3"/>
          <w:szCs w:val="28"/>
        </w:rPr>
        <w:t xml:space="preserve">                                                  М.Н. Слепов  </w:t>
      </w:r>
    </w:p>
    <w:p w:rsidR="00187A50" w:rsidRPr="00187A50" w:rsidRDefault="00187A50" w:rsidP="00187A50">
      <w:pPr>
        <w:widowControl w:val="0"/>
        <w:suppressAutoHyphens/>
        <w:autoSpaceDN w:val="0"/>
        <w:spacing w:after="160" w:line="256" w:lineRule="auto"/>
        <w:rPr>
          <w:rFonts w:eastAsia="SimSun" w:cs="Times New Roman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spacing w:after="160" w:line="256" w:lineRule="auto"/>
        <w:rPr>
          <w:rFonts w:eastAsia="SimSun" w:cs="Times New Roman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spacing w:after="160" w:line="256" w:lineRule="auto"/>
        <w:rPr>
          <w:rFonts w:eastAsia="SimSun" w:cs="Times New Roman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spacing w:after="160" w:line="256" w:lineRule="auto"/>
        <w:rPr>
          <w:rFonts w:eastAsia="SimSun" w:cs="Times New Roman"/>
          <w:kern w:val="3"/>
          <w:szCs w:val="28"/>
        </w:rPr>
        <w:sectPr w:rsidR="00187A50" w:rsidRPr="00187A50" w:rsidSect="00187A50">
          <w:headerReference w:type="default" r:id="rId10"/>
          <w:pgSz w:w="11906" w:h="16838"/>
          <w:pgMar w:top="1134" w:right="567" w:bottom="567" w:left="1701" w:header="709" w:footer="709" w:gutter="0"/>
          <w:cols w:space="708"/>
          <w:docGrid w:linePitch="381"/>
        </w:sectPr>
      </w:pPr>
    </w:p>
    <w:p w:rsidR="00187A50" w:rsidRPr="00187A50" w:rsidRDefault="00187A50" w:rsidP="00187A50">
      <w:pPr>
        <w:widowControl w:val="0"/>
        <w:suppressAutoHyphens/>
        <w:autoSpaceDN w:val="0"/>
        <w:ind w:firstLine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lastRenderedPageBreak/>
        <w:t>Приложение 1</w:t>
      </w:r>
    </w:p>
    <w:p w:rsidR="00187A50" w:rsidRPr="00187A50" w:rsidRDefault="00187A50" w:rsidP="00187A50">
      <w:pPr>
        <w:widowControl w:val="0"/>
        <w:suppressAutoHyphens/>
        <w:autoSpaceDN w:val="0"/>
        <w:ind w:firstLine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 xml:space="preserve">к распоряжению </w:t>
      </w:r>
    </w:p>
    <w:p w:rsidR="00187A50" w:rsidRPr="00187A50" w:rsidRDefault="00187A50" w:rsidP="00187A50">
      <w:pPr>
        <w:widowControl w:val="0"/>
        <w:suppressAutoHyphens/>
        <w:autoSpaceDN w:val="0"/>
        <w:ind w:firstLine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 xml:space="preserve">Главы города </w:t>
      </w:r>
    </w:p>
    <w:p w:rsidR="00187A50" w:rsidRPr="00187A50" w:rsidRDefault="00187A50" w:rsidP="00187A50">
      <w:pPr>
        <w:widowControl w:val="0"/>
        <w:suppressAutoHyphens/>
        <w:autoSpaceDN w:val="0"/>
        <w:ind w:firstLine="10915"/>
        <w:jc w:val="left"/>
        <w:rPr>
          <w:rFonts w:eastAsia="SimSun" w:cs="Times New Roman"/>
          <w:b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>от ____________ № ________</w:t>
      </w:r>
    </w:p>
    <w:p w:rsidR="00187A50" w:rsidRPr="00187A50" w:rsidRDefault="00187A50" w:rsidP="00187A50">
      <w:pPr>
        <w:widowControl w:val="0"/>
        <w:suppressAutoHyphens/>
        <w:autoSpaceDN w:val="0"/>
        <w:jc w:val="center"/>
        <w:rPr>
          <w:rFonts w:eastAsia="SimSun" w:cs="Times New Roman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jc w:val="center"/>
        <w:rPr>
          <w:rFonts w:eastAsia="SimSun" w:cs="Times New Roman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jc w:val="center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t xml:space="preserve">Перечень </w:t>
      </w:r>
      <w:r w:rsidRPr="00187A50">
        <w:rPr>
          <w:rFonts w:eastAsia="SimSun" w:cs="Times New Roman"/>
          <w:kern w:val="3"/>
          <w:szCs w:val="28"/>
        </w:rPr>
        <w:br/>
        <w:t>ответственных структурных подразделений Администрации города за реализацию инициатив, поступивших по итогам общественных площадок («Карта развития Югры», Общественная палата автономного округа,</w:t>
      </w:r>
    </w:p>
    <w:p w:rsidR="00187A50" w:rsidRPr="00187A50" w:rsidRDefault="00187A50" w:rsidP="00187A50">
      <w:pPr>
        <w:widowControl w:val="0"/>
        <w:suppressAutoHyphens/>
        <w:autoSpaceDN w:val="0"/>
        <w:jc w:val="center"/>
        <w:rPr>
          <w:rFonts w:eastAsia="SimSun" w:cs="Times New Roman"/>
          <w:kern w:val="3"/>
          <w:szCs w:val="28"/>
        </w:rPr>
      </w:pPr>
      <w:r w:rsidRPr="00187A50">
        <w:rPr>
          <w:rFonts w:eastAsia="SimSun" w:cs="Times New Roman"/>
          <w:kern w:val="3"/>
          <w:szCs w:val="28"/>
        </w:rPr>
        <w:t>портал ugra2030.myopenugra.ru)</w:t>
      </w:r>
    </w:p>
    <w:p w:rsidR="00187A50" w:rsidRPr="00187A50" w:rsidRDefault="00187A50" w:rsidP="00187A50">
      <w:pPr>
        <w:widowControl w:val="0"/>
        <w:suppressAutoHyphens/>
        <w:autoSpaceDN w:val="0"/>
        <w:jc w:val="left"/>
        <w:rPr>
          <w:rFonts w:eastAsia="SimSun" w:cs="Times New Roman"/>
          <w:kern w:val="3"/>
          <w:szCs w:val="28"/>
        </w:rPr>
      </w:pPr>
    </w:p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№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Наименование инициативы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№ инициативы в сводном реестре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Срок реализации инициативы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Наименование муниципальной/ государственной программы, дорожной карты, в рамках которой реализуется (планируется к реализации)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инициатива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Ответственное структурное подразделение Администрации города/муниципальная организация/управляющая организация/иные организации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замене лавочек во дворах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сделать Югру лучшим округом во вселенной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1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культуры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иные структурные подразделения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асфальтирования во дворах между домами </w:t>
            </w:r>
          </w:p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ind w:right="-8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улице Мелик-Карамова, 26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9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;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Нагорная,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памятниках на территории города (современный Сургут –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это комсомольская стройка)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дороги между поселком Юность и городом Сургут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качественного ремонта дорог: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 между домами по проспекту Комсомольск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ому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, 12, корпус 1 и больницей 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«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Геолог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»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;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 по проспекту Комсомольск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ому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, 16;</w:t>
            </w:r>
          </w:p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 между домами по проспекту Комсомольск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ому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, 20 и библиотекой № 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оборудованию велодорожками на основных улицах: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Ленина, Университетская, Мира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организации ремонта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двора по улице Ленина, 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организации ремонта </w:t>
            </w:r>
          </w:p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проезда между домами 26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24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улице Привокзальной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установке регулируемого пешеходного перехода через улицу Генерала Иванова возле торгово-развлекательного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центра «Вершина»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выделении финансовых средств в 2021 – 2022 годах на возведение крытого универсального спортивного зала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территории муниципального бюджетного общеобразовательного учреждения средней общеобразовательной школы № 20 по адресу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>: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улица Толстого, 20А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текущего содержания тротуаров в соответствии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требованиями </w:t>
            </w:r>
            <w:hyperlink r:id="rId12" w:history="1">
              <w:r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приказа</w:t>
              </w:r>
            </w:hyperlink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Министерства транспорта Российской Федерации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от 16.11.2012 №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благоустройству тротуара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улице Есенина (вдоль храма)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ремонта дорог улицы Крылова (участок от улицы Грибоедова до улицы Толстого) и улицы Толстого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национальный проект «Безопасные качественные дороги»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</w:tbl>
    <w:p w:rsidR="00187A50" w:rsidRDefault="00187A50"/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проведении реформы городского общественного транспорта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полным исключением автобусов малого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особо малого класса («маршруток»).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Также рассмотреть возможность движения такого транспорта как минимум до 00:00,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а по возможности и сделать дежурные автобусы ночью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дорожная карта комплексной модернизации транспортной системы Сургутской городской агломерации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парка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микрорайоне 43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2023 – 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3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«Комфортная городская среда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реновации улицы Ленина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спуск-пандуса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моста, соединяющего Старый Сургут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Сургутский государственный университет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на территории каждого микрорайона города площадки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выгула собак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, об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у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станов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лении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урн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выброса отходов жизнедеятельности собак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строительстве дороги </w:t>
            </w:r>
          </w:p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жителей пос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е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лка Лунного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площадки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выставок разных работ творческих горожан – в каждом микрорайоне, в парках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не ограничен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4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культуры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порядка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эксплуатации дворовых спортивных площадок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размещения медицинских пунктов и аптек в дачных кооперативах (в летний период)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организации благоустройств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территории возле торгового центра «Росич» (далее – ТЦ «Росич») между проездом Мунарева и улицей Геологической (благоустроить сквер, мини парк)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освещения пешеходных дорожек до социальных </w:t>
            </w:r>
          </w:p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объектов внутри микрорайона 16А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(школ, детских садов, остановок)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5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 системы города Сургута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строительства ледового дворца спорта для тренировок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хоккей с шайбой, шортрека, фигурного катания, концертов в городе Сургуте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минимум на 5</w:t>
            </w:r>
            <w:r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000 зрителей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6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строительстве поющего фонтана «Как в Казани или Сочи»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30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Инициатива граждан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городского хозяйства; 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рассмотрении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подачи качественной воды по адресу: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улица Университетская, 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рассмотрении реализации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эксперимента по созданию муниципальной полиции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по вопросам общественной безопасности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рассмотрении возможности введения в штатное расписание детских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садов дополнительных должностных единиц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целью снижения нагрузки на педагогов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детских садах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suppressAutoHyphens/>
              <w:autoSpaceDN w:val="0"/>
              <w:spacing w:after="160" w:line="256" w:lineRule="auto"/>
              <w:jc w:val="center"/>
              <w:rPr>
                <w:rFonts w:eastAsia="SimSun" w:cs="Times New Roman"/>
                <w:kern w:val="3"/>
                <w:szCs w:val="28"/>
              </w:rPr>
            </w:pPr>
            <w:r w:rsidRPr="00187A50">
              <w:rPr>
                <w:rFonts w:eastAsia="SimSun" w:cs="Times New Roman"/>
                <w:kern w:val="3"/>
                <w:sz w:val="20"/>
                <w:szCs w:val="20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трамвайных/ троллейбусных путей в городе с выделением для них отдельных полос на дорогах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изменение маршрутов, а также внедрении системы оплаты по типу карты «Тройка»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проведении оценки опасности газопровода Нижневартовск – ГРЭС1, проходящего по территории садовых некоммерческих товариществ «Прибрежный», «Заречный».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строительства понижающей давление станции с учетом требований технических регламентов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к магистральным газопроводам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</w:tbl>
    <w:p w:rsidR="00187A50" w:rsidRDefault="00187A50"/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рассмотрении для молодых людей до 35 лет установления надбавки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к «северному» стажу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7CD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комитет внутренней </w:t>
            </w:r>
          </w:p>
          <w:p w:rsidR="00187A50" w:rsidRPr="00187A50" w:rsidRDefault="00187A50" w:rsidP="00C727CD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молодёжной политики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строительстве круглогодичного крытого горнолыжного комплекса для развития направленности сноуборда и горных лыж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запуске автобуса по маршруту улица Ивана Захарова – «УБР»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дорожная карта комплексной модернизации транспортной системы Сургутской городской агломерации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обустройству сквера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проспекте Мира (около строящегося Троицкого собора)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CD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организаций, которые будут заниматься массовым спортом, включая детский; о создании системы подготовки, переподготовки и повышения квалификации кадров, прежде всего с высшим профессиональным образованием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территории округа.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разработке закона автономного округа о физической культуре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закреплением в Стратегии Ханты-Мансийского автономного округа – Югры следующих целевых показателей: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1. Процент школьников, занимающихся регулярно физкультурой.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2. Процент детей и молодежи 3 – 29 лет, занимающихся в учреждениях спорта.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3. Доля граждан среднего возраста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(женщины в возрасте 30 – 54 лет, мужчины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30 – 59 лет), систематически занимающихся физической культурой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спортом, в общей численности граждан среднего возраста, процентов.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4. Доля граждан старшего возраста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(женщины в возрасте 55 – 79 лет, мужчины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возрасте 60 – 79 лет), систематически занимающихся физической культурой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спортом в общей численности граждан старшего возраста, процентов.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5. Уровень удовлетворенности граждан созданными условиями для занятий физической культур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ой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и спорт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ом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, процентов.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6. Уровень обеспеченности граждан спортивными сооружениями исходя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из единовременной пропускной способности объектов спорта, процентов (с достижением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к 2030 году до 74%).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7. Процент сдавших нормы ГТО от населения округа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сдавших от количества сдававших нормы.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8. Количество штатных работников физической культуры и спорта, тыс. человек (с увеличением к 2030 году на 50%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отношению к 2020 году)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до 2030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7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приюта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животных (собак, кошек)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увеличению расходов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образование и науку, усилить контроль расходов бюджета, сделать прозрачными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понятными для граждан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до 2030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8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образования; 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введении в школьную программу обязательного курса просвещения о наркотиках и их вреде, опережающ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его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первый опыт их употребления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проработке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реализации плана по транспортной разгрузке северной промышленной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зоны города (улица Маяковского).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строительстве развязки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соединения улицы Промышленной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улицей Энергостроителей или улицы Индустриальной с улицей Пионерной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до 2030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19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 системы города Сургута»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рассмотрении возможности установки аппаратов по приему пластиковых бутылок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условий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развития этнообразовательного туризма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Предложения по организации: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1. Строительства полотна дорожного покрытия (замена) в городе на 100%.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2. Асфальтирования дворовой и прилегающей территории к домам по всему городу.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3. Регулирования цен за паркинг-места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многоквартирных домах при наличии подземных-надземных паркингов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(не выше оплаты за коммунальные услуги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 кв. метра).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4. Оказания финансовой и информационной поддержки спортивных организаций.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5. Строительства развязок и мостов в городе, настройки режима светофоров в городе.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6. В затрудненных проездах в городе,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где образуются пробки, убрать светофоры, тормозящие движение и установить надземный переход.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7. Установки обогреваемых остановок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городу.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8. Замена дорожного покрытия в дачных кооперативах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1. Департамент городского хозяйства.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2. Департамент городского хозяйства; управляющие компании.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3. Управляющие компании; собственники МКД.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4. Управление физической культуры и спорта.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5. 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6. Департамент городского хозяйства.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7. Департамент городского хозяйства.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8. Департамент городского хозяйства; садово-огородные кооперативы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Предложения по организации строительства большого аквапарка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Предложения по организации в поселке Снежном строительства дорог, ливневой канализации, коммуникаций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 развитии детского спорта: хоккей, легкая атлетика за счет строительства спортивных крытых сооружений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CD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0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</w:tbl>
    <w:p w:rsidR="00187A50" w:rsidRDefault="00187A50"/>
    <w:p w:rsidR="00187A50" w:rsidRDefault="00187A50"/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организации спортивных площадок с тренажерами во дворах, строительству специальных площадок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выгула/тренировок собак (кошек).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организации в каждом дворе «стоянки» для велосипедов, санок и прочего транспорта.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общегородского сайта/группы поддержки погорельцам, малоимущим семьям одеждой/обувью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1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«Комфортная городская среда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организация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Предложения по организации замены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улицах города фонарей и бордюров (заборов) на более современные; строительство школ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индивидуальным подходом к детям (платные/бесплатные); ввести в реестр специальностей – нутрициолог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экскурсий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рекам и лесам (в зимний и летний периоды)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туризма,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об организации в каждом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дворе города современных детских площадок, оснащ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е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нных видеонаблюдением.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строительстве в каждом микрорайоне дошкольных учреждений,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школ, организации общественного транспорта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дорожная карта комплексной модернизации транспортной системы Сургутской городской агломерации,</w:t>
            </w:r>
          </w:p>
          <w:p w:rsid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2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города Сургута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года»,</w:t>
            </w:r>
          </w:p>
          <w:p w:rsid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3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благоустройству тротуарных дорожек (особое внимание уделив их высоте)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за отмену капитального ремонта. Предложение по организации освещения во дворах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</w:tbl>
    <w:p w:rsidR="00187A50" w:rsidRDefault="00187A50"/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Необходимо строить комфортные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передвижения дороги с разделительным барьером и не менее двух полос в каждом направлении. Это в первую очередь исключит аварии «лоб в лоб» и ускорит передвижение людей и грузов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4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 системы города Сургута»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организации: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1. Повышения привлекательности территории за счет улучшение «комфортности» проживания, а именно наличие общественных туалетов, общественных пространств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пешеходных маршрутов (периодическое отсутствие пешеходных дорожек, их плохое качество, отсутствие съездов и пандусов.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2. Развитие социально-культурного пространства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2. Дворец культуры «Строитель» (далее –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ДК «Строитель»): проектно-изыскательские работы (далее – ПИР) 2020 – 2022 годы, строительно-монтажные работы (далее – СМР) 2023 – 2025 годы,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при определении источника финансирования.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Здание муниципального автономного учреждения «Театр актера и куклы «Петрушка» (далее –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МАУ «ТАиК «Петрушка): ПИР – 2023 год, СМР 2024 –2025 годы,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при определении источника финансирования.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Детская школа искусств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в 25 микрорайоне: корректировка ПИР –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2022 –2023, СМР –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2023 – 2024 при определении источника финансирования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2. Объекты предусмотрены: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 муниципальной программой «Развитие культуры в городе Сургуте»;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- программой комплексного развития социальной инфраструктуры муниципального образования городской округ Сургут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2035 года;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- планом создания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объектов инвестиционной инфраструктуры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муниципальном образовании городской округ город Сургут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2021 – 2023 годы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об остановке вырубки лесов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застройки жилых домов взамен использовани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я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промышленной зоны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города для этих целей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завода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 производству бумажных пакетов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тряпочных сумок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созданию велодорожек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городе.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обращению внимания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наличие колясочных при проектировании жилых домов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пешеходной зоны по улице Островского – улице Профсоюзов – проспекту Ленина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установке крыльца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подъемником для маломобильных детей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детскую стоматологическую поликлинику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улице Пушкина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,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5/1, также установить велопарковку, под крыльцо – место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временного хранения детских колясок, скамейки для детей и родителей во время ожиданий, клумбу, освещение территории.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организации освещения пешеходных дорожек по улице Пушкина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обеих сторон дороги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-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управляющая компания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спортивной арены на 5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000 человек для игр в хоккей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5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дороги, протяженностью около 1 километра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6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города Сургута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</w:tbl>
    <w:p w:rsidR="00187A50" w:rsidRDefault="00187A50"/>
    <w:tbl>
      <w:tblPr>
        <w:tblW w:w="152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236"/>
        <w:gridCol w:w="1620"/>
        <w:gridCol w:w="2741"/>
        <w:gridCol w:w="2866"/>
        <w:gridCol w:w="3240"/>
      </w:tblGrid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продолжению строительства дороги, протяженностью 780 метров в рамках контракта жизненного цикла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4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7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системы города Сургута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объездной автомобильной дороги 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отрезка объездной дороги со съездом на улицу Геологическую, протяженностью участка 500 метров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10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8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системы города Сургута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реформированию улично-дорожной сети города, в том числе за счет строительства новых и реконструкции существующих городских улиц и дорог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13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дорожная карта комплексной модернизации транспортной системы Сургутской городской агломерации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реконструкции существующих очистных сооружений хозяйственно-бытового стока и строительству новых объектов в городе к 2025 году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12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 – 2025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мероприятия инвестиционной программы Сургутского городского муниципального унитарного предприятия «Горводоканал»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 развитию систем водоотведения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территории Сургута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2022 – 2025 годы;</w:t>
            </w:r>
          </w:p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29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коммунального комплекса и повышение энергетической эффективности в городе Сургуте»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«зеленого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каркаса Сургута» за счет строительства современных парков: экопарк «За Саймой», парк в 38 микрорайоне, парковая зона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микрорайоне 20А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0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о создании «Музея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под открытым небом в городе» за счет живописи на 19 строениях, в том числе трансформаторных подстанциях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5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инициативное бюджетирование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культуры,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в 2021 году парка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микрорайоне № 40 с благоустроенной площадью 2,3 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23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1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парка в районе Сургутского государственного университета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учетом обновления территории центра города Сургута в районе главного корпуса Сургутского государственного университета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водохранилища реки «Сайма»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24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2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спортивной площадки в поселке Снежный, установк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е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детской площадки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27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3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парка Кедровый Лог за счет его реконструкции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33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4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«Формирование комфортной городской среды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созданию системы видеонаблюдения в городе за счет обновления системы уличного видеонаблюдения (замены аналоговых видеокамер на цифровые), установка видеокамер на остановках,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40 образовательных учреждениях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2019 – 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5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«Профилактика правонарушений в городе Сургуте на период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муниципальное казённое учреждение «Управление информационных технологий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связи города Сургута»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интеллектуальной транспортной системы в городе (регулирование работы светофоров, создание «зеленой волны»).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К 2023 году необходимо настроить работу всех загруженных перекрестков города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29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6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транспортной системы города Сургута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реализации проекта «Доступное и качественное образование детям и молодежи Сургута» за счет привлечения школьников в проект «Будущее здесь», финалисты которые будут проходить стажировку в инновационном центре «Сколково»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7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города Сургута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года»,</w:t>
            </w:r>
          </w:p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8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постановление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Администрации города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от 29.12.2021 № 11421 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br/>
              <w:t>«О проведении городского проекта «Будущее здесь»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к 2024 году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семи средних общеобразовательных школ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8 350 мест, которые будут оснащены бассейнами, залами хореографии и лечебной физической культурой, тренажерными залами, цифровыми лабораториями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15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2021 - 2024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39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«Развитие образования», </w:t>
            </w:r>
            <w:hyperlink r:id="rId40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города Сургута 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7 средних общеобразовательных школ на 9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300 мест, которые будут оснащены зонами для отдыха детей начальных классов, модулями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изучения робототехники, механики, систем автоматизированного управления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 организацией подготовки учащихся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к участию в соревнованиях WorldSkills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16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 – 2024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1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«Развитие образования», </w:t>
            </w:r>
            <w:hyperlink r:id="rId42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города Сургута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CD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двух школ –одна из них откроется в сентябре – это корпус лицея имени генерал-майора Хисматулина. 900 детей из 32-го микрорайона придут учиться сюда уже 1 сентября, а в декабре достроят школу в 33-м микрорайоне. </w:t>
            </w:r>
          </w:p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Она тоже на 900 мест. Учебные заведения оборудуют лабораториями 3D-моделирования и прототипирования, кабинетами по изучению альтернативных источников энергии, природных и искусственных материалов, инженерных конструкций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30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3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города Сургута 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пяти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школ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6 550 учащихся. Помещения оборудуют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под проектно-исследовательскую, техническую, естественно-научную деятельность. Откроют лаборатории проектной работы «Коворкинг».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каждом здании будет 25-метровый бассейн, спортивные и тренажерные залы. Школы откроют в микрорайонах в 2024 году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31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4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«Развитие образования», </w:t>
            </w:r>
            <w:hyperlink r:id="rId45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образования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города Сургута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велопарковок.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Сургуте устанавливают 18 велопарковок. Они появятся в сквере «Энергетиков имени Губачева В.Г.», в зеленой зоне, примыкающей к «Дворцу торжеств», на набережной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Олега Марчука, возле школы искусств,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музеев и спортивных учреждений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6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рамках инициативного бюджетирования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городского хозяйства;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созданию скейт-площадки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сквере. Там установят оборудование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для прыжков на доске: двухуровневую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рампу, радиусную разгонку и скамейку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для скольжения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7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рамках инициативного бюджетирования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созданию культурно-спортивного кластера «СпортЗавод»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площадью 11 000 квадратных метров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9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соглашение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 сопровождении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при реализации инвестиционного проекта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 принципу «одного окна»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муниципальном образовании городской округ Сургут Ханты-Мансийского автономного округа – Югры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от 24.11.2021 № 01-12-454/1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83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«Сноупарк» </w:t>
            </w:r>
            <w:r w:rsidR="00C727CD">
              <w:rPr>
                <w:rFonts w:eastAsiaTheme="minorEastAsia" w:cs="Times New Roman"/>
                <w:sz w:val="20"/>
                <w:szCs w:val="20"/>
                <w:lang w:eastAsia="ru-RU"/>
              </w:rPr>
              <w:t>–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круглогодичный горнолыжный комплекс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Сургуте. К 2024 году в одном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из крупнейших муниципалитетов Югры построят уникальный спортивный объект. «Сноупарк» – это огромная игровая площадка, которая объединит сноубордистов и всех любителей активных видов спорта. Комплекс будет многофункциональным – в нем появится возможность размещения тренажерного зала, зон отдыха, лыжероллерной трассы и пунктов проката. Проект «Сноупарк» является мобильной передвижной конструкцией и в рамках развития города может быть перенесен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другое удобное место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11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шести быстровозводимых спортивных сооружений. В 2024 году в Сургуте появится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6 быстровозводимых спортивных объектов: две ледовые арены с искусственным льдом,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3 физкультурно-оздоровительных комплекса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игровыми залами, а также дворец боевых искусств. Новые спортивные комплексы общей площадью более 13 000 квадратных метров в разных микрорайонах города позволят привлечь значительную часть горожан к занятиям спортом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22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2022 – 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6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 на период 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инвестиций, развития предпринимательства и туризма;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футбольного поля школы №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25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образования;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финансов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86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футбольной площадки на территории лыжной базы «Кедр» размером 36х18 метров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26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2021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7CD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7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физической культуры и спорта в городе Сургуте на период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управление физической культуры и спорта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87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строительству культурно-досуговых объектов, в приоритете – строительство нового ДК «Строитель»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здания МАУ «ТАиК «Петрушка»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14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до 2030 года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8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культуры в городе Сургуте»,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программа комплексного развития социальной инфраструктуры муниципального образования городской округ Сургут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период до 2035 года,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ind w:right="-79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план создания объектов </w:t>
            </w:r>
            <w:r w:rsidRPr="00187A50">
              <w:rPr>
                <w:rFonts w:eastAsiaTheme="minorEastAsia" w:cs="Times New Roman"/>
                <w:spacing w:val="-6"/>
                <w:sz w:val="20"/>
                <w:szCs w:val="20"/>
                <w:lang w:eastAsia="ru-RU"/>
              </w:rPr>
              <w:t>инвестиционной инфраструктуры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муниципальном образовании городской округ город Сургут на 2021 – 2023 годы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департамент архитектуры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и градостроительства;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>комитет культуры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реализации проекта «Развитие жилищной сферы». К 2026 году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Сургуте построится 631 493,75 квадратных метров нового жилья. Это позволит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не только улучшить жилищные условия граждан, но и ликвидировать ветхие, аварийные и непригодные для проживания здания. Ежегодно планируется вводить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эксплуатацию не менее 250 000 квадратных метров жилья. До конца 2022 года планируется расселить из аварийных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домов 591 семью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17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49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жилищной сферы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городе Сургуте», </w:t>
            </w:r>
            <w:hyperlink r:id="rId50" w:history="1">
              <w:r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«Строительство»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департамент архитектуры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градостроительства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загородного специализированного спортивно-оздоровительного лагеря «Олимпия»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2023 году на 158 человек в смену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18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2024 – 2026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51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молодежной политики в городе Сургуте»,</w:t>
            </w:r>
          </w:p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52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- Югры «Развитие образования»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комитет внутренней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cs="Times New Roman"/>
                <w:sz w:val="20"/>
                <w:szCs w:val="20"/>
              </w:rPr>
              <w:t>и молодёжной политики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Предложение по строительству загородного военно-спортивного лагеря «Барсова гора»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в 2023 году на 150 мест в смену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19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2024 – 2026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53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муниципальная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«Развитие молодежной политики в городе Сургуте»,</w:t>
            </w:r>
          </w:p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54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«Развитие образования»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cs="Times New Roman"/>
                <w:sz w:val="20"/>
                <w:szCs w:val="20"/>
              </w:rPr>
            </w:pPr>
            <w:r w:rsidRPr="00187A50">
              <w:rPr>
                <w:rFonts w:cs="Times New Roman"/>
                <w:sz w:val="20"/>
                <w:szCs w:val="20"/>
              </w:rPr>
              <w:t xml:space="preserve">комитет внутренней 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cs="Times New Roman"/>
                <w:sz w:val="20"/>
                <w:szCs w:val="20"/>
              </w:rPr>
              <w:t>и молодёжной политики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реализации проекта «Индустриальный парк – Югра город Сургут». На базе парка будет создано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более 800 рабочих мест. Предполагаемый объем инвестиций составит 867,2 млн. рублей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AE2883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hyperlink r:id="rId55" w:history="1">
              <w:r w:rsidR="00187A50" w:rsidRPr="00187A50">
                <w:rPr>
                  <w:rFonts w:eastAsiaTheme="minorEastAsia" w:cs="Times New Roman"/>
                  <w:sz w:val="20"/>
                  <w:szCs w:val="20"/>
                  <w:lang w:eastAsia="ru-RU"/>
                </w:rPr>
                <w:t>государственная программа</w:t>
              </w:r>
            </w:hyperlink>
            <w:r w:rsidR="00187A50"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Ханты-Мансийского автономного округа – Югры «Развитие промышленности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инвестиций, развития предпринимательства и туризма</w:t>
            </w:r>
          </w:p>
        </w:tc>
      </w:tr>
      <w:tr w:rsidR="00187A50" w:rsidRPr="00187A50" w:rsidTr="0015778D">
        <w:tc>
          <w:tcPr>
            <w:tcW w:w="4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реализации проекта «Производственный комплекс по переработке металлолома мощностью 100 000 тонн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год» в 2022 году. Проект направлен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на удовлетворение потребностей строительной сферы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21</w:t>
            </w: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«Карта развития Югры»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2022 – 2030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соглашение о сотрудничестве при реализации инвестиционного проекта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по принципу «одного окна»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муниципальном образовании городской округ Сургут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от 12.07.2021 № 01-12-183/1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управление инвестиций, развития предпринимательства и туризма</w:t>
            </w:r>
          </w:p>
        </w:tc>
      </w:tr>
    </w:tbl>
    <w:p w:rsidR="00C727CD" w:rsidRDefault="00C727CD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>Приложение 2</w:t>
      </w: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 xml:space="preserve">к распоряжению </w:t>
      </w: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 xml:space="preserve">Главы города </w:t>
      </w: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  <w:r w:rsidRPr="00187A50">
        <w:rPr>
          <w:rFonts w:eastAsia="SimSun" w:cs="Times New Roman"/>
          <w:bCs/>
          <w:color w:val="26282F"/>
          <w:kern w:val="3"/>
          <w:szCs w:val="28"/>
        </w:rPr>
        <w:t>от ____________ № ________</w:t>
      </w: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bCs/>
          <w:color w:val="26282F"/>
          <w:kern w:val="3"/>
          <w:szCs w:val="28"/>
        </w:rPr>
      </w:pPr>
    </w:p>
    <w:p w:rsidR="00187A50" w:rsidRPr="00187A50" w:rsidRDefault="00187A50" w:rsidP="00187A50">
      <w:pPr>
        <w:widowControl w:val="0"/>
        <w:suppressAutoHyphens/>
        <w:autoSpaceDN w:val="0"/>
        <w:ind w:left="10915"/>
        <w:jc w:val="left"/>
        <w:rPr>
          <w:rFonts w:eastAsia="SimSun" w:cs="Times New Roman"/>
          <w:kern w:val="3"/>
          <w:szCs w:val="28"/>
        </w:rPr>
      </w:pPr>
    </w:p>
    <w:tbl>
      <w:tblPr>
        <w:tblW w:w="14560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5740"/>
        <w:gridCol w:w="1960"/>
        <w:gridCol w:w="3934"/>
        <w:gridCol w:w="2366"/>
      </w:tblGrid>
      <w:tr w:rsidR="00187A50" w:rsidRPr="00187A50" w:rsidTr="0015778D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Предложение по созданию Сургутской Агломерации </w:t>
            </w:r>
          </w:p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с населением от 500 тысяч человек. Для включения Агломерации в Федеральный перечень и соответствующую Программу учредить на уровне Округа «Региональную Дирекцию»</w:t>
            </w:r>
          </w:p>
          <w:p w:rsidR="00187A50" w:rsidRPr="00187A50" w:rsidRDefault="00187A50" w:rsidP="00187A50">
            <w:pPr>
              <w:widowControl w:val="0"/>
              <w:suppressAutoHyphens/>
              <w:autoSpaceDN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  <w:p w:rsidR="00187A50" w:rsidRPr="00187A50" w:rsidRDefault="00187A50" w:rsidP="00187A50">
            <w:pPr>
              <w:keepNext/>
              <w:keepLines/>
              <w:outlineLvl w:val="0"/>
              <w:rPr>
                <w:rFonts w:ascii="Calibri Light" w:eastAsiaTheme="minorEastAsia" w:hAnsi="Calibri Light" w:cs="Times New Roman"/>
                <w:color w:val="2E74B5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C727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соответствии с правилами предоставления и распределения иных межбюджетных трансфертов в целях софинансирования расходных обязательств субъектов Российской Федерации, возникающих при реализации мероприятий, направленных на развитие инфраструктуры дорожного хозяйства,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в рамках реализации национального проекта «Безопасные качественные дороги», утвержденными постановлением Правительства Российской Федерации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от 25.12.2020 № 2265</w:t>
            </w:r>
            <w:r w:rsidRPr="00187A50">
              <w:rPr>
                <w:rFonts w:eastAsia="Times New Roman" w:cs="Times New Roman"/>
                <w:color w:val="2E74B5"/>
                <w:sz w:val="20"/>
                <w:szCs w:val="20"/>
              </w:rPr>
              <w:t xml:space="preserve">, </w:t>
            </w: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и рекомендациями Минтранса России от 16.07.2018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№ НА-24/10193, для целей национального проекта городские агломерации сформированы в крупнейших городских округах (численность населения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более 200 тыс. человек по состоянию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на 31.12.2017, и центры субъектов Российской Федерации): город Ханты-Мансийск (центр субъекта РФ),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город Сургут (340,9 тыс. человек), </w:t>
            </w:r>
          </w:p>
          <w:p w:rsidR="00187A50" w:rsidRPr="00187A50" w:rsidRDefault="00187A50" w:rsidP="00187A50">
            <w:pPr>
              <w:keepNext/>
              <w:keepLines/>
              <w:jc w:val="left"/>
              <w:outlineLvl w:val="0"/>
              <w:rPr>
                <w:rFonts w:eastAsia="Times New Roman" w:cs="Times New Roman"/>
                <w:color w:val="2E74B5"/>
                <w:sz w:val="20"/>
                <w:szCs w:val="20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город Нижневартовск (268,5, тыс. человек)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7A50" w:rsidRPr="00187A50" w:rsidRDefault="00187A50" w:rsidP="00187A50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187A50">
              <w:rPr>
                <w:rFonts w:eastAsiaTheme="minorEastAsia" w:cs="Times New Roman"/>
                <w:sz w:val="20"/>
                <w:szCs w:val="20"/>
                <w:lang w:eastAsia="ru-RU"/>
              </w:rPr>
              <w:t>региональный уровень</w:t>
            </w:r>
          </w:p>
          <w:p w:rsidR="00187A50" w:rsidRPr="00187A50" w:rsidRDefault="00187A50" w:rsidP="00187A50">
            <w:pPr>
              <w:widowControl w:val="0"/>
              <w:suppressAutoHyphens/>
              <w:autoSpaceDN w:val="0"/>
              <w:jc w:val="left"/>
              <w:rPr>
                <w:rFonts w:eastAsia="SimSun" w:cs="Times New Roman"/>
                <w:kern w:val="3"/>
                <w:szCs w:val="28"/>
                <w:lang w:eastAsia="ru-RU"/>
              </w:rPr>
            </w:pPr>
          </w:p>
          <w:p w:rsidR="00187A50" w:rsidRPr="00187A50" w:rsidRDefault="00187A50" w:rsidP="00187A50">
            <w:pPr>
              <w:keepNext/>
              <w:keepLines/>
              <w:ind w:firstLine="709"/>
              <w:outlineLvl w:val="0"/>
              <w:rPr>
                <w:rFonts w:ascii="Calibri Light" w:eastAsia="Times New Roman" w:hAnsi="Calibri Light" w:cs="Times New Roman"/>
                <w:color w:val="2E74B5"/>
                <w:sz w:val="32"/>
                <w:szCs w:val="32"/>
                <w:lang w:eastAsia="ru-RU"/>
              </w:rPr>
            </w:pPr>
          </w:p>
        </w:tc>
      </w:tr>
    </w:tbl>
    <w:p w:rsidR="00AA7956" w:rsidRPr="00187A50" w:rsidRDefault="00AA7956" w:rsidP="00187A50"/>
    <w:sectPr w:rsidR="00AA7956" w:rsidRPr="00187A50" w:rsidSect="00187A50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519" w:rsidRDefault="00A24519">
      <w:r>
        <w:separator/>
      </w:r>
    </w:p>
  </w:endnote>
  <w:endnote w:type="continuationSeparator" w:id="0">
    <w:p w:rsidR="00A24519" w:rsidRDefault="00A2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288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288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28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519" w:rsidRDefault="00A24519">
      <w:r>
        <w:separator/>
      </w:r>
    </w:p>
  </w:footnote>
  <w:footnote w:type="continuationSeparator" w:id="0">
    <w:p w:rsidR="00A24519" w:rsidRDefault="00A2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02898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A50" w:rsidRPr="00187A50" w:rsidRDefault="00187A50">
        <w:pPr>
          <w:pStyle w:val="a3"/>
          <w:jc w:val="center"/>
          <w:rPr>
            <w:sz w:val="20"/>
            <w:szCs w:val="20"/>
          </w:rPr>
        </w:pPr>
        <w:r w:rsidRPr="00187A50">
          <w:rPr>
            <w:sz w:val="20"/>
            <w:szCs w:val="20"/>
          </w:rPr>
          <w:fldChar w:fldCharType="begin"/>
        </w:r>
        <w:r w:rsidRPr="00187A50">
          <w:rPr>
            <w:sz w:val="20"/>
            <w:szCs w:val="20"/>
          </w:rPr>
          <w:instrText>PAGE   \* MERGEFORMAT</w:instrText>
        </w:r>
        <w:r w:rsidRPr="00187A50">
          <w:rPr>
            <w:sz w:val="20"/>
            <w:szCs w:val="20"/>
          </w:rPr>
          <w:fldChar w:fldCharType="separate"/>
        </w:r>
        <w:r w:rsidR="00AE2883">
          <w:rPr>
            <w:noProof/>
            <w:sz w:val="20"/>
            <w:szCs w:val="20"/>
          </w:rPr>
          <w:t>1</w:t>
        </w:r>
        <w:r w:rsidRPr="00187A50">
          <w:rPr>
            <w:sz w:val="20"/>
            <w:szCs w:val="20"/>
          </w:rPr>
          <w:fldChar w:fldCharType="end"/>
        </w:r>
      </w:p>
    </w:sdtContent>
  </w:sdt>
  <w:p w:rsidR="00187A50" w:rsidRDefault="00187A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AE288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2E10FC">
          <w:rPr>
            <w:rStyle w:val="a7"/>
            <w:noProof/>
            <w:sz w:val="20"/>
          </w:rPr>
          <w:instrText>19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10FC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E10FC">
          <w:rPr>
            <w:noProof/>
            <w:sz w:val="20"/>
            <w:lang w:val="en-US"/>
          </w:rPr>
          <w:instrText>19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E10FC">
          <w:rPr>
            <w:noProof/>
            <w:sz w:val="20"/>
            <w:lang w:val="en-US"/>
          </w:rPr>
          <w:instrText>19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2E10FC">
          <w:rPr>
            <w:noProof/>
            <w:sz w:val="20"/>
            <w:lang w:val="en-US"/>
          </w:rPr>
          <w:t>19</w:t>
        </w:r>
        <w:r w:rsidRPr="004A12EB">
          <w:rPr>
            <w:sz w:val="20"/>
          </w:rPr>
          <w:fldChar w:fldCharType="end"/>
        </w:r>
      </w:p>
    </w:sdtContent>
  </w:sdt>
  <w:p w:rsidR="006E704F" w:rsidRDefault="00AE2883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97820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87A50" w:rsidRPr="00187A50" w:rsidRDefault="00187A50">
        <w:pPr>
          <w:pStyle w:val="a3"/>
          <w:jc w:val="center"/>
          <w:rPr>
            <w:sz w:val="20"/>
            <w:szCs w:val="20"/>
          </w:rPr>
        </w:pPr>
        <w:r w:rsidRPr="00187A50">
          <w:rPr>
            <w:sz w:val="20"/>
            <w:szCs w:val="20"/>
          </w:rPr>
          <w:fldChar w:fldCharType="begin"/>
        </w:r>
        <w:r w:rsidRPr="00187A50">
          <w:rPr>
            <w:sz w:val="20"/>
            <w:szCs w:val="20"/>
          </w:rPr>
          <w:instrText>PAGE   \* MERGEFORMAT</w:instrText>
        </w:r>
        <w:r w:rsidRPr="00187A50">
          <w:rPr>
            <w:sz w:val="20"/>
            <w:szCs w:val="20"/>
          </w:rPr>
          <w:fldChar w:fldCharType="separate"/>
        </w:r>
        <w:r w:rsidR="002E10FC">
          <w:rPr>
            <w:noProof/>
            <w:sz w:val="20"/>
            <w:szCs w:val="20"/>
          </w:rPr>
          <w:t>3</w:t>
        </w:r>
        <w:r w:rsidRPr="00187A50">
          <w:rPr>
            <w:sz w:val="20"/>
            <w:szCs w:val="20"/>
          </w:rPr>
          <w:fldChar w:fldCharType="end"/>
        </w:r>
      </w:p>
    </w:sdtContent>
  </w:sdt>
  <w:p w:rsidR="00DF6BBC" w:rsidRDefault="00AE28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F6A"/>
    <w:multiLevelType w:val="multilevel"/>
    <w:tmpl w:val="4CEC643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0"/>
      <w:numFmt w:val="decimal"/>
      <w:isLgl/>
      <w:lvlText w:val="%1.%2."/>
      <w:lvlJc w:val="left"/>
      <w:pPr>
        <w:ind w:left="114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 w15:restartNumberingAfterBreak="0">
    <w:nsid w:val="56AB2EF0"/>
    <w:multiLevelType w:val="multilevel"/>
    <w:tmpl w:val="B3A65E64"/>
    <w:lvl w:ilvl="0">
      <w:start w:val="1"/>
      <w:numFmt w:val="decimal"/>
      <w:lvlText w:val="%1."/>
      <w:lvlJc w:val="left"/>
      <w:pPr>
        <w:ind w:left="585" w:hanging="585"/>
      </w:pPr>
      <w:rPr>
        <w:color w:val="22272F"/>
      </w:rPr>
    </w:lvl>
    <w:lvl w:ilvl="1">
      <w:start w:val="11"/>
      <w:numFmt w:val="decimal"/>
      <w:lvlText w:val="%1.%2."/>
      <w:lvlJc w:val="left"/>
      <w:pPr>
        <w:ind w:left="1288" w:hanging="720"/>
      </w:pPr>
      <w:rPr>
        <w:color w:val="22272F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color w:val="22272F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color w:val="22272F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color w:val="22272F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color w:val="22272F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color w:val="22272F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color w:val="22272F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color w:val="22272F"/>
      </w:rPr>
    </w:lvl>
  </w:abstractNum>
  <w:abstractNum w:abstractNumId="2" w15:restartNumberingAfterBreak="0">
    <w:nsid w:val="6DC15EFC"/>
    <w:multiLevelType w:val="multilevel"/>
    <w:tmpl w:val="367806F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A50"/>
    <w:rsid w:val="00187A50"/>
    <w:rsid w:val="001C51BE"/>
    <w:rsid w:val="002E10FC"/>
    <w:rsid w:val="00337298"/>
    <w:rsid w:val="004645D6"/>
    <w:rsid w:val="006B46FC"/>
    <w:rsid w:val="006C0E9A"/>
    <w:rsid w:val="00A24519"/>
    <w:rsid w:val="00AA7956"/>
    <w:rsid w:val="00AE2883"/>
    <w:rsid w:val="00AE32D7"/>
    <w:rsid w:val="00C420B6"/>
    <w:rsid w:val="00C5646A"/>
    <w:rsid w:val="00C727CD"/>
    <w:rsid w:val="00C8636C"/>
    <w:rsid w:val="00D11F14"/>
    <w:rsid w:val="00D418AD"/>
    <w:rsid w:val="00DC222A"/>
    <w:rsid w:val="00E5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5A9C9F-FF1F-47A1-95F9-8C6C3CD6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87A50"/>
    <w:pPr>
      <w:keepNext/>
      <w:keepLines/>
      <w:spacing w:before="480" w:line="480" w:lineRule="auto"/>
      <w:ind w:firstLine="709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187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87A50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187A50"/>
  </w:style>
  <w:style w:type="paragraph" w:customStyle="1" w:styleId="Standard">
    <w:name w:val="Standard"/>
    <w:rsid w:val="00187A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s1">
    <w:name w:val="s_1"/>
    <w:basedOn w:val="a"/>
    <w:rsid w:val="00187A5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87A50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187A50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a">
    <w:name w:val="Balloon Text"/>
    <w:basedOn w:val="a"/>
    <w:link w:val="ab"/>
    <w:semiHidden/>
    <w:unhideWhenUsed/>
    <w:rsid w:val="00187A50"/>
    <w:pPr>
      <w:widowControl w:val="0"/>
      <w:suppressAutoHyphens/>
      <w:autoSpaceDN w:val="0"/>
      <w:jc w:val="left"/>
    </w:pPr>
    <w:rPr>
      <w:rFonts w:ascii="Segoe UI" w:eastAsia="SimSun" w:hAnsi="Segoe UI" w:cs="Segoe UI"/>
      <w:kern w:val="3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187A50"/>
    <w:rPr>
      <w:rFonts w:ascii="Segoe UI" w:eastAsia="SimSun" w:hAnsi="Segoe UI" w:cs="Segoe UI"/>
      <w:kern w:val="3"/>
      <w:sz w:val="18"/>
      <w:szCs w:val="18"/>
    </w:rPr>
  </w:style>
  <w:style w:type="character" w:styleId="ac">
    <w:name w:val="Hyperlink"/>
    <w:basedOn w:val="a0"/>
    <w:uiPriority w:val="99"/>
    <w:unhideWhenUsed/>
    <w:rsid w:val="00187A50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uiPriority w:val="99"/>
    <w:rsid w:val="00187A50"/>
    <w:rPr>
      <w:rFonts w:cs="Times New Roman"/>
      <w:b w:val="0"/>
      <w:color w:val="106BBE"/>
    </w:rPr>
  </w:style>
  <w:style w:type="paragraph" w:customStyle="1" w:styleId="Default">
    <w:name w:val="Default"/>
    <w:rsid w:val="00187A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2"/>
    <w:basedOn w:val="a"/>
    <w:link w:val="20"/>
    <w:rsid w:val="00187A50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7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187A50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No Spacing"/>
    <w:aliases w:val="Кр. строка"/>
    <w:link w:val="af0"/>
    <w:uiPriority w:val="1"/>
    <w:qFormat/>
    <w:rsid w:val="00187A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Без интервала Знак"/>
    <w:aliases w:val="Кр. строка Знак"/>
    <w:link w:val="af"/>
    <w:uiPriority w:val="1"/>
    <w:locked/>
    <w:rsid w:val="00187A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187A50"/>
    <w:pPr>
      <w:widowControl w:val="0"/>
      <w:suppressAutoHyphens/>
      <w:autoSpaceDN w:val="0"/>
      <w:spacing w:after="160" w:line="256" w:lineRule="auto"/>
      <w:ind w:left="720"/>
      <w:contextualSpacing/>
      <w:jc w:val="left"/>
    </w:pPr>
    <w:rPr>
      <w:rFonts w:eastAsia="SimSun" w:cs="Times New Roman"/>
      <w:kern w:val="3"/>
      <w:szCs w:val="28"/>
    </w:rPr>
  </w:style>
  <w:style w:type="character" w:customStyle="1" w:styleId="af2">
    <w:name w:val="Цветовое выделение"/>
    <w:uiPriority w:val="99"/>
    <w:rsid w:val="00187A5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5146422.1000" TargetMode="External"/><Relationship Id="rId18" Type="http://schemas.openxmlformats.org/officeDocument/2006/relationships/hyperlink" Target="garantF1://29032893.1000" TargetMode="External"/><Relationship Id="rId26" Type="http://schemas.openxmlformats.org/officeDocument/2006/relationships/hyperlink" Target="garantF1://29032474.1000" TargetMode="External"/><Relationship Id="rId39" Type="http://schemas.openxmlformats.org/officeDocument/2006/relationships/hyperlink" Target="garantF1://402890308.1000" TargetMode="External"/><Relationship Id="rId21" Type="http://schemas.openxmlformats.org/officeDocument/2006/relationships/hyperlink" Target="garantF1://45146422.1000" TargetMode="External"/><Relationship Id="rId34" Type="http://schemas.openxmlformats.org/officeDocument/2006/relationships/hyperlink" Target="garantF1://45146422.1000" TargetMode="External"/><Relationship Id="rId42" Type="http://schemas.openxmlformats.org/officeDocument/2006/relationships/hyperlink" Target="garantF1://29032893.1000" TargetMode="External"/><Relationship Id="rId47" Type="http://schemas.openxmlformats.org/officeDocument/2006/relationships/hyperlink" Target="garantF1://29032727.1000" TargetMode="External"/><Relationship Id="rId50" Type="http://schemas.openxmlformats.org/officeDocument/2006/relationships/hyperlink" Target="garantF1://402890296.1000" TargetMode="External"/><Relationship Id="rId55" Type="http://schemas.openxmlformats.org/officeDocument/2006/relationships/hyperlink" Target="garantF1://402890320.1000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garantF1://29032727.1000" TargetMode="External"/><Relationship Id="rId29" Type="http://schemas.openxmlformats.org/officeDocument/2006/relationships/hyperlink" Target="garantF1://29032989.1000" TargetMode="External"/><Relationship Id="rId11" Type="http://schemas.openxmlformats.org/officeDocument/2006/relationships/hyperlink" Target="garantF1://29032429.1000" TargetMode="External"/><Relationship Id="rId24" Type="http://schemas.openxmlformats.org/officeDocument/2006/relationships/hyperlink" Target="garantF1://29032474.1000" TargetMode="External"/><Relationship Id="rId32" Type="http://schemas.openxmlformats.org/officeDocument/2006/relationships/hyperlink" Target="garantF1://45146422.1000" TargetMode="External"/><Relationship Id="rId37" Type="http://schemas.openxmlformats.org/officeDocument/2006/relationships/hyperlink" Target="garantF1://29032893.1000" TargetMode="External"/><Relationship Id="rId40" Type="http://schemas.openxmlformats.org/officeDocument/2006/relationships/hyperlink" Target="garantF1://29032893.1000" TargetMode="External"/><Relationship Id="rId45" Type="http://schemas.openxmlformats.org/officeDocument/2006/relationships/hyperlink" Target="garantF1://29032893.1000" TargetMode="External"/><Relationship Id="rId53" Type="http://schemas.openxmlformats.org/officeDocument/2006/relationships/hyperlink" Target="garantF1://29032427.1000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footer" Target="footer3.xml"/><Relationship Id="rId19" Type="http://schemas.openxmlformats.org/officeDocument/2006/relationships/hyperlink" Target="garantF1://29032474.1000" TargetMode="External"/><Relationship Id="rId14" Type="http://schemas.openxmlformats.org/officeDocument/2006/relationships/hyperlink" Target="garantF1://29032429.1000" TargetMode="External"/><Relationship Id="rId22" Type="http://schemas.openxmlformats.org/officeDocument/2006/relationships/hyperlink" Target="garantF1://29032893.1000" TargetMode="External"/><Relationship Id="rId27" Type="http://schemas.openxmlformats.org/officeDocument/2006/relationships/hyperlink" Target="garantF1://29032474.1000" TargetMode="External"/><Relationship Id="rId30" Type="http://schemas.openxmlformats.org/officeDocument/2006/relationships/hyperlink" Target="garantF1://45146422.1000" TargetMode="External"/><Relationship Id="rId35" Type="http://schemas.openxmlformats.org/officeDocument/2006/relationships/hyperlink" Target="garantF1://29032183.1000" TargetMode="External"/><Relationship Id="rId43" Type="http://schemas.openxmlformats.org/officeDocument/2006/relationships/hyperlink" Target="garantF1://29032893.1000" TargetMode="External"/><Relationship Id="rId48" Type="http://schemas.openxmlformats.org/officeDocument/2006/relationships/hyperlink" Target="garantF1://29032429.1000" TargetMode="External"/><Relationship Id="rId56" Type="http://schemas.openxmlformats.org/officeDocument/2006/relationships/header" Target="header2.xml"/><Relationship Id="rId8" Type="http://schemas.openxmlformats.org/officeDocument/2006/relationships/oleObject" Target="embeddings/oleObject1.bin"/><Relationship Id="rId51" Type="http://schemas.openxmlformats.org/officeDocument/2006/relationships/hyperlink" Target="garantF1://29032427.1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0218144.0" TargetMode="External"/><Relationship Id="rId17" Type="http://schemas.openxmlformats.org/officeDocument/2006/relationships/hyperlink" Target="garantF1://29032727.1000" TargetMode="External"/><Relationship Id="rId25" Type="http://schemas.openxmlformats.org/officeDocument/2006/relationships/hyperlink" Target="garantF1://29032727.1000" TargetMode="External"/><Relationship Id="rId33" Type="http://schemas.openxmlformats.org/officeDocument/2006/relationships/hyperlink" Target="garantF1://45146422.1000" TargetMode="External"/><Relationship Id="rId38" Type="http://schemas.openxmlformats.org/officeDocument/2006/relationships/hyperlink" Target="garantF1://403261581.0" TargetMode="External"/><Relationship Id="rId46" Type="http://schemas.openxmlformats.org/officeDocument/2006/relationships/hyperlink" Target="garantF1://29032727.1000" TargetMode="External"/><Relationship Id="rId59" Type="http://schemas.openxmlformats.org/officeDocument/2006/relationships/footer" Target="footer2.xml"/><Relationship Id="rId20" Type="http://schemas.openxmlformats.org/officeDocument/2006/relationships/hyperlink" Target="garantF1://29032727.1000" TargetMode="External"/><Relationship Id="rId41" Type="http://schemas.openxmlformats.org/officeDocument/2006/relationships/hyperlink" Target="garantF1://402890308.1000" TargetMode="External"/><Relationship Id="rId54" Type="http://schemas.openxmlformats.org/officeDocument/2006/relationships/hyperlink" Target="garantF1://402890308.1000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garantF1://29032474.1000" TargetMode="External"/><Relationship Id="rId23" Type="http://schemas.openxmlformats.org/officeDocument/2006/relationships/hyperlink" Target="garantF1://45146422.1000" TargetMode="External"/><Relationship Id="rId28" Type="http://schemas.openxmlformats.org/officeDocument/2006/relationships/hyperlink" Target="garantF1://29032474.1000" TargetMode="External"/><Relationship Id="rId36" Type="http://schemas.openxmlformats.org/officeDocument/2006/relationships/hyperlink" Target="garantF1://29032474.1000" TargetMode="External"/><Relationship Id="rId49" Type="http://schemas.openxmlformats.org/officeDocument/2006/relationships/hyperlink" Target="garantF1://73370679.1000" TargetMode="External"/><Relationship Id="rId57" Type="http://schemas.openxmlformats.org/officeDocument/2006/relationships/header" Target="header3.xml"/><Relationship Id="rId10" Type="http://schemas.openxmlformats.org/officeDocument/2006/relationships/header" Target="header1.xml"/><Relationship Id="rId31" Type="http://schemas.openxmlformats.org/officeDocument/2006/relationships/hyperlink" Target="garantF1://45146422.1000" TargetMode="External"/><Relationship Id="rId44" Type="http://schemas.openxmlformats.org/officeDocument/2006/relationships/hyperlink" Target="garantF1://402890308.1000" TargetMode="External"/><Relationship Id="rId52" Type="http://schemas.openxmlformats.org/officeDocument/2006/relationships/hyperlink" Target="garantF1://402890308.1000" TargetMode="External"/><Relationship Id="rId6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garantF1://40039724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5582</Words>
  <Characters>31819</Characters>
  <Application>Microsoft Office Word</Application>
  <DocSecurity>0</DocSecurity>
  <Lines>265</Lines>
  <Paragraphs>74</Paragraphs>
  <ScaleCrop>false</ScaleCrop>
  <Company/>
  <LinksUpToDate>false</LinksUpToDate>
  <CharactersWithSpaces>37327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2025-11-18T11:09:00Z</cp:lastPrinted>
  <dcterms:created xsi:type="dcterms:W3CDTF">2025-11-24T10:04:00Z</dcterms:created>
  <dcterms:modified xsi:type="dcterms:W3CDTF">2025-11-24T10:04:00Z</dcterms:modified>
</cp:coreProperties>
</file>