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7C" w:rsidRDefault="0029227C" w:rsidP="00656C1A">
      <w:pPr>
        <w:spacing w:line="120" w:lineRule="atLeast"/>
        <w:jc w:val="center"/>
        <w:rPr>
          <w:sz w:val="24"/>
          <w:szCs w:val="24"/>
        </w:rPr>
      </w:pPr>
    </w:p>
    <w:p w:rsidR="0029227C" w:rsidRDefault="0029227C" w:rsidP="00656C1A">
      <w:pPr>
        <w:spacing w:line="120" w:lineRule="atLeast"/>
        <w:jc w:val="center"/>
        <w:rPr>
          <w:sz w:val="24"/>
          <w:szCs w:val="24"/>
        </w:rPr>
      </w:pPr>
    </w:p>
    <w:p w:rsidR="0029227C" w:rsidRPr="00852378" w:rsidRDefault="0029227C" w:rsidP="00656C1A">
      <w:pPr>
        <w:spacing w:line="120" w:lineRule="atLeast"/>
        <w:jc w:val="center"/>
        <w:rPr>
          <w:sz w:val="10"/>
          <w:szCs w:val="10"/>
        </w:rPr>
      </w:pPr>
    </w:p>
    <w:p w:rsidR="0029227C" w:rsidRDefault="0029227C" w:rsidP="00656C1A">
      <w:pPr>
        <w:spacing w:line="120" w:lineRule="atLeast"/>
        <w:jc w:val="center"/>
        <w:rPr>
          <w:sz w:val="10"/>
          <w:szCs w:val="24"/>
        </w:rPr>
      </w:pPr>
    </w:p>
    <w:p w:rsidR="0029227C" w:rsidRPr="005541F0" w:rsidRDefault="0029227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9227C" w:rsidRDefault="0029227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9227C" w:rsidRPr="005541F0" w:rsidRDefault="0029227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9227C" w:rsidRPr="005649E4" w:rsidRDefault="0029227C" w:rsidP="00656C1A">
      <w:pPr>
        <w:spacing w:line="120" w:lineRule="atLeast"/>
        <w:jc w:val="center"/>
        <w:rPr>
          <w:sz w:val="18"/>
          <w:szCs w:val="24"/>
        </w:rPr>
      </w:pPr>
    </w:p>
    <w:p w:rsidR="0029227C" w:rsidRPr="00656C1A" w:rsidRDefault="0029227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9227C" w:rsidRPr="005541F0" w:rsidRDefault="0029227C" w:rsidP="00656C1A">
      <w:pPr>
        <w:spacing w:line="120" w:lineRule="atLeast"/>
        <w:jc w:val="center"/>
        <w:rPr>
          <w:sz w:val="18"/>
          <w:szCs w:val="24"/>
        </w:rPr>
      </w:pPr>
    </w:p>
    <w:p w:rsidR="0029227C" w:rsidRPr="005541F0" w:rsidRDefault="0029227C" w:rsidP="00656C1A">
      <w:pPr>
        <w:spacing w:line="120" w:lineRule="atLeast"/>
        <w:jc w:val="center"/>
        <w:rPr>
          <w:sz w:val="20"/>
          <w:szCs w:val="24"/>
        </w:rPr>
      </w:pPr>
    </w:p>
    <w:p w:rsidR="0029227C" w:rsidRPr="00656C1A" w:rsidRDefault="0029227C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9227C" w:rsidRDefault="0029227C" w:rsidP="00656C1A">
      <w:pPr>
        <w:spacing w:line="120" w:lineRule="atLeast"/>
        <w:jc w:val="center"/>
        <w:rPr>
          <w:sz w:val="30"/>
          <w:szCs w:val="24"/>
        </w:rPr>
      </w:pPr>
    </w:p>
    <w:p w:rsidR="0029227C" w:rsidRPr="00656C1A" w:rsidRDefault="0029227C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9227C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9227C" w:rsidRPr="00F8214F" w:rsidRDefault="0029227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9227C" w:rsidRPr="00F8214F" w:rsidRDefault="005E59E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9227C" w:rsidRPr="00F8214F" w:rsidRDefault="0029227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9227C" w:rsidRPr="00F8214F" w:rsidRDefault="005E59E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29227C" w:rsidRPr="00A63FB0" w:rsidRDefault="0029227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9227C" w:rsidRPr="00A3761A" w:rsidRDefault="005E59E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9227C" w:rsidRPr="00F8214F" w:rsidRDefault="0029227C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9227C" w:rsidRPr="00F8214F" w:rsidRDefault="0029227C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9227C" w:rsidRPr="00AB4194" w:rsidRDefault="0029227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9227C" w:rsidRPr="00F8214F" w:rsidRDefault="005E59E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3775</w:t>
            </w:r>
          </w:p>
        </w:tc>
      </w:tr>
    </w:tbl>
    <w:p w:rsidR="0029227C" w:rsidRPr="0029227C" w:rsidRDefault="0029227C" w:rsidP="00C725A6">
      <w:pPr>
        <w:rPr>
          <w:rFonts w:cs="Times New Roman"/>
          <w:szCs w:val="28"/>
          <w:lang w:val="en-US"/>
        </w:rPr>
      </w:pP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 xml:space="preserve">О внесении изменения </w:t>
      </w: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 xml:space="preserve">в распоряжение Администрации </w:t>
      </w: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 xml:space="preserve">города от 23.01.2025 № 371 </w:t>
      </w: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 xml:space="preserve">«Об утверждении перечня </w:t>
      </w:r>
    </w:p>
    <w:p w:rsidR="0029227C" w:rsidRPr="0029227C" w:rsidRDefault="0029227C" w:rsidP="0029227C">
      <w:pPr>
        <w:rPr>
          <w:bCs/>
          <w:szCs w:val="28"/>
          <w:lang w:eastAsia="ru-RU"/>
        </w:rPr>
      </w:pPr>
      <w:r w:rsidRPr="0029227C">
        <w:rPr>
          <w:bCs/>
          <w:szCs w:val="28"/>
          <w:lang w:eastAsia="ru-RU"/>
        </w:rPr>
        <w:t xml:space="preserve">получателей субсидии и объема </w:t>
      </w:r>
    </w:p>
    <w:p w:rsidR="0029227C" w:rsidRPr="0029227C" w:rsidRDefault="0029227C" w:rsidP="0029227C">
      <w:pPr>
        <w:rPr>
          <w:bCs/>
          <w:szCs w:val="28"/>
          <w:lang w:eastAsia="ru-RU"/>
        </w:rPr>
      </w:pPr>
      <w:r w:rsidRPr="0029227C">
        <w:rPr>
          <w:bCs/>
          <w:szCs w:val="28"/>
          <w:lang w:eastAsia="ru-RU"/>
        </w:rPr>
        <w:t xml:space="preserve">предоставляемой субсидии </w:t>
      </w:r>
    </w:p>
    <w:p w:rsidR="0029227C" w:rsidRPr="0029227C" w:rsidRDefault="0029227C" w:rsidP="0029227C">
      <w:pPr>
        <w:rPr>
          <w:bCs/>
          <w:szCs w:val="28"/>
          <w:lang w:eastAsia="ru-RU"/>
        </w:rPr>
      </w:pPr>
      <w:r w:rsidRPr="0029227C">
        <w:rPr>
          <w:bCs/>
          <w:szCs w:val="28"/>
          <w:lang w:eastAsia="ru-RU"/>
        </w:rPr>
        <w:t>на возмещение недополученных</w:t>
      </w: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 xml:space="preserve">доходов, возникающих в связи </w:t>
      </w: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 xml:space="preserve">со снижением платы граждан </w:t>
      </w: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 xml:space="preserve">за коммунальные услуги в целях </w:t>
      </w: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 xml:space="preserve">соблюдения предельных </w:t>
      </w: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 xml:space="preserve">(максимальных) индексов </w:t>
      </w: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 xml:space="preserve">изменения размера носимой </w:t>
      </w: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 xml:space="preserve">гражданами платы за коммунальные </w:t>
      </w: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 xml:space="preserve">услуги, с предоставлением мер </w:t>
      </w: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 xml:space="preserve">социальной поддержки отдельным </w:t>
      </w: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 xml:space="preserve">категориям граждан по оплате </w:t>
      </w: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 xml:space="preserve">коммунальных услуг, </w:t>
      </w:r>
    </w:p>
    <w:p w:rsidR="0029227C" w:rsidRPr="0029227C" w:rsidRDefault="0029227C" w:rsidP="0029227C">
      <w:pPr>
        <w:rPr>
          <w:szCs w:val="28"/>
          <w:lang w:eastAsia="ru-RU"/>
        </w:rPr>
      </w:pPr>
      <w:r w:rsidRPr="0029227C">
        <w:rPr>
          <w:szCs w:val="28"/>
          <w:lang w:eastAsia="ru-RU"/>
        </w:rPr>
        <w:t>в 2025 – 2026 годах»</w:t>
      </w:r>
    </w:p>
    <w:p w:rsidR="0029227C" w:rsidRPr="0029227C" w:rsidRDefault="0029227C" w:rsidP="0029227C">
      <w:pPr>
        <w:rPr>
          <w:szCs w:val="28"/>
          <w:lang w:eastAsia="ru-RU"/>
        </w:rPr>
      </w:pPr>
    </w:p>
    <w:p w:rsidR="0029227C" w:rsidRPr="0029227C" w:rsidRDefault="0029227C" w:rsidP="0029227C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</w:p>
    <w:p w:rsidR="0029227C" w:rsidRPr="0029227C" w:rsidRDefault="0029227C" w:rsidP="002922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9227C">
        <w:rPr>
          <w:szCs w:val="28"/>
        </w:rPr>
        <w:t xml:space="preserve">В соответствии с </w:t>
      </w:r>
      <w:r w:rsidRPr="0029227C"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от 30.12.2005 </w:t>
      </w:r>
      <w:r w:rsidRPr="0029227C">
        <w:rPr>
          <w:rFonts w:eastAsia="Times New Roman" w:cs="Times New Roman"/>
          <w:szCs w:val="28"/>
          <w:lang w:eastAsia="ru-RU"/>
        </w:rPr>
        <w:br/>
        <w:t>№ 3686 «Об утверждении Регламента Администрации города», от 23.12.2024</w:t>
      </w:r>
      <w:r w:rsidRPr="0029227C">
        <w:rPr>
          <w:rFonts w:eastAsia="Times New Roman" w:cs="Times New Roman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29227C" w:rsidRPr="0029227C" w:rsidRDefault="0029227C" w:rsidP="0029227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9227C">
        <w:rPr>
          <w:rFonts w:eastAsia="Times New Roman" w:cs="Times New Roman"/>
          <w:szCs w:val="28"/>
          <w:lang w:eastAsia="ru-RU"/>
        </w:rPr>
        <w:t xml:space="preserve">1. </w:t>
      </w:r>
      <w:bookmarkStart w:id="5" w:name="sub_1"/>
      <w:r w:rsidRPr="0029227C">
        <w:rPr>
          <w:rFonts w:eastAsia="Times New Roman" w:cs="Times New Roman"/>
          <w:szCs w:val="28"/>
          <w:lang w:eastAsia="ru-RU"/>
        </w:rPr>
        <w:t xml:space="preserve">Внести в распоряжение Администрации города от 23.01.2025 № 371                  «Об утверждении перечня получателей субсидии и объема предоставляемой              </w:t>
      </w:r>
      <w:r w:rsidRPr="0029227C">
        <w:rPr>
          <w:rFonts w:eastAsia="Times New Roman" w:cs="Times New Roman"/>
          <w:spacing w:val="-6"/>
          <w:szCs w:val="28"/>
          <w:lang w:eastAsia="ru-RU"/>
        </w:rPr>
        <w:t xml:space="preserve">субсидии на </w:t>
      </w:r>
      <w:r w:rsidRPr="0029227C">
        <w:rPr>
          <w:rFonts w:eastAsia="Times New Roman" w:cs="Times New Roman"/>
          <w:bCs/>
          <w:spacing w:val="-6"/>
          <w:szCs w:val="28"/>
          <w:lang w:eastAsia="ru-RU"/>
        </w:rPr>
        <w:t>возмещение недополученных доходов, возникающих в связи со снижение</w:t>
      </w:r>
      <w:r w:rsidRPr="0029227C">
        <w:rPr>
          <w:rFonts w:eastAsia="Times New Roman" w:cs="Times New Roman"/>
          <w:bCs/>
          <w:szCs w:val="28"/>
          <w:lang w:eastAsia="ru-RU"/>
        </w:rPr>
        <w:t xml:space="preserve">м платы граждан за коммунальные услуги в целях соблюдения предельных (максимальных) индексов изменения размера вносимой гражданами платы                        </w:t>
      </w:r>
      <w:r w:rsidRPr="0029227C">
        <w:rPr>
          <w:rFonts w:eastAsia="Times New Roman" w:cs="Times New Roman"/>
          <w:bCs/>
          <w:spacing w:val="-6"/>
          <w:szCs w:val="28"/>
          <w:lang w:eastAsia="ru-RU"/>
        </w:rPr>
        <w:t>за коммунальные услуги, с предоставлением мер социальной поддержки отдельным</w:t>
      </w:r>
      <w:r w:rsidRPr="0029227C">
        <w:rPr>
          <w:rFonts w:eastAsia="Times New Roman" w:cs="Times New Roman"/>
          <w:bCs/>
          <w:szCs w:val="28"/>
          <w:lang w:eastAsia="ru-RU"/>
        </w:rPr>
        <w:t xml:space="preserve"> категориям граждан по оплате коммунальных услуг, в 2025 – 2026 годах»                                  </w:t>
      </w:r>
      <w:r w:rsidRPr="0029227C">
        <w:rPr>
          <w:rFonts w:eastAsia="Times New Roman" w:cs="Times New Roman"/>
          <w:bCs/>
          <w:szCs w:val="28"/>
          <w:lang w:eastAsia="ru-RU"/>
        </w:rPr>
        <w:lastRenderedPageBreak/>
        <w:t>(с изменениями от 25.04.2025 № 2632) изменение,</w:t>
      </w:r>
      <w:bookmarkEnd w:id="5"/>
      <w:r w:rsidRPr="0029227C">
        <w:rPr>
          <w:rFonts w:eastAsia="Times New Roman" w:cs="Times New Roman"/>
          <w:bCs/>
          <w:szCs w:val="28"/>
          <w:lang w:eastAsia="ru-RU"/>
        </w:rPr>
        <w:t xml:space="preserve"> изложив приложение к распоряжению в новой редакции согласно приложению к настоящему распоряжению.</w:t>
      </w:r>
    </w:p>
    <w:p w:rsidR="0029227C" w:rsidRPr="0029227C" w:rsidRDefault="0029227C" w:rsidP="0029227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r w:rsidRPr="0029227C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                        настоящее распоряжение на официальном портале Администрации города: </w:t>
      </w:r>
      <w:r w:rsidRPr="0029227C">
        <w:rPr>
          <w:rFonts w:eastAsia="Times New Roman" w:cs="Times New Roman"/>
          <w:szCs w:val="28"/>
          <w:lang w:val="en-US" w:eastAsia="ru-RU"/>
        </w:rPr>
        <w:t>www</w:t>
      </w:r>
      <w:r w:rsidRPr="0029227C">
        <w:rPr>
          <w:rFonts w:eastAsia="Times New Roman" w:cs="Times New Roman"/>
          <w:szCs w:val="28"/>
          <w:lang w:eastAsia="ru-RU"/>
        </w:rPr>
        <w:t>.</w:t>
      </w:r>
      <w:proofErr w:type="spellStart"/>
      <w:r w:rsidRPr="0029227C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29227C">
        <w:rPr>
          <w:rFonts w:eastAsia="Times New Roman" w:cs="Times New Roman"/>
          <w:szCs w:val="28"/>
          <w:lang w:eastAsia="ru-RU"/>
        </w:rPr>
        <w:t>.</w:t>
      </w:r>
      <w:proofErr w:type="spellStart"/>
      <w:r w:rsidRPr="0029227C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29227C">
        <w:rPr>
          <w:rFonts w:eastAsia="Times New Roman" w:cs="Times New Roman"/>
          <w:szCs w:val="28"/>
          <w:lang w:eastAsia="ru-RU"/>
        </w:rPr>
        <w:t xml:space="preserve">. </w:t>
      </w:r>
    </w:p>
    <w:p w:rsidR="0029227C" w:rsidRPr="0029227C" w:rsidRDefault="0029227C" w:rsidP="0029227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9227C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                           документы города Сургута»: </w:t>
      </w:r>
      <w:r w:rsidRPr="0029227C">
        <w:rPr>
          <w:rFonts w:eastAsia="Times New Roman" w:cs="Times New Roman"/>
          <w:szCs w:val="28"/>
          <w:lang w:val="en-US" w:eastAsia="ru-RU"/>
        </w:rPr>
        <w:t>DOCSURGUT</w:t>
      </w:r>
      <w:r w:rsidRPr="0029227C">
        <w:rPr>
          <w:rFonts w:eastAsia="Times New Roman" w:cs="Times New Roman"/>
          <w:szCs w:val="28"/>
          <w:lang w:eastAsia="ru-RU"/>
        </w:rPr>
        <w:t>.</w:t>
      </w:r>
      <w:r w:rsidRPr="0029227C">
        <w:rPr>
          <w:rFonts w:eastAsia="Times New Roman" w:cs="Times New Roman"/>
          <w:szCs w:val="28"/>
          <w:lang w:val="en-US" w:eastAsia="ru-RU"/>
        </w:rPr>
        <w:t>RU</w:t>
      </w:r>
      <w:r w:rsidRPr="0029227C">
        <w:rPr>
          <w:rFonts w:eastAsia="Times New Roman" w:cs="Times New Roman"/>
          <w:szCs w:val="28"/>
          <w:lang w:eastAsia="ru-RU"/>
        </w:rPr>
        <w:t xml:space="preserve">. </w:t>
      </w:r>
    </w:p>
    <w:p w:rsidR="0029227C" w:rsidRPr="0029227C" w:rsidRDefault="0029227C" w:rsidP="0029227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9227C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29227C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29227C" w:rsidRPr="0029227C" w:rsidRDefault="0029227C" w:rsidP="0029227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9227C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29227C" w:rsidRPr="0029227C" w:rsidRDefault="0029227C" w:rsidP="0029227C">
      <w:pPr>
        <w:jc w:val="both"/>
        <w:rPr>
          <w:rFonts w:eastAsia="Times New Roman" w:cs="Times New Roman"/>
          <w:szCs w:val="28"/>
          <w:lang w:eastAsia="ru-RU"/>
        </w:rPr>
      </w:pPr>
    </w:p>
    <w:p w:rsidR="0029227C" w:rsidRPr="0029227C" w:rsidRDefault="0029227C" w:rsidP="0029227C">
      <w:pPr>
        <w:jc w:val="both"/>
        <w:rPr>
          <w:rFonts w:eastAsia="Times New Roman" w:cs="Times New Roman"/>
          <w:szCs w:val="28"/>
          <w:lang w:eastAsia="ru-RU"/>
        </w:rPr>
      </w:pPr>
    </w:p>
    <w:p w:rsidR="0029227C" w:rsidRPr="0029227C" w:rsidRDefault="0029227C" w:rsidP="0029227C">
      <w:pPr>
        <w:jc w:val="both"/>
        <w:rPr>
          <w:rFonts w:eastAsia="Times New Roman" w:cs="Times New Roman"/>
          <w:szCs w:val="28"/>
          <w:lang w:eastAsia="ru-RU"/>
        </w:rPr>
      </w:pPr>
    </w:p>
    <w:p w:rsidR="0029227C" w:rsidRPr="0029227C" w:rsidRDefault="0029227C" w:rsidP="0029227C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29227C"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 w:rsidRPr="0029227C">
        <w:rPr>
          <w:rFonts w:eastAsia="Times New Roman" w:cs="Times New Roman"/>
          <w:szCs w:val="28"/>
          <w:lang w:eastAsia="ru-RU"/>
        </w:rPr>
        <w:tab/>
      </w:r>
      <w:r w:rsidRPr="0029227C">
        <w:rPr>
          <w:rFonts w:eastAsia="Times New Roman" w:cs="Times New Roman"/>
          <w:szCs w:val="28"/>
          <w:lang w:eastAsia="ru-RU"/>
        </w:rPr>
        <w:tab/>
      </w:r>
      <w:r w:rsidRPr="0029227C">
        <w:rPr>
          <w:rFonts w:eastAsia="Times New Roman" w:cs="Times New Roman"/>
          <w:szCs w:val="28"/>
          <w:lang w:eastAsia="ru-RU"/>
        </w:rPr>
        <w:tab/>
      </w:r>
      <w:r w:rsidRPr="0029227C">
        <w:rPr>
          <w:rFonts w:eastAsia="Times New Roman" w:cs="Times New Roman"/>
          <w:szCs w:val="28"/>
          <w:lang w:eastAsia="ru-RU"/>
        </w:rPr>
        <w:tab/>
      </w:r>
      <w:r w:rsidRPr="0029227C">
        <w:rPr>
          <w:rFonts w:eastAsia="Times New Roman" w:cs="Times New Roman"/>
          <w:szCs w:val="28"/>
          <w:lang w:eastAsia="ru-RU"/>
        </w:rPr>
        <w:tab/>
      </w:r>
      <w:r w:rsidRPr="0029227C">
        <w:rPr>
          <w:rFonts w:eastAsia="Times New Roman" w:cs="Times New Roman"/>
          <w:szCs w:val="28"/>
          <w:lang w:eastAsia="ru-RU"/>
        </w:rPr>
        <w:tab/>
      </w:r>
      <w:r w:rsidRPr="0029227C">
        <w:rPr>
          <w:rFonts w:eastAsia="Times New Roman" w:cs="Times New Roman"/>
          <w:szCs w:val="28"/>
          <w:lang w:eastAsia="ru-RU"/>
        </w:rPr>
        <w:tab/>
        <w:t xml:space="preserve"> С.А. Агафонов</w:t>
      </w:r>
    </w:p>
    <w:p w:rsidR="0029227C" w:rsidRPr="0029227C" w:rsidRDefault="0029227C" w:rsidP="0029227C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9227C" w:rsidRPr="0029227C" w:rsidRDefault="0029227C" w:rsidP="0029227C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9227C" w:rsidRDefault="0029227C" w:rsidP="0029227C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  <w:sectPr w:rsidR="0029227C" w:rsidSect="0029227C">
          <w:headerReference w:type="default" r:id="rId8"/>
          <w:headerReference w:type="first" r:id="rId9"/>
          <w:pgSz w:w="11906" w:h="16838"/>
          <w:pgMar w:top="1134" w:right="566" w:bottom="1134" w:left="1701" w:header="454" w:footer="454" w:gutter="0"/>
          <w:cols w:space="708"/>
          <w:titlePg/>
          <w:docGrid w:linePitch="381"/>
        </w:sectPr>
      </w:pPr>
    </w:p>
    <w:p w:rsidR="0029227C" w:rsidRPr="00D26C34" w:rsidRDefault="0029227C" w:rsidP="0029227C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29227C" w:rsidRPr="00D26C34" w:rsidRDefault="0029227C" w:rsidP="0029227C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29227C" w:rsidRPr="00D26C34" w:rsidRDefault="0029227C" w:rsidP="0029227C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29227C" w:rsidRPr="00D26C34" w:rsidRDefault="0029227C" w:rsidP="0029227C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29227C" w:rsidRDefault="0029227C" w:rsidP="0029227C">
      <w:pPr>
        <w:rPr>
          <w:rFonts w:eastAsia="Times New Roman" w:cs="Times New Roman"/>
          <w:szCs w:val="24"/>
          <w:lang w:eastAsia="ru-RU"/>
        </w:rPr>
      </w:pPr>
    </w:p>
    <w:p w:rsidR="0029227C" w:rsidRDefault="0029227C" w:rsidP="0029227C">
      <w:pPr>
        <w:rPr>
          <w:rFonts w:eastAsia="Times New Roman" w:cs="Times New Roman"/>
          <w:szCs w:val="24"/>
          <w:lang w:eastAsia="ru-RU"/>
        </w:rPr>
      </w:pPr>
    </w:p>
    <w:p w:rsidR="0029227C" w:rsidRPr="00D26C34" w:rsidRDefault="0029227C" w:rsidP="0029227C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29227C" w:rsidRPr="00D26C34" w:rsidRDefault="0029227C" w:rsidP="0029227C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на возмещение недополученных доходов, возникающих </w:t>
      </w:r>
    </w:p>
    <w:p w:rsidR="0029227C" w:rsidRDefault="0029227C" w:rsidP="0029227C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bCs/>
          <w:sz w:val="27"/>
          <w:szCs w:val="27"/>
          <w:lang w:eastAsia="ru-RU"/>
        </w:rPr>
        <w:t>в связи со снижением платы граждан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за коммунальные услуги в целях соблюдения предельных (максимальных) индексов изменения размера вносимой гражданами платы за коммунальные услуги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>,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с предоставлением мер социальной поддержки отдельным категориям граждан по оплате коммунальных услуг, 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>в 202</w:t>
      </w:r>
      <w:r>
        <w:rPr>
          <w:rFonts w:eastAsia="Times New Roman" w:cs="Times New Roman"/>
          <w:bCs/>
          <w:sz w:val="27"/>
          <w:szCs w:val="27"/>
          <w:lang w:eastAsia="ru-RU"/>
        </w:rPr>
        <w:t>5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 – 202</w:t>
      </w:r>
      <w:r>
        <w:rPr>
          <w:rFonts w:eastAsia="Times New Roman" w:cs="Times New Roman"/>
          <w:bCs/>
          <w:sz w:val="27"/>
          <w:szCs w:val="27"/>
          <w:lang w:eastAsia="ru-RU"/>
        </w:rPr>
        <w:t>6</w:t>
      </w:r>
      <w:r w:rsidRPr="00D26C34">
        <w:rPr>
          <w:rFonts w:eastAsia="Times New Roman" w:cs="Times New Roman"/>
          <w:sz w:val="27"/>
          <w:szCs w:val="27"/>
          <w:lang w:eastAsia="ru-RU"/>
        </w:rPr>
        <w:t xml:space="preserve"> годах</w:t>
      </w:r>
    </w:p>
    <w:p w:rsidR="0029227C" w:rsidRPr="00255A18" w:rsidRDefault="0029227C" w:rsidP="0029227C">
      <w:pPr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54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680"/>
        <w:gridCol w:w="567"/>
        <w:gridCol w:w="567"/>
        <w:gridCol w:w="1390"/>
        <w:gridCol w:w="1559"/>
        <w:gridCol w:w="1701"/>
        <w:gridCol w:w="1248"/>
        <w:gridCol w:w="1389"/>
        <w:gridCol w:w="1702"/>
      </w:tblGrid>
      <w:tr w:rsidR="0029227C" w:rsidRPr="00255A18" w:rsidTr="0029227C">
        <w:tc>
          <w:tcPr>
            <w:tcW w:w="4679" w:type="dxa"/>
            <w:vMerge w:val="restart"/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Название</w:t>
            </w:r>
          </w:p>
        </w:tc>
        <w:tc>
          <w:tcPr>
            <w:tcW w:w="680" w:type="dxa"/>
            <w:vMerge w:val="restart"/>
            <w:shd w:val="clear" w:color="auto" w:fill="auto"/>
            <w:textDirection w:val="btLr"/>
          </w:tcPr>
          <w:p w:rsidR="0029227C" w:rsidRPr="0029227C" w:rsidRDefault="0029227C" w:rsidP="006F2A8F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29227C" w:rsidRPr="0029227C" w:rsidRDefault="0029227C" w:rsidP="006F2A8F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29227C" w:rsidRPr="0029227C" w:rsidRDefault="0029227C" w:rsidP="006F2A8F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2025 года,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2026 года,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091" w:type="dxa"/>
            <w:gridSpan w:val="2"/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29227C" w:rsidRPr="00255A18" w:rsidTr="0029227C">
        <w:tc>
          <w:tcPr>
            <w:tcW w:w="4679" w:type="dxa"/>
            <w:vMerge/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80" w:type="dxa"/>
            <w:vMerge/>
            <w:shd w:val="clear" w:color="auto" w:fill="auto"/>
            <w:textDirection w:val="btLr"/>
          </w:tcPr>
          <w:p w:rsidR="0029227C" w:rsidRPr="0029227C" w:rsidRDefault="0029227C" w:rsidP="006F2A8F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29227C" w:rsidRPr="0029227C" w:rsidRDefault="0029227C" w:rsidP="006F2A8F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29227C" w:rsidRPr="0029227C" w:rsidRDefault="0029227C" w:rsidP="006F2A8F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29227C" w:rsidRPr="0029227C" w:rsidRDefault="0029227C" w:rsidP="006F2A8F">
            <w:pPr>
              <w:ind w:left="-8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248" w:type="dxa"/>
            <w:vMerge/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2" w:type="dxa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уровней (руб.)</w:t>
            </w:r>
          </w:p>
        </w:tc>
      </w:tr>
      <w:tr w:rsidR="0029227C" w:rsidRPr="00255A18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</w:t>
            </w:r>
          </w:p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доходов, возникающих в связи со снижением платы граждан за коммунальные услуги </w:t>
            </w:r>
          </w:p>
          <w:p w:rsidR="0029227C" w:rsidRPr="0029227C" w:rsidRDefault="0029227C" w:rsidP="0029227C">
            <w:pPr>
              <w:ind w:right="-103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pacing w:val="-4"/>
                <w:sz w:val="22"/>
                <w:lang w:eastAsia="ru-RU"/>
              </w:rPr>
              <w:t>в целях соблюдения предельных (максимальных)</w:t>
            </w: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 индексов изменения размера вносимой </w:t>
            </w:r>
          </w:p>
          <w:p w:rsidR="0029227C" w:rsidRPr="0029227C" w:rsidRDefault="0029227C" w:rsidP="0029227C">
            <w:pPr>
              <w:ind w:right="-103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гражданами платы за коммунальные услуги, </w:t>
            </w:r>
          </w:p>
          <w:p w:rsidR="0029227C" w:rsidRPr="0029227C" w:rsidRDefault="0029227C" w:rsidP="006F2A8F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bCs/>
                <w:sz w:val="22"/>
                <w:lang w:eastAsia="ru-RU"/>
              </w:rPr>
              <w:t xml:space="preserve">с предоставлением мер социальной поддержки отдельным категориям граждан по оплате </w:t>
            </w:r>
          </w:p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bCs/>
                <w:sz w:val="22"/>
                <w:lang w:eastAsia="ru-RU"/>
              </w:rPr>
              <w:t>коммунальных услуг,</w:t>
            </w: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1 856 948,38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1 856 948,38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151 039,38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151 039,38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9227C" w:rsidRPr="0029227C" w:rsidRDefault="0029227C" w:rsidP="0029227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95136F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320 463,75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320 463,75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142 943,72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142 943,72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</w:t>
            </w:r>
          </w:p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доходов, возникающих в связи со снижением платы граждан за коммунальные услуги </w:t>
            </w:r>
          </w:p>
          <w:p w:rsidR="0029227C" w:rsidRDefault="0029227C" w:rsidP="0029227C">
            <w:pPr>
              <w:ind w:right="-103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pacing w:val="-4"/>
                <w:sz w:val="22"/>
                <w:lang w:eastAsia="ru-RU"/>
              </w:rPr>
              <w:t>в целях соблюдения предельных (максимальных)</w:t>
            </w: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 индексов изменения размера вносимой </w:t>
            </w:r>
          </w:p>
          <w:p w:rsidR="0029227C" w:rsidRPr="0029227C" w:rsidRDefault="0029227C" w:rsidP="0029227C">
            <w:pPr>
              <w:ind w:right="-103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гражданами платы за коммунальные услуги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1 693 051,98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1 693 051,98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133 683,55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133 683,55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29227C" w:rsidRDefault="0029227C"/>
    <w:tbl>
      <w:tblPr>
        <w:tblW w:w="154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680"/>
        <w:gridCol w:w="567"/>
        <w:gridCol w:w="567"/>
        <w:gridCol w:w="1390"/>
        <w:gridCol w:w="1559"/>
        <w:gridCol w:w="1701"/>
        <w:gridCol w:w="1248"/>
        <w:gridCol w:w="1389"/>
        <w:gridCol w:w="1702"/>
      </w:tblGrid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309 423,37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309 423,37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cs="Times New Roman"/>
                <w:sz w:val="22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125 587,89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cs="Times New Roman"/>
                <w:sz w:val="22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125 587,89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9227C" w:rsidRPr="0029227C" w:rsidRDefault="0029227C" w:rsidP="0029227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29227C">
              <w:rPr>
                <w:rFonts w:eastAsia="Times New Roman" w:cs="Times New Roman"/>
                <w:spacing w:val="-6"/>
                <w:sz w:val="22"/>
                <w:lang w:eastAsia="ru-RU"/>
              </w:rPr>
              <w:t>Сургутское</w:t>
            </w:r>
            <w:proofErr w:type="spellEnd"/>
            <w:r w:rsidRPr="0029227C">
              <w:rPr>
                <w:rFonts w:eastAsia="Times New Roman" w:cs="Times New Roman"/>
                <w:spacing w:val="-6"/>
                <w:sz w:val="22"/>
                <w:lang w:eastAsia="ru-RU"/>
              </w:rPr>
              <w:t xml:space="preserve"> городское муниципальное унитарное</w:t>
            </w: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 предприятие «Городские тепловые сети»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1 061 218,93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1 061 218,93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124 054,27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124 054,27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98 539,58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98 539,58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124 054,27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124 054,27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29227C">
              <w:rPr>
                <w:rFonts w:eastAsia="Times New Roman" w:cs="Times New Roman"/>
                <w:spacing w:val="-6"/>
                <w:sz w:val="22"/>
                <w:lang w:eastAsia="ru-RU"/>
              </w:rPr>
              <w:t>Сургутское</w:t>
            </w:r>
            <w:proofErr w:type="spellEnd"/>
            <w:r w:rsidRPr="0029227C">
              <w:rPr>
                <w:rFonts w:eastAsia="Times New Roman" w:cs="Times New Roman"/>
                <w:spacing w:val="-6"/>
                <w:sz w:val="22"/>
                <w:lang w:eastAsia="ru-RU"/>
              </w:rPr>
              <w:t xml:space="preserve"> городское муниципальное унитарное</w:t>
            </w: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 предприятие «</w:t>
            </w:r>
            <w:proofErr w:type="spellStart"/>
            <w:r w:rsidRPr="0029227C">
              <w:rPr>
                <w:rFonts w:eastAsia="Times New Roman" w:cs="Times New Roman"/>
                <w:sz w:val="22"/>
                <w:lang w:eastAsia="ru-RU"/>
              </w:rPr>
              <w:t>Горводоканал</w:t>
            </w:r>
            <w:proofErr w:type="spellEnd"/>
            <w:r w:rsidRPr="002922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62 759,81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62 759,81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Публичное акционерное общество «</w:t>
            </w:r>
            <w:proofErr w:type="spellStart"/>
            <w:r w:rsidRPr="0029227C">
              <w:rPr>
                <w:rFonts w:eastAsia="Times New Roman" w:cs="Times New Roman"/>
                <w:sz w:val="22"/>
                <w:lang w:eastAsia="ru-RU"/>
              </w:rPr>
              <w:t>Юнипро</w:t>
            </w:r>
            <w:proofErr w:type="spellEnd"/>
            <w:r w:rsidRPr="002922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569 073,24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569 073,24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210 883,79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210 883,79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</w:t>
            </w:r>
          </w:p>
          <w:p w:rsidR="0029227C" w:rsidRPr="0029227C" w:rsidRDefault="0029227C" w:rsidP="0029227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доходов, возникающих в связи с предоставлением мер социальной поддержки отдельным категориям граждан по оплате коммунальных услуг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163 896,40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163 896,40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17 355,83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17 355,83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11 040,38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11 040,38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29227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17 355,83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17 355,83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29227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29227C">
              <w:rPr>
                <w:rFonts w:eastAsia="Times New Roman" w:cs="Times New Roman"/>
                <w:spacing w:val="-6"/>
                <w:sz w:val="22"/>
                <w:lang w:eastAsia="ru-RU"/>
              </w:rPr>
              <w:t>Сургутское</w:t>
            </w:r>
            <w:proofErr w:type="spellEnd"/>
            <w:r w:rsidRPr="0029227C">
              <w:rPr>
                <w:rFonts w:eastAsia="Times New Roman" w:cs="Times New Roman"/>
                <w:spacing w:val="-6"/>
                <w:sz w:val="22"/>
                <w:lang w:eastAsia="ru-RU"/>
              </w:rPr>
              <w:t xml:space="preserve"> городское муниципальное унитарное</w:t>
            </w: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 предприятие «</w:t>
            </w:r>
            <w:proofErr w:type="spellStart"/>
            <w:r w:rsidRPr="0029227C">
              <w:rPr>
                <w:rFonts w:eastAsia="Times New Roman" w:cs="Times New Roman"/>
                <w:sz w:val="22"/>
                <w:lang w:eastAsia="ru-RU"/>
              </w:rPr>
              <w:t>Горводоканал</w:t>
            </w:r>
            <w:proofErr w:type="spellEnd"/>
            <w:r w:rsidRPr="002922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35 415,61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35 415,61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3 146,35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3 146,35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29227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</w:t>
            </w:r>
          </w:p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2 811,97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2 811,97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29227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3 146,35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3 146,35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29227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29227C">
              <w:rPr>
                <w:rFonts w:eastAsia="Times New Roman" w:cs="Times New Roman"/>
                <w:spacing w:val="-6"/>
                <w:sz w:val="22"/>
                <w:lang w:eastAsia="ru-RU"/>
              </w:rPr>
              <w:t>Сургутское</w:t>
            </w:r>
            <w:proofErr w:type="spellEnd"/>
            <w:r w:rsidRPr="0029227C">
              <w:rPr>
                <w:rFonts w:eastAsia="Times New Roman" w:cs="Times New Roman"/>
                <w:spacing w:val="-6"/>
                <w:sz w:val="22"/>
                <w:lang w:eastAsia="ru-RU"/>
              </w:rPr>
              <w:t xml:space="preserve"> городское муниципальное унитарное</w:t>
            </w: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 предприятие «Городские тепловые сети»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29227C">
            <w:pPr>
              <w:ind w:right="-1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114 515,66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114 515,66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12 966,31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12 966,31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7 774,07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7 774,07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12 966,31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12966,31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29227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Акционерное общество «Югра-Экология»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5 386,97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29227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5 386,97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478,60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478,60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427,71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427,71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478,60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478,60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58657C" w:rsidTr="0029227C">
        <w:tc>
          <w:tcPr>
            <w:tcW w:w="4679" w:type="dxa"/>
            <w:shd w:val="clear" w:color="auto" w:fill="auto"/>
          </w:tcPr>
          <w:p w:rsidR="0029227C" w:rsidRPr="0029227C" w:rsidRDefault="0029227C" w:rsidP="0029227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Акционерное общество «</w:t>
            </w:r>
            <w:proofErr w:type="spellStart"/>
            <w:r w:rsidRPr="0029227C">
              <w:rPr>
                <w:rFonts w:eastAsia="Times New Roman" w:cs="Times New Roman"/>
                <w:sz w:val="22"/>
                <w:lang w:eastAsia="ru-RU"/>
              </w:rPr>
              <w:t>Энергосбытовая</w:t>
            </w:r>
            <w:proofErr w:type="spellEnd"/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29227C" w:rsidRPr="0029227C" w:rsidRDefault="0029227C" w:rsidP="0029227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компания «Восток»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8 578,16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8 578,16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9227C" w:rsidRPr="0095136F" w:rsidTr="0029227C">
        <w:tc>
          <w:tcPr>
            <w:tcW w:w="4679" w:type="dxa"/>
            <w:shd w:val="clear" w:color="auto" w:fill="auto"/>
          </w:tcPr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29227C" w:rsidRPr="0029227C" w:rsidRDefault="0029227C" w:rsidP="006F2A8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26,63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26,63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227C" w:rsidRPr="0029227C" w:rsidRDefault="0029227C" w:rsidP="006F2A8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22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0D7F2F" w:rsidRPr="0029227C" w:rsidRDefault="000D7F2F" w:rsidP="0029227C"/>
    <w:sectPr w:rsidR="000D7F2F" w:rsidRPr="0029227C" w:rsidSect="0029227C">
      <w:pgSz w:w="16838" w:h="11906" w:orient="landscape"/>
      <w:pgMar w:top="1418" w:right="1134" w:bottom="567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F8" w:rsidRDefault="00A822F8" w:rsidP="00EE4D5B">
      <w:r>
        <w:separator/>
      </w:r>
    </w:p>
  </w:endnote>
  <w:endnote w:type="continuationSeparator" w:id="0">
    <w:p w:rsidR="00A822F8" w:rsidRDefault="00A822F8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F8" w:rsidRDefault="00A822F8" w:rsidP="00EE4D5B">
      <w:r>
        <w:separator/>
      </w:r>
    </w:p>
  </w:footnote>
  <w:footnote w:type="continuationSeparator" w:id="0">
    <w:p w:rsidR="00A822F8" w:rsidRDefault="00A822F8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34BB9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E59E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E59E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E59E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3779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9227C" w:rsidRPr="0029227C" w:rsidRDefault="0029227C">
        <w:pPr>
          <w:pStyle w:val="a3"/>
          <w:jc w:val="center"/>
          <w:rPr>
            <w:sz w:val="20"/>
            <w:szCs w:val="20"/>
          </w:rPr>
        </w:pPr>
        <w:r w:rsidRPr="0029227C">
          <w:rPr>
            <w:sz w:val="20"/>
            <w:szCs w:val="20"/>
          </w:rPr>
          <w:fldChar w:fldCharType="begin"/>
        </w:r>
        <w:r w:rsidRPr="0029227C">
          <w:rPr>
            <w:sz w:val="20"/>
            <w:szCs w:val="20"/>
          </w:rPr>
          <w:instrText>PAGE   \* MERGEFORMAT</w:instrText>
        </w:r>
        <w:r w:rsidRPr="0029227C">
          <w:rPr>
            <w:sz w:val="20"/>
            <w:szCs w:val="20"/>
          </w:rPr>
          <w:fldChar w:fldCharType="separate"/>
        </w:r>
        <w:r w:rsidR="005E59E3">
          <w:rPr>
            <w:noProof/>
            <w:sz w:val="20"/>
            <w:szCs w:val="20"/>
          </w:rPr>
          <w:t>1</w:t>
        </w:r>
        <w:r w:rsidRPr="0029227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7C"/>
    <w:rsid w:val="000D7F2F"/>
    <w:rsid w:val="00231D06"/>
    <w:rsid w:val="0029227C"/>
    <w:rsid w:val="004A4D97"/>
    <w:rsid w:val="005148BF"/>
    <w:rsid w:val="00534BB9"/>
    <w:rsid w:val="005E59E3"/>
    <w:rsid w:val="007C47BC"/>
    <w:rsid w:val="009E1ABF"/>
    <w:rsid w:val="00A37C55"/>
    <w:rsid w:val="00A60908"/>
    <w:rsid w:val="00A822F8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92C022-28E1-47E5-BE91-03904D37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292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227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92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AB9A0-DA8F-417C-B542-11582BA9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2025-07-11T08:01:00Z</cp:lastPrinted>
  <dcterms:created xsi:type="dcterms:W3CDTF">2025-07-16T11:40:00Z</dcterms:created>
  <dcterms:modified xsi:type="dcterms:W3CDTF">2025-07-16T11:40:00Z</dcterms:modified>
</cp:coreProperties>
</file>