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pPr w:leftFromText="181" w:rightFromText="181" w:vertAnchor="page" w:tblpY="285"/>
        <w:tblOverlap w:val="nev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482"/>
        <w:gridCol w:w="153"/>
        <w:gridCol w:w="1491"/>
        <w:gridCol w:w="295"/>
        <w:gridCol w:w="352"/>
        <w:gridCol w:w="5012"/>
        <w:gridCol w:w="249"/>
        <w:gridCol w:w="1452"/>
      </w:tblGrid>
      <w:tr w:rsidR="00002C7E" w:rsidTr="008D1F3C">
        <w:tc>
          <w:tcPr>
            <w:tcW w:w="9639" w:type="dxa"/>
            <w:gridSpan w:val="9"/>
            <w:noWrap/>
            <w:tcMar>
              <w:left w:w="0" w:type="dxa"/>
              <w:right w:w="0" w:type="dxa"/>
            </w:tcMar>
          </w:tcPr>
          <w:p w:rsidR="00002C7E" w:rsidRDefault="00002C7E" w:rsidP="003262E3">
            <w:pPr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541F0">
              <w:rPr>
                <w:rFonts w:eastAsia="Times New Roman" w:cs="Times New Roman"/>
                <w:sz w:val="24"/>
                <w:szCs w:val="24"/>
                <w:lang w:eastAsia="ru-RU"/>
              </w:rPr>
              <w:object w:dxaOrig="1191" w:dyaOrig="152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6.5pt" o:ole="">
                  <v:imagedata r:id="rId6" o:title="" gain="1.5625" blacklevel="3932f" grayscale="t"/>
                </v:shape>
                <o:OLEObject Type="Embed" ProgID="CorelDRAW.Graphic.11" ShapeID="_x0000_i1025" DrawAspect="Content" ObjectID="_1826269616" r:id="rId7"/>
              </w:object>
            </w:r>
          </w:p>
          <w:p w:rsidR="00002C7E" w:rsidRDefault="00002C7E" w:rsidP="003262E3">
            <w:pPr>
              <w:spacing w:line="120" w:lineRule="atLeast"/>
              <w:jc w:val="center"/>
              <w:rPr>
                <w:rFonts w:eastAsia="Times New Roman" w:cs="Times New Roman"/>
                <w:sz w:val="10"/>
                <w:szCs w:val="10"/>
                <w:lang w:eastAsia="ru-RU"/>
              </w:rPr>
            </w:pPr>
          </w:p>
          <w:p w:rsidR="00002C7E" w:rsidRPr="005541F0" w:rsidRDefault="00002C7E" w:rsidP="008D1F3C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МУНИЦИПАЛЬНОЕ ОБРАЗОВАНИЕ</w:t>
            </w:r>
          </w:p>
          <w:p w:rsidR="00002C7E" w:rsidRDefault="00002C7E" w:rsidP="008D1F3C">
            <w:pPr>
              <w:spacing w:line="120" w:lineRule="atLeast"/>
              <w:jc w:val="center"/>
              <w:rPr>
                <w:sz w:val="26"/>
                <w:szCs w:val="24"/>
              </w:rPr>
            </w:pPr>
            <w:r w:rsidRPr="005541F0">
              <w:rPr>
                <w:sz w:val="26"/>
                <w:szCs w:val="24"/>
              </w:rPr>
              <w:t>ГОРОДСКОЙ ОКРУГ СУРГУТ</w:t>
            </w:r>
          </w:p>
          <w:p w:rsidR="00002C7E" w:rsidRPr="005541F0" w:rsidRDefault="00002C7E" w:rsidP="008D1F3C">
            <w:pPr>
              <w:spacing w:line="120" w:lineRule="atLeast"/>
              <w:jc w:val="center"/>
              <w:rPr>
                <w:sz w:val="26"/>
                <w:szCs w:val="24"/>
              </w:rPr>
            </w:pPr>
            <w:r>
              <w:rPr>
                <w:sz w:val="26"/>
              </w:rPr>
              <w:t>ХАНТЫ-МАНСИЙСКОГО АВТОНОМНОГО ОКРУГА – ЮГРЫ</w:t>
            </w:r>
          </w:p>
          <w:p w:rsidR="00002C7E" w:rsidRPr="005649E4" w:rsidRDefault="00002C7E" w:rsidP="008D1F3C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002C7E" w:rsidRPr="00656C1A" w:rsidRDefault="00002C7E" w:rsidP="008D1F3C">
            <w:pPr>
              <w:jc w:val="center"/>
              <w:rPr>
                <w:b/>
                <w:sz w:val="26"/>
                <w:szCs w:val="26"/>
              </w:rPr>
            </w:pPr>
            <w:r w:rsidRPr="00656C1A">
              <w:rPr>
                <w:b/>
                <w:sz w:val="26"/>
                <w:szCs w:val="26"/>
              </w:rPr>
              <w:t>АДМИНИСТРАЦИЯ ГОРОДА</w:t>
            </w:r>
          </w:p>
          <w:p w:rsidR="00002C7E" w:rsidRPr="005541F0" w:rsidRDefault="00002C7E" w:rsidP="008D1F3C">
            <w:pPr>
              <w:spacing w:line="120" w:lineRule="atLeast"/>
              <w:jc w:val="center"/>
              <w:rPr>
                <w:sz w:val="18"/>
                <w:szCs w:val="24"/>
              </w:rPr>
            </w:pPr>
          </w:p>
          <w:p w:rsidR="00002C7E" w:rsidRPr="005541F0" w:rsidRDefault="00002C7E" w:rsidP="008D1F3C">
            <w:pPr>
              <w:spacing w:line="120" w:lineRule="atLeast"/>
              <w:jc w:val="center"/>
              <w:rPr>
                <w:sz w:val="20"/>
                <w:szCs w:val="24"/>
              </w:rPr>
            </w:pPr>
          </w:p>
          <w:p w:rsidR="00002C7E" w:rsidRPr="00656C1A" w:rsidRDefault="00002C7E" w:rsidP="008D1F3C">
            <w:pPr>
              <w:jc w:val="center"/>
              <w:rPr>
                <w:b/>
                <w:sz w:val="30"/>
                <w:szCs w:val="30"/>
              </w:rPr>
            </w:pPr>
            <w:r w:rsidRPr="00656C1A">
              <w:rPr>
                <w:b/>
                <w:sz w:val="30"/>
                <w:szCs w:val="30"/>
              </w:rPr>
              <w:t>РАСПОРЯЖЕНИЕ</w:t>
            </w:r>
          </w:p>
          <w:p w:rsidR="00002C7E" w:rsidRDefault="00002C7E" w:rsidP="003262E3">
            <w:pPr>
              <w:spacing w:line="120" w:lineRule="atLeast"/>
              <w:jc w:val="center"/>
              <w:rPr>
                <w:sz w:val="30"/>
                <w:szCs w:val="24"/>
              </w:rPr>
            </w:pPr>
          </w:p>
          <w:p w:rsidR="00002C7E" w:rsidRPr="003262E3" w:rsidRDefault="00002C7E" w:rsidP="003262E3">
            <w:pPr>
              <w:spacing w:line="120" w:lineRule="atLeast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002C7E" w:rsidTr="00FF32BE"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002C7E" w:rsidRPr="00F8214F" w:rsidRDefault="00002C7E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8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02C7E" w:rsidRPr="00F8214F" w:rsidRDefault="00510016" w:rsidP="00520F32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28</w:t>
            </w:r>
          </w:p>
        </w:tc>
        <w:tc>
          <w:tcPr>
            <w:tcW w:w="153" w:type="dxa"/>
            <w:noWrap/>
            <w:tcMar>
              <w:left w:w="0" w:type="dxa"/>
              <w:right w:w="0" w:type="dxa"/>
            </w:tcMar>
          </w:tcPr>
          <w:p w:rsidR="00002C7E" w:rsidRPr="00F8214F" w:rsidRDefault="00002C7E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02C7E" w:rsidRPr="00F8214F" w:rsidRDefault="00510016" w:rsidP="00520F32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11</w:t>
            </w:r>
          </w:p>
        </w:tc>
        <w:tc>
          <w:tcPr>
            <w:tcW w:w="295" w:type="dxa"/>
            <w:noWrap/>
            <w:tcMar>
              <w:left w:w="0" w:type="dxa"/>
              <w:right w:w="0" w:type="dxa"/>
            </w:tcMar>
          </w:tcPr>
          <w:p w:rsidR="00002C7E" w:rsidRPr="00A63FB0" w:rsidRDefault="00002C7E" w:rsidP="00520F3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02C7E" w:rsidRPr="00A3761A" w:rsidRDefault="00510016" w:rsidP="00AD6618">
            <w:pPr>
              <w:jc w:val="left"/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25</w:t>
            </w:r>
          </w:p>
        </w:tc>
        <w:tc>
          <w:tcPr>
            <w:tcW w:w="5012" w:type="dxa"/>
            <w:noWrap/>
            <w:tcMar>
              <w:left w:w="0" w:type="dxa"/>
              <w:right w:w="0" w:type="dxa"/>
            </w:tcMar>
          </w:tcPr>
          <w:p w:rsidR="00002C7E" w:rsidRPr="00F8214F" w:rsidRDefault="00002C7E" w:rsidP="00520F32">
            <w:pPr>
              <w:rPr>
                <w:sz w:val="24"/>
                <w:szCs w:val="24"/>
              </w:rPr>
            </w:pPr>
          </w:p>
        </w:tc>
        <w:tc>
          <w:tcPr>
            <w:tcW w:w="249" w:type="dxa"/>
            <w:noWrap/>
            <w:tcMar>
              <w:left w:w="0" w:type="dxa"/>
              <w:right w:w="0" w:type="dxa"/>
            </w:tcMar>
          </w:tcPr>
          <w:p w:rsidR="00002C7E" w:rsidRPr="00AB4194" w:rsidRDefault="00002C7E" w:rsidP="00520F3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452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</w:tcPr>
          <w:p w:rsidR="00002C7E" w:rsidRPr="00F8214F" w:rsidRDefault="00510016" w:rsidP="00520F32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4159</w:t>
            </w:r>
          </w:p>
        </w:tc>
      </w:tr>
    </w:tbl>
    <w:p w:rsidR="00002C7E" w:rsidRDefault="00002C7E" w:rsidP="001E4F0B">
      <w:pPr>
        <w:rPr>
          <w:rFonts w:eastAsia="Times New Roman" w:cs="Times New Roman"/>
          <w:bCs/>
          <w:szCs w:val="24"/>
          <w:lang w:eastAsia="ru-RU"/>
        </w:rPr>
      </w:pP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О внесении изменений </w:t>
      </w: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в распоряжение Администрации </w:t>
      </w: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города от 04.02.2025 № 602 </w:t>
      </w: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>«Об итогах социально-</w:t>
      </w: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экономического развития </w:t>
      </w:r>
    </w:p>
    <w:p w:rsidR="00002C7E" w:rsidRPr="00002C7E" w:rsidRDefault="00002C7E" w:rsidP="00002C7E">
      <w:pPr>
        <w:widowControl w:val="0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муниципального образования </w:t>
      </w:r>
    </w:p>
    <w:p w:rsidR="00002C7E" w:rsidRPr="00002C7E" w:rsidRDefault="00002C7E" w:rsidP="00002C7E">
      <w:pPr>
        <w:widowControl w:val="0"/>
        <w:jc w:val="left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городской округ Сургут </w:t>
      </w:r>
    </w:p>
    <w:p w:rsidR="00002C7E" w:rsidRPr="00002C7E" w:rsidRDefault="00002C7E" w:rsidP="00002C7E">
      <w:pPr>
        <w:widowControl w:val="0"/>
        <w:jc w:val="left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Ханты-Мансийского автономного </w:t>
      </w:r>
    </w:p>
    <w:p w:rsidR="00002C7E" w:rsidRPr="00002C7E" w:rsidRDefault="00002C7E" w:rsidP="00002C7E">
      <w:pPr>
        <w:widowControl w:val="0"/>
        <w:jc w:val="left"/>
        <w:rPr>
          <w:rFonts w:eastAsia="Calibri"/>
          <w:szCs w:val="28"/>
        </w:rPr>
      </w:pPr>
      <w:r w:rsidRPr="00002C7E">
        <w:rPr>
          <w:rFonts w:eastAsia="Calibri"/>
          <w:szCs w:val="28"/>
        </w:rPr>
        <w:t>округа – Югры за 2024 год»</w:t>
      </w:r>
    </w:p>
    <w:p w:rsidR="00002C7E" w:rsidRPr="00002C7E" w:rsidRDefault="00002C7E" w:rsidP="00002C7E">
      <w:pPr>
        <w:jc w:val="left"/>
        <w:rPr>
          <w:rFonts w:cs="Times New Roman"/>
          <w:szCs w:val="28"/>
        </w:rPr>
      </w:pPr>
    </w:p>
    <w:p w:rsidR="00002C7E" w:rsidRPr="00002C7E" w:rsidRDefault="00002C7E" w:rsidP="00002C7E">
      <w:pPr>
        <w:jc w:val="left"/>
        <w:rPr>
          <w:rFonts w:cs="Times New Roman"/>
          <w:szCs w:val="28"/>
        </w:rPr>
      </w:pPr>
    </w:p>
    <w:p w:rsidR="00002C7E" w:rsidRPr="00002C7E" w:rsidRDefault="00002C7E" w:rsidP="00002C7E">
      <w:pPr>
        <w:ind w:firstLine="709"/>
        <w:rPr>
          <w:rFonts w:eastAsia="Times New Roman" w:cs="Times New Roman"/>
          <w:szCs w:val="28"/>
        </w:rPr>
      </w:pPr>
      <w:r w:rsidRPr="00002C7E">
        <w:rPr>
          <w:rFonts w:eastAsia="Times New Roman" w:cs="Times New Roman"/>
          <w:szCs w:val="28"/>
        </w:rPr>
        <w:t xml:space="preserve">В соответствии с постановлением Администрации города от 11.02.2016 </w:t>
      </w:r>
      <w:r w:rsidRPr="00002C7E">
        <w:rPr>
          <w:rFonts w:eastAsia="Times New Roman" w:cs="Times New Roman"/>
          <w:szCs w:val="28"/>
        </w:rPr>
        <w:br/>
        <w:t>№ 939 «Об утверждении порядка осуществления мониторинга и контроля реализации документов стратегического планирования и подготовки документов, в которых отражаются результаты мониторинга», распоряжениями Администрации города от 30.12.2005 № 3686 «Об утверждении Регламента Администрации города», от 23.12.2024 № 8525 «О распределении отдельных полномочий Главы города между высшими должностными лицами Адми</w:t>
      </w:r>
      <w:r>
        <w:rPr>
          <w:rFonts w:eastAsia="Times New Roman" w:cs="Times New Roman"/>
          <w:szCs w:val="28"/>
        </w:rPr>
        <w:t>-</w:t>
      </w:r>
      <w:r w:rsidRPr="00002C7E">
        <w:rPr>
          <w:rFonts w:eastAsia="Times New Roman" w:cs="Times New Roman"/>
          <w:szCs w:val="28"/>
        </w:rPr>
        <w:t xml:space="preserve">нистрации города», </w:t>
      </w:r>
      <w:r w:rsidRPr="00002C7E">
        <w:rPr>
          <w:rFonts w:eastAsia="Times New Roman" w:cs="Times New Roman"/>
          <w:spacing w:val="-4"/>
          <w:szCs w:val="28"/>
        </w:rPr>
        <w:t xml:space="preserve">в целях актуализации итогов </w:t>
      </w:r>
      <w:r w:rsidRPr="00002C7E">
        <w:rPr>
          <w:rFonts w:eastAsia="Times New Roman" w:cs="Times New Roman"/>
          <w:bCs/>
          <w:spacing w:val="-4"/>
          <w:szCs w:val="28"/>
        </w:rPr>
        <w:t>социально-экономического развития</w:t>
      </w:r>
      <w:r w:rsidRPr="00002C7E">
        <w:rPr>
          <w:rFonts w:eastAsia="Times New Roman" w:cs="Times New Roman"/>
          <w:bCs/>
          <w:szCs w:val="28"/>
        </w:rPr>
        <w:t xml:space="preserve"> муниципального образования городской округ Сургут </w:t>
      </w:r>
      <w:r w:rsidRPr="00002C7E">
        <w:rPr>
          <w:szCs w:val="28"/>
        </w:rPr>
        <w:t xml:space="preserve">Ханты-Мансийского автономного округа – Югры </w:t>
      </w:r>
      <w:r w:rsidRPr="00002C7E">
        <w:rPr>
          <w:rFonts w:eastAsia="Times New Roman" w:cs="Times New Roman"/>
          <w:bCs/>
          <w:szCs w:val="28"/>
        </w:rPr>
        <w:t>за 2024 год</w:t>
      </w:r>
      <w:r w:rsidRPr="00002C7E">
        <w:rPr>
          <w:rFonts w:eastAsia="Times New Roman" w:cs="Times New Roman"/>
          <w:szCs w:val="28"/>
        </w:rPr>
        <w:t>: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rFonts w:eastAsia="Times New Roman" w:cs="Times New Roman"/>
          <w:bCs/>
          <w:szCs w:val="28"/>
        </w:rPr>
        <w:t xml:space="preserve">1. Внести в </w:t>
      </w:r>
      <w:r w:rsidRPr="00002C7E">
        <w:rPr>
          <w:rFonts w:eastAsia="Times New Roman" w:cs="Times New Roman"/>
        </w:rPr>
        <w:t xml:space="preserve">распоряжение Администрации города от 04.02.2025 № 602 </w:t>
      </w:r>
      <w:r w:rsidRPr="00002C7E">
        <w:rPr>
          <w:rFonts w:eastAsia="Times New Roman" w:cs="Times New Roman"/>
        </w:rPr>
        <w:br/>
        <w:t xml:space="preserve">«Об итогах социально-экономического развития муниципального образования городской округ Сургут </w:t>
      </w:r>
      <w:r w:rsidRPr="00002C7E">
        <w:rPr>
          <w:szCs w:val="28"/>
        </w:rPr>
        <w:t xml:space="preserve">Ханты-Мансийского автономного округа – Югры </w:t>
      </w:r>
      <w:r w:rsidRPr="00002C7E">
        <w:rPr>
          <w:szCs w:val="28"/>
        </w:rPr>
        <w:br/>
      </w:r>
      <w:r w:rsidRPr="00002C7E">
        <w:rPr>
          <w:rFonts w:eastAsia="Times New Roman" w:cs="Times New Roman"/>
        </w:rPr>
        <w:t>за 2024 год»</w:t>
      </w:r>
      <w:r w:rsidRPr="00002C7E">
        <w:rPr>
          <w:rFonts w:eastAsia="Times New Roman" w:cs="Times New Roman"/>
          <w:szCs w:val="28"/>
          <w:lang w:eastAsia="ru-RU"/>
        </w:rPr>
        <w:t xml:space="preserve"> (</w:t>
      </w:r>
      <w:r w:rsidRPr="00002C7E">
        <w:rPr>
          <w:rFonts w:eastAsia="Calibri"/>
          <w:szCs w:val="28"/>
        </w:rPr>
        <w:t>с изменением от 28.04.2025 № 2654</w:t>
      </w:r>
      <w:r w:rsidRPr="00002C7E">
        <w:rPr>
          <w:rFonts w:eastAsia="Times New Roman" w:cs="Times New Roman"/>
          <w:szCs w:val="28"/>
          <w:lang w:eastAsia="ru-RU"/>
        </w:rPr>
        <w:t xml:space="preserve">) </w:t>
      </w:r>
      <w:r w:rsidRPr="00002C7E">
        <w:rPr>
          <w:szCs w:val="28"/>
        </w:rPr>
        <w:t>следующие изменения:</w:t>
      </w:r>
    </w:p>
    <w:p w:rsidR="00002C7E" w:rsidRPr="00002C7E" w:rsidRDefault="00002C7E" w:rsidP="00002C7E">
      <w:pPr>
        <w:widowControl w:val="0"/>
        <w:ind w:firstLine="709"/>
        <w:rPr>
          <w:szCs w:val="28"/>
        </w:rPr>
      </w:pPr>
      <w:r w:rsidRPr="00002C7E">
        <w:rPr>
          <w:szCs w:val="28"/>
        </w:rPr>
        <w:t>в приложении к распоряжению:</w:t>
      </w:r>
    </w:p>
    <w:p w:rsidR="00002C7E" w:rsidRPr="00002C7E" w:rsidRDefault="00002C7E" w:rsidP="00002C7E">
      <w:pPr>
        <w:widowControl w:val="0"/>
        <w:ind w:firstLine="709"/>
        <w:rPr>
          <w:szCs w:val="28"/>
        </w:rPr>
      </w:pPr>
      <w:r w:rsidRPr="00002C7E">
        <w:rPr>
          <w:szCs w:val="28"/>
        </w:rPr>
        <w:t xml:space="preserve">1.1. Абзацы пятый – восьмой раздела </w:t>
      </w:r>
      <w:r w:rsidRPr="00002C7E">
        <w:rPr>
          <w:szCs w:val="28"/>
          <w:lang w:val="en-US"/>
        </w:rPr>
        <w:t>II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spacing w:val="-4"/>
          <w:szCs w:val="28"/>
        </w:rPr>
      </w:pPr>
      <w:r w:rsidRPr="00002C7E">
        <w:rPr>
          <w:rFonts w:eastAsia="Calibri" w:cs="Times New Roman"/>
          <w:bCs/>
          <w:szCs w:val="28"/>
        </w:rPr>
        <w:t>«</w:t>
      </w:r>
      <w:r w:rsidRPr="00002C7E">
        <w:rPr>
          <w:spacing w:val="-4"/>
          <w:szCs w:val="28"/>
        </w:rPr>
        <w:t xml:space="preserve">По итогам года наметилась тенденция стабилизации </w:t>
      </w:r>
      <w:r w:rsidRPr="00002C7E">
        <w:rPr>
          <w:szCs w:val="28"/>
        </w:rPr>
        <w:t xml:space="preserve">темпов роста </w:t>
      </w:r>
      <w:r w:rsidRPr="00002C7E">
        <w:rPr>
          <w:szCs w:val="28"/>
        </w:rPr>
        <w:br/>
        <w:t xml:space="preserve">и удельного веса как населения в трудоспособном возрасте (в условиях сопоставимости его границ) в общей численности населения, так и женщин активного репродуктивного возраста в общей численности женщин на фоне </w:t>
      </w:r>
      <w:r w:rsidRPr="00002C7E">
        <w:rPr>
          <w:szCs w:val="28"/>
        </w:rPr>
        <w:lastRenderedPageBreak/>
        <w:t>высокой интенсивности миграционных потоков в последние годы, обеспечиваемых в основном населением в трудоспособном возрасте.</w:t>
      </w:r>
    </w:p>
    <w:p w:rsidR="00002C7E" w:rsidRPr="00002C7E" w:rsidRDefault="00002C7E" w:rsidP="00002C7E">
      <w:pPr>
        <w:tabs>
          <w:tab w:val="left" w:pos="2220"/>
        </w:tabs>
        <w:ind w:firstLine="709"/>
        <w:rPr>
          <w:spacing w:val="-4"/>
          <w:szCs w:val="28"/>
        </w:rPr>
      </w:pPr>
      <w:r w:rsidRPr="00002C7E">
        <w:rPr>
          <w:szCs w:val="28"/>
        </w:rPr>
        <w:t xml:space="preserve">К уровню 2023 года </w:t>
      </w:r>
      <w:r w:rsidRPr="00002C7E">
        <w:rPr>
          <w:bCs/>
          <w:szCs w:val="28"/>
        </w:rPr>
        <w:t>(с учетом изменения границ трудоспособного возраста на 5 лет)</w:t>
      </w:r>
      <w:r w:rsidRPr="00002C7E">
        <w:rPr>
          <w:spacing w:val="-4"/>
          <w:szCs w:val="28"/>
        </w:rPr>
        <w:t>: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szCs w:val="28"/>
        </w:rPr>
        <w:t>- доля численности населения старше трудоспособного возраста снизилась на 0,25%, младше трудоспособного – на 0,03%, при этом доля численности населения в трудоспособном возрасте возросла на 0,29%;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bCs/>
          <w:szCs w:val="28"/>
        </w:rPr>
        <w:t xml:space="preserve">- </w:t>
      </w:r>
      <w:r w:rsidRPr="00002C7E">
        <w:rPr>
          <w:szCs w:val="28"/>
        </w:rPr>
        <w:t xml:space="preserve">коэффициент общей демографической нагрузки на 1 000 человек трудоспособного возраста снизился с 556 до 549, в том числе детьми </w:t>
      </w:r>
      <w:r w:rsidRPr="00002C7E">
        <w:rPr>
          <w:szCs w:val="28"/>
        </w:rPr>
        <w:br/>
        <w:t>(0 – 15 лет) – с 354 до 352, пожилыми (от 60/65 лет) – с 202 до 197</w:t>
      </w:r>
      <w:r w:rsidRPr="00002C7E">
        <w:rPr>
          <w:rFonts w:cs="Times New Roman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1.2. Абзац тринадцатый раздела </w:t>
      </w:r>
      <w:r w:rsidRPr="00002C7E">
        <w:rPr>
          <w:szCs w:val="28"/>
          <w:lang w:val="en-US"/>
        </w:rPr>
        <w:t>III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rFonts w:eastAsia="Calibri" w:cs="Times New Roman"/>
          <w:bCs/>
          <w:szCs w:val="28"/>
        </w:rPr>
        <w:t>«</w:t>
      </w:r>
      <w:r w:rsidRPr="00002C7E">
        <w:rPr>
          <w:szCs w:val="28"/>
        </w:rPr>
        <w:t xml:space="preserve">В 2024 году потребление товаров и услуг на душу населения по оценке составило 561,8 </w:t>
      </w:r>
      <w:r w:rsidRPr="00002C7E">
        <w:rPr>
          <w:spacing w:val="-4"/>
          <w:szCs w:val="28"/>
        </w:rPr>
        <w:t>тыс. рублей, в натуральном выражении (товарной массе) среднедушевое потребление к уровню 2023 года возросло на 7,5% (107,5%)</w:t>
      </w:r>
      <w:r w:rsidRPr="00002C7E">
        <w:rPr>
          <w:rFonts w:eastAsia="Calibri"/>
          <w:spacing w:val="-6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1.3. Абзацы шестой – седьмой раздела </w:t>
      </w:r>
      <w:r w:rsidRPr="00002C7E">
        <w:rPr>
          <w:szCs w:val="28"/>
          <w:lang w:val="en-US"/>
        </w:rPr>
        <w:t>IV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rFonts w:eastAsia="Calibri" w:cs="Times New Roman"/>
          <w:bCs/>
          <w:szCs w:val="28"/>
        </w:rPr>
        <w:t>«</w:t>
      </w:r>
      <w:r w:rsidRPr="00002C7E">
        <w:rPr>
          <w:szCs w:val="28"/>
        </w:rPr>
        <w:t xml:space="preserve">В структуре занятости населения наибольший удельный вес приходится </w:t>
      </w:r>
      <w:r w:rsidRPr="00002C7E">
        <w:rPr>
          <w:szCs w:val="28"/>
        </w:rPr>
        <w:br/>
        <w:t xml:space="preserve">на промышленное производство (18,7%), торговлю (11,7%), строительство (11,6%), транспорт </w:t>
      </w:r>
      <w:r w:rsidRPr="00002C7E">
        <w:rPr>
          <w:spacing w:val="-4"/>
          <w:szCs w:val="28"/>
        </w:rPr>
        <w:t>(9,4%), здравоохранение и социальные</w:t>
      </w:r>
      <w:r w:rsidRPr="00002C7E">
        <w:rPr>
          <w:szCs w:val="28"/>
        </w:rPr>
        <w:t xml:space="preserve"> услуги (8,6%), </w:t>
      </w:r>
      <w:r w:rsidRPr="00002C7E">
        <w:rPr>
          <w:spacing w:val="-4"/>
          <w:szCs w:val="28"/>
        </w:rPr>
        <w:t>образование (8,1%)</w:t>
      </w:r>
      <w:r w:rsidRPr="00002C7E">
        <w:rPr>
          <w:szCs w:val="28"/>
        </w:rPr>
        <w:t>.</w:t>
      </w:r>
    </w:p>
    <w:p w:rsidR="00002C7E" w:rsidRPr="00002C7E" w:rsidRDefault="00002C7E" w:rsidP="00002C7E">
      <w:pPr>
        <w:ind w:firstLine="709"/>
        <w:rPr>
          <w:rFonts w:eastAsia="Calibri"/>
          <w:szCs w:val="28"/>
        </w:rPr>
      </w:pPr>
      <w:r w:rsidRPr="00002C7E">
        <w:rPr>
          <w:rFonts w:eastAsia="Calibri"/>
          <w:szCs w:val="28"/>
        </w:rPr>
        <w:t>На рынок труда оказывали влияние, как и в предыдущие годы, демографическая и экономическая ситуаци</w:t>
      </w:r>
      <w:r w:rsidR="002336D4">
        <w:rPr>
          <w:rFonts w:eastAsia="Calibri"/>
          <w:szCs w:val="28"/>
        </w:rPr>
        <w:t>и</w:t>
      </w:r>
      <w:r w:rsidRPr="00002C7E">
        <w:rPr>
          <w:rFonts w:eastAsia="Calibri"/>
          <w:szCs w:val="28"/>
        </w:rPr>
        <w:t>, а также государственная политика в сфере занятости</w:t>
      </w:r>
      <w:r w:rsidRPr="00002C7E">
        <w:rPr>
          <w:rFonts w:eastAsia="Calibri"/>
          <w:spacing w:val="-6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1.4. Абзацы одиннадцатый – тринадцатый раздела </w:t>
      </w:r>
      <w:r w:rsidRPr="00002C7E">
        <w:rPr>
          <w:szCs w:val="28"/>
          <w:lang w:val="en-US"/>
        </w:rPr>
        <w:t>V</w:t>
      </w:r>
      <w:r w:rsidRPr="00002C7E">
        <w:rPr>
          <w:szCs w:val="28"/>
        </w:rPr>
        <w:t xml:space="preserve"> изложить </w:t>
      </w:r>
      <w:r w:rsidRPr="00002C7E">
        <w:rPr>
          <w:szCs w:val="28"/>
        </w:rPr>
        <w:br/>
        <w:t>в следующей редакции:</w:t>
      </w:r>
    </w:p>
    <w:p w:rsidR="00002C7E" w:rsidRPr="00002C7E" w:rsidRDefault="00002C7E" w:rsidP="00002C7E">
      <w:pPr>
        <w:shd w:val="clear" w:color="auto" w:fill="FFFFFF" w:themeFill="background1"/>
        <w:ind w:firstLine="709"/>
        <w:rPr>
          <w:rFonts w:eastAsia="Calibri"/>
          <w:szCs w:val="28"/>
        </w:rPr>
      </w:pPr>
      <w:r w:rsidRPr="00002C7E">
        <w:rPr>
          <w:rFonts w:eastAsia="Calibri" w:cs="Times New Roman"/>
          <w:bCs/>
          <w:szCs w:val="28"/>
        </w:rPr>
        <w:t>«</w:t>
      </w:r>
      <w:r w:rsidRPr="00002C7E">
        <w:rPr>
          <w:rFonts w:eastAsia="Calibri"/>
          <w:szCs w:val="28"/>
        </w:rPr>
        <w:t>Среднесписочная численность работающих в муниципальных организациях составила 15,4 тыс. человек или 94% к уровню 2023 года, снижение обусловлено, в основном, ликвидацией и изменением формы собственности муниципальных унитарных предприятий.</w:t>
      </w:r>
    </w:p>
    <w:p w:rsidR="00002C7E" w:rsidRPr="00002C7E" w:rsidRDefault="00002C7E" w:rsidP="00002C7E">
      <w:pPr>
        <w:autoSpaceDE w:val="0"/>
        <w:autoSpaceDN w:val="0"/>
        <w:adjustRightInd w:val="0"/>
        <w:ind w:firstLine="709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 xml:space="preserve">Информация о достижении целевых показателей, предусмотренных указами Президента Российской Федерации, в части полномочий органов местного самоуправления представлена в таблице 4. Мониторинг производится в соответствии с формой, утвержденной приказом Министерства экономического развития Российской Федерации. Перечень 2024 года включал 48 целевых показателей. </w:t>
      </w:r>
    </w:p>
    <w:p w:rsidR="00002C7E" w:rsidRPr="00002C7E" w:rsidRDefault="00002C7E" w:rsidP="00002C7E">
      <w:pPr>
        <w:ind w:firstLine="709"/>
        <w:rPr>
          <w:rFonts w:eastAsia="Calibri"/>
          <w:spacing w:val="-6"/>
          <w:szCs w:val="28"/>
        </w:rPr>
      </w:pPr>
      <w:r w:rsidRPr="00002C7E">
        <w:rPr>
          <w:rFonts w:eastAsia="Times New Roman" w:cs="Times New Roman"/>
          <w:szCs w:val="28"/>
          <w:lang w:eastAsia="ru-RU"/>
        </w:rPr>
        <w:t xml:space="preserve">По состоянию на 31.12.2024: по 41 показателю плановое значение достигнуто; по </w:t>
      </w:r>
      <w:r w:rsidR="00E306FE">
        <w:rPr>
          <w:rFonts w:eastAsia="Times New Roman" w:cs="Times New Roman"/>
          <w:szCs w:val="28"/>
          <w:lang w:eastAsia="ru-RU"/>
        </w:rPr>
        <w:t>семи</w:t>
      </w:r>
      <w:r w:rsidRPr="00002C7E">
        <w:rPr>
          <w:rFonts w:eastAsia="Times New Roman" w:cs="Times New Roman"/>
          <w:szCs w:val="28"/>
          <w:lang w:eastAsia="ru-RU"/>
        </w:rPr>
        <w:t xml:space="preserve"> показателям плановое значение не достигнуто</w:t>
      </w:r>
      <w:r w:rsidRPr="00002C7E">
        <w:rPr>
          <w:szCs w:val="28"/>
        </w:rPr>
        <w:t xml:space="preserve">. Основными причинами, не позволившими достичь плановых значений, являются недостаточно высокий уровень обеспеченности объектами дошкольного </w:t>
      </w:r>
      <w:r w:rsidRPr="00002C7E">
        <w:rPr>
          <w:szCs w:val="28"/>
        </w:rPr>
        <w:br/>
        <w:t>и дополнительного образования, а также невыполнение плана по расселению непригодного для проживания жилья</w:t>
      </w:r>
      <w:r w:rsidRPr="00002C7E">
        <w:rPr>
          <w:rFonts w:eastAsia="Calibri"/>
          <w:spacing w:val="-6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1.5. Абзац пятнадцатый раздела </w:t>
      </w:r>
      <w:r w:rsidRPr="00002C7E">
        <w:rPr>
          <w:szCs w:val="28"/>
          <w:lang w:val="en-US"/>
        </w:rPr>
        <w:t>V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«</w:t>
      </w:r>
      <w:r w:rsidRPr="00002C7E">
        <w:rPr>
          <w:szCs w:val="28"/>
        </w:rPr>
        <w:t>Общая площадь жилищного фонда (квартир) муниципального образования на 31.12.2024 составила 9,3 млн. кв. метр</w:t>
      </w:r>
      <w:r w:rsidR="00E306FE">
        <w:rPr>
          <w:szCs w:val="28"/>
        </w:rPr>
        <w:t>ов</w:t>
      </w:r>
      <w:r w:rsidRPr="00002C7E">
        <w:rPr>
          <w:szCs w:val="28"/>
        </w:rPr>
        <w:t xml:space="preserve"> или 103,4% к уровню 2023 года (на 31.12.2023 – 9,02 млн. кв. метр</w:t>
      </w:r>
      <w:r w:rsidR="00E306FE">
        <w:rPr>
          <w:szCs w:val="28"/>
        </w:rPr>
        <w:t>ов</w:t>
      </w:r>
      <w:r w:rsidRPr="00002C7E">
        <w:rPr>
          <w:szCs w:val="28"/>
        </w:rPr>
        <w:t>)</w:t>
      </w:r>
      <w:r w:rsidRPr="00002C7E">
        <w:rPr>
          <w:rFonts w:cs="Times New Roman"/>
          <w:szCs w:val="28"/>
        </w:rPr>
        <w:t xml:space="preserve">». 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1.6. Абзац восемнадцатый раздела </w:t>
      </w:r>
      <w:r w:rsidRPr="00002C7E">
        <w:rPr>
          <w:szCs w:val="28"/>
          <w:lang w:val="en-US"/>
        </w:rPr>
        <w:t>V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pacing w:val="-6"/>
          <w:szCs w:val="28"/>
        </w:rPr>
        <w:t xml:space="preserve">«Уровень износа коммунальной инфраструктуры (по муниципальным унитарным предприятиям коммунального комплекса) составил на конец </w:t>
      </w:r>
      <w:r w:rsidRPr="00002C7E">
        <w:rPr>
          <w:rFonts w:cs="Times New Roman"/>
          <w:spacing w:val="-6"/>
          <w:szCs w:val="28"/>
        </w:rPr>
        <w:br/>
        <w:t>2024 года 48,1% (на 31.12.2023 – 47,9%)»</w:t>
      </w:r>
      <w:r w:rsidRPr="00002C7E">
        <w:rPr>
          <w:rFonts w:cs="Times New Roman"/>
          <w:szCs w:val="28"/>
        </w:rPr>
        <w:t xml:space="preserve">. 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1.7. Абзацы двенадцатый – тринадцатый раздела </w:t>
      </w:r>
      <w:r w:rsidRPr="00002C7E">
        <w:rPr>
          <w:szCs w:val="28"/>
          <w:lang w:val="en-US"/>
        </w:rPr>
        <w:t>VI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«</w:t>
      </w:r>
      <w:r w:rsidRPr="00002C7E">
        <w:rPr>
          <w:szCs w:val="28"/>
        </w:rPr>
        <w:t xml:space="preserve">Численность детей, посещающих организации, реализующие программы дошкольного образования, снизилась за год на 2,8% до 28,9 тыс. человек, </w:t>
      </w:r>
      <w:r w:rsidRPr="00002C7E">
        <w:rPr>
          <w:rFonts w:cs="Times New Roman"/>
          <w:szCs w:val="28"/>
        </w:rPr>
        <w:t xml:space="preserve">уровень обеспеченности местами </w:t>
      </w:r>
      <w:r w:rsidRPr="00002C7E">
        <w:rPr>
          <w:rFonts w:eastAsia="Calibri" w:cs="Times New Roman"/>
          <w:szCs w:val="28"/>
        </w:rPr>
        <w:t xml:space="preserve">составил 108,3% </w:t>
      </w:r>
      <w:r w:rsidRPr="00002C7E">
        <w:rPr>
          <w:rFonts w:cs="Times New Roman"/>
          <w:szCs w:val="28"/>
        </w:rPr>
        <w:t xml:space="preserve">от норматива 70 мест </w:t>
      </w:r>
      <w:r w:rsidR="002336D4">
        <w:rPr>
          <w:rFonts w:cs="Times New Roman"/>
          <w:szCs w:val="28"/>
        </w:rPr>
        <w:br/>
      </w:r>
      <w:r w:rsidRPr="00002C7E">
        <w:rPr>
          <w:rFonts w:cs="Times New Roman"/>
          <w:szCs w:val="28"/>
        </w:rPr>
        <w:t>на</w:t>
      </w:r>
      <w:r w:rsidR="002336D4">
        <w:rPr>
          <w:rFonts w:cs="Times New Roman"/>
          <w:szCs w:val="28"/>
        </w:rPr>
        <w:t xml:space="preserve"> </w:t>
      </w:r>
      <w:r w:rsidRPr="00002C7E">
        <w:rPr>
          <w:rFonts w:cs="Times New Roman"/>
          <w:szCs w:val="28"/>
        </w:rPr>
        <w:t>100</w:t>
      </w:r>
      <w:r w:rsidR="002336D4">
        <w:rPr>
          <w:rFonts w:cs="Times New Roman"/>
          <w:szCs w:val="28"/>
        </w:rPr>
        <w:t xml:space="preserve"> </w:t>
      </w:r>
      <w:r w:rsidRPr="00002C7E">
        <w:rPr>
          <w:rFonts w:cs="Times New Roman"/>
          <w:szCs w:val="28"/>
        </w:rPr>
        <w:t>детей дошкольного возраста</w:t>
      </w:r>
      <w:r w:rsidRPr="00002C7E">
        <w:rPr>
          <w:rFonts w:eastAsia="Calibri" w:cs="Times New Roman"/>
          <w:szCs w:val="28"/>
        </w:rPr>
        <w:t xml:space="preserve">, </w:t>
      </w:r>
      <w:r w:rsidRPr="00002C7E">
        <w:rPr>
          <w:rFonts w:cs="Times New Roman"/>
          <w:szCs w:val="28"/>
        </w:rPr>
        <w:t>98,6% от норматива 70 мест на 1 000 жителей.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Численность учащихся в общеобразовательных учреждениях за год увеличилась на 2% до 64,1 тыс. человек, в том числе в первую смену обучались 59,5%, </w:t>
      </w:r>
      <w:r w:rsidRPr="00002C7E">
        <w:rPr>
          <w:rFonts w:cs="Times New Roman"/>
          <w:spacing w:val="-4"/>
          <w:szCs w:val="28"/>
        </w:rPr>
        <w:t xml:space="preserve">обеспеченность местами составила 60% от норматива 150 мест </w:t>
      </w:r>
      <w:r w:rsidRPr="00002C7E">
        <w:rPr>
          <w:rFonts w:cs="Times New Roman"/>
          <w:spacing w:val="-4"/>
          <w:szCs w:val="28"/>
        </w:rPr>
        <w:br/>
        <w:t>на 1 000 жителей</w:t>
      </w:r>
      <w:r w:rsidRPr="00002C7E">
        <w:rPr>
          <w:rFonts w:cs="Times New Roman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1.8. Абзац двадцатый раздела </w:t>
      </w:r>
      <w:r w:rsidRPr="00002C7E">
        <w:rPr>
          <w:szCs w:val="28"/>
          <w:lang w:val="en-US"/>
        </w:rPr>
        <w:t>VI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«Дополнительное образование по общеразвивающим программам получали более 68 тыс. человек в возрасте от 5 до 18 лет. В 2024 году обучение </w:t>
      </w:r>
      <w:r w:rsidRPr="00002C7E">
        <w:rPr>
          <w:rFonts w:cs="Times New Roman"/>
          <w:szCs w:val="28"/>
        </w:rPr>
        <w:br/>
        <w:t xml:space="preserve">по дополнительным общеразвивающим программам осуществлялось </w:t>
      </w:r>
      <w:r w:rsidRPr="00002C7E">
        <w:rPr>
          <w:rFonts w:cs="Times New Roman"/>
          <w:szCs w:val="28"/>
        </w:rPr>
        <w:br/>
        <w:t>в 80 муниципальных образовательных учреждениях и 19 негосударственных (немуниципальных) организациях, индивидуальных предпринимателей».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1.9. Абзац пятьдесят третий раздела </w:t>
      </w:r>
      <w:r w:rsidRPr="00002C7E">
        <w:rPr>
          <w:szCs w:val="28"/>
          <w:lang w:val="en-US"/>
        </w:rPr>
        <w:t>VI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overflowPunct w:val="0"/>
        <w:autoSpaceDE w:val="0"/>
        <w:autoSpaceDN w:val="0"/>
        <w:ind w:firstLine="709"/>
        <w:textAlignment w:val="baseline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«По итогам 2024 года количество объектов спорта составило 1 079 единиц (единовременная пропускная способность 24 815 человек). Обеспеченность спортивными сооружениями </w:t>
      </w:r>
      <w:r w:rsidRPr="00002C7E">
        <w:rPr>
          <w:rFonts w:eastAsia="Calibri" w:cs="Times New Roman"/>
          <w:szCs w:val="28"/>
        </w:rPr>
        <w:t xml:space="preserve">постоянного населения города в возрасте 3 – 79 лет: </w:t>
      </w:r>
      <w:r w:rsidRPr="00002C7E">
        <w:rPr>
          <w:rFonts w:cs="Times New Roman"/>
          <w:szCs w:val="28"/>
        </w:rPr>
        <w:t xml:space="preserve">49,5% от норматива с учетом численности населения на конец года, 50,9% </w:t>
      </w:r>
      <w:r w:rsidRPr="00002C7E">
        <w:rPr>
          <w:rFonts w:cs="Times New Roman"/>
          <w:szCs w:val="28"/>
        </w:rPr>
        <w:br/>
        <w:t xml:space="preserve">от норматива с учетом численности населения на начало года </w:t>
      </w:r>
      <w:r w:rsidRPr="00002C7E">
        <w:rPr>
          <w:rFonts w:eastAsia="Calibri" w:cs="Times New Roman"/>
          <w:szCs w:val="28"/>
        </w:rPr>
        <w:t>(на 31.12.2023 –45,8%/47,3%)»</w:t>
      </w:r>
      <w:r w:rsidRPr="00002C7E">
        <w:rPr>
          <w:rFonts w:cs="Times New Roman"/>
          <w:szCs w:val="28"/>
        </w:rPr>
        <w:t>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1.10. Абзац двадцать седьмой раздела </w:t>
      </w:r>
      <w:r w:rsidRPr="00002C7E">
        <w:rPr>
          <w:szCs w:val="28"/>
          <w:lang w:val="en-US"/>
        </w:rPr>
        <w:t>VIII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szCs w:val="28"/>
        </w:rPr>
        <w:t>«</w:t>
      </w:r>
      <w:r w:rsidRPr="00002C7E">
        <w:rPr>
          <w:rFonts w:cs="Times New Roman"/>
          <w:szCs w:val="28"/>
        </w:rPr>
        <w:t xml:space="preserve">Основными видами деятельности в структуре занятости предпринимателей </w:t>
      </w:r>
      <w:r w:rsidRPr="00002C7E">
        <w:rPr>
          <w:rFonts w:cs="Times New Roman"/>
          <w:spacing w:val="-4"/>
          <w:szCs w:val="28"/>
        </w:rPr>
        <w:t>города являются торговля (15,6%), оказание</w:t>
      </w:r>
      <w:r w:rsidRPr="00002C7E">
        <w:rPr>
          <w:rFonts w:cs="Times New Roman"/>
          <w:szCs w:val="28"/>
        </w:rPr>
        <w:t xml:space="preserve"> транспортных услуг и услуг связи (12,8%), </w:t>
      </w:r>
      <w:r w:rsidRPr="00002C7E">
        <w:rPr>
          <w:rFonts w:cs="Times New Roman"/>
          <w:spacing w:val="-4"/>
          <w:szCs w:val="28"/>
        </w:rPr>
        <w:t xml:space="preserve">строительство (11,3%), </w:t>
      </w:r>
      <w:r w:rsidRPr="00002C7E">
        <w:rPr>
          <w:rFonts w:cs="Times New Roman"/>
          <w:szCs w:val="28"/>
        </w:rPr>
        <w:t xml:space="preserve">оказание социальных услуг (10,3%), промышленное производство (8,5%), услуги гостиниц и общественное </w:t>
      </w:r>
      <w:r w:rsidRPr="00002C7E">
        <w:rPr>
          <w:rFonts w:cs="Times New Roman"/>
          <w:szCs w:val="28"/>
        </w:rPr>
        <w:br/>
        <w:t>питание (4,3%)</w:t>
      </w:r>
      <w:r w:rsidRPr="00002C7E">
        <w:rPr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1.11. Абзацы четвертый – шестой раздела </w:t>
      </w:r>
      <w:r w:rsidRPr="00002C7E">
        <w:rPr>
          <w:szCs w:val="28"/>
          <w:lang w:val="en-US"/>
        </w:rPr>
        <w:t>IX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  <w:rPr>
          <w:spacing w:val="6"/>
          <w:szCs w:val="28"/>
        </w:rPr>
      </w:pPr>
      <w:r w:rsidRPr="00002C7E">
        <w:rPr>
          <w:szCs w:val="28"/>
        </w:rPr>
        <w:t xml:space="preserve">«Объем потребительского рынка по итогам 2024 года оценивается </w:t>
      </w:r>
      <w:r w:rsidRPr="00002C7E">
        <w:rPr>
          <w:szCs w:val="28"/>
        </w:rPr>
        <w:br/>
        <w:t xml:space="preserve">в размере 239,7 млрд. рублей, что в натуральном выражении (товарной массе) </w:t>
      </w:r>
      <w:r w:rsidRPr="00002C7E">
        <w:rPr>
          <w:spacing w:val="-4"/>
          <w:szCs w:val="28"/>
        </w:rPr>
        <w:t>превысило уровень 2023 года на 10,9% (индекс физического объема к 2023 году –</w:t>
      </w:r>
      <w:r w:rsidRPr="00002C7E">
        <w:rPr>
          <w:szCs w:val="28"/>
        </w:rPr>
        <w:t xml:space="preserve"> 110,9%).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szCs w:val="28"/>
        </w:rPr>
        <w:t>Оборот розничной торговли составил 77,7% от общего объема потребительского рынка (2023 год – 76,1%), оборот общественного питания – 4,2% (4,1%), объем реализации платных услуг населению – 18,1% (19,8%).</w:t>
      </w:r>
    </w:p>
    <w:p w:rsidR="00002C7E" w:rsidRPr="00002C7E" w:rsidRDefault="00002C7E" w:rsidP="00002C7E">
      <w:pPr>
        <w:ind w:firstLine="709"/>
        <w:rPr>
          <w:szCs w:val="28"/>
        </w:rPr>
      </w:pPr>
      <w:r w:rsidRPr="00002C7E">
        <w:rPr>
          <w:szCs w:val="28"/>
        </w:rPr>
        <w:t>По итогам 2024 года к уровню 2023 года по крупным и средним организациям оборот розничной торговли в сопоставимых ценах (товарной массе) возрос на 17,9%, оборот общественного питания – на 26,4%, объем платных услуг населению снизился на 1,4%».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1.12. Абзацы двадцатый – двадцать второй раздела </w:t>
      </w:r>
      <w:r w:rsidRPr="00002C7E">
        <w:rPr>
          <w:szCs w:val="28"/>
          <w:lang w:val="en-US"/>
        </w:rPr>
        <w:t>IX</w:t>
      </w:r>
      <w:r w:rsidRPr="00002C7E">
        <w:rPr>
          <w:szCs w:val="28"/>
        </w:rPr>
        <w:t xml:space="preserve"> изложить </w:t>
      </w:r>
      <w:r w:rsidRPr="00002C7E">
        <w:rPr>
          <w:szCs w:val="28"/>
        </w:rPr>
        <w:br/>
        <w:t>в следующей редакции: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spacing w:val="-6"/>
          <w:szCs w:val="28"/>
        </w:rPr>
        <w:t>«</w:t>
      </w:r>
      <w:r w:rsidRPr="00002C7E">
        <w:rPr>
          <w:szCs w:val="28"/>
        </w:rPr>
        <w:t>За 2024 год м</w:t>
      </w:r>
      <w:r w:rsidRPr="00002C7E">
        <w:rPr>
          <w:rFonts w:cs="Times New Roman"/>
          <w:szCs w:val="28"/>
        </w:rPr>
        <w:t xml:space="preserve">ощность предприятий общественного питания возросла </w:t>
      </w:r>
      <w:r w:rsidRPr="00002C7E">
        <w:rPr>
          <w:rFonts w:cs="Times New Roman"/>
          <w:szCs w:val="28"/>
        </w:rPr>
        <w:br/>
        <w:t>на 1,9%, в том числе общедоступной сети – на 3,6%, стационарных торговых объектов – на 0,7%, предприятий бытового обслуживания – на 0,5%, мощность гостиниц снизилась на 1,5%.</w:t>
      </w:r>
    </w:p>
    <w:p w:rsidR="00002C7E" w:rsidRPr="00002C7E" w:rsidRDefault="00002C7E" w:rsidP="00002C7E">
      <w:pPr>
        <w:ind w:firstLine="709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 xml:space="preserve">Обеспеченность жителей города стационарными торговыми объектами превысила по итогам 2024 года нормативный показатель на 18,9%, в том числе продовольственными магазинами – на 35%, предприятиями общепита общедоступной сети – в 1,5 раза, объектами бытового обслуживания – </w:t>
      </w:r>
      <w:r w:rsidRPr="00002C7E">
        <w:rPr>
          <w:rFonts w:eastAsia="Calibri" w:cs="Times New Roman"/>
          <w:szCs w:val="28"/>
        </w:rPr>
        <w:br/>
        <w:t>на 2%, гостиницами – в 1,7 раза.</w:t>
      </w:r>
    </w:p>
    <w:p w:rsidR="00002C7E" w:rsidRPr="00002C7E" w:rsidRDefault="00002C7E" w:rsidP="00002C7E">
      <w:pPr>
        <w:ind w:firstLine="709"/>
        <w:rPr>
          <w:rFonts w:cs="Times New Roman"/>
          <w:spacing w:val="-4"/>
          <w:szCs w:val="28"/>
        </w:rPr>
      </w:pPr>
      <w:r w:rsidRPr="00002C7E">
        <w:rPr>
          <w:szCs w:val="28"/>
        </w:rPr>
        <w:t>Снижение обеспеченности жителей города объектами потребительского рынка к уровню 2023 года (</w:t>
      </w:r>
      <w:r w:rsidRPr="00002C7E">
        <w:rPr>
          <w:rFonts w:cs="Times New Roman"/>
          <w:spacing w:val="-4"/>
          <w:szCs w:val="28"/>
        </w:rPr>
        <w:t xml:space="preserve">торговыми площадями </w:t>
      </w:r>
      <w:r w:rsidRPr="00002C7E">
        <w:rPr>
          <w:rFonts w:cs="Times New Roman"/>
          <w:szCs w:val="28"/>
        </w:rPr>
        <w:t xml:space="preserve">– </w:t>
      </w:r>
      <w:r w:rsidRPr="00002C7E">
        <w:rPr>
          <w:rFonts w:cs="Times New Roman"/>
          <w:spacing w:val="-4"/>
          <w:szCs w:val="28"/>
        </w:rPr>
        <w:t>на 2,2%, объектами бытового обслуживания – на 2,5%, гостиницами – на 4,3%)</w:t>
      </w:r>
      <w:r w:rsidRPr="00002C7E">
        <w:rPr>
          <w:szCs w:val="28"/>
        </w:rPr>
        <w:t xml:space="preserve"> обусловлено, в основном, опережающими темпами роста численности населения по сравнению с темпами роста инфраструктуры</w:t>
      </w:r>
      <w:r w:rsidRPr="00002C7E">
        <w:rPr>
          <w:rFonts w:cs="Times New Roman"/>
          <w:spacing w:val="-4"/>
          <w:szCs w:val="28"/>
        </w:rPr>
        <w:t>».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1.13. Абзацы четвертый – пятый раздела </w:t>
      </w:r>
      <w:r w:rsidRPr="00002C7E">
        <w:rPr>
          <w:szCs w:val="28"/>
          <w:lang w:val="en-US"/>
        </w:rPr>
        <w:t>X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ind w:firstLine="709"/>
      </w:pPr>
      <w:r w:rsidRPr="00002C7E">
        <w:t xml:space="preserve">«За 2024 год объем инвестиций в основной капитал за счет всех источников финансирования по крупным и средним организациям составил </w:t>
      </w:r>
      <w:r w:rsidRPr="00002C7E">
        <w:br/>
        <w:t xml:space="preserve">85,6 млрд. рублей, что </w:t>
      </w:r>
      <w:r w:rsidRPr="00002C7E">
        <w:rPr>
          <w:bCs/>
        </w:rPr>
        <w:t xml:space="preserve">в сопоставимых ценах превысило уровень 2023 года </w:t>
      </w:r>
      <w:r w:rsidRPr="00002C7E">
        <w:rPr>
          <w:bCs/>
        </w:rPr>
        <w:br/>
      </w:r>
      <w:r w:rsidRPr="00002C7E">
        <w:t>на 38,8%.</w:t>
      </w:r>
    </w:p>
    <w:p w:rsidR="00002C7E" w:rsidRPr="00002C7E" w:rsidRDefault="00002C7E" w:rsidP="00002C7E">
      <w:pP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В общем объеме инвестиций 64,8% – это собственные средства организаций (2023 год – 58,8%), в объеме привлеченных средств доля бюджетных средств – 75,3% (2023 год – 83,1%)». </w:t>
      </w:r>
    </w:p>
    <w:p w:rsidR="00002C7E" w:rsidRPr="00002C7E" w:rsidRDefault="00002C7E" w:rsidP="00002C7E">
      <w:pPr>
        <w:widowControl w:val="0"/>
        <w:autoSpaceDE w:val="0"/>
        <w:autoSpaceDN w:val="0"/>
        <w:adjustRightInd w:val="0"/>
        <w:ind w:firstLine="709"/>
        <w:outlineLvl w:val="0"/>
        <w:rPr>
          <w:szCs w:val="28"/>
        </w:rPr>
      </w:pPr>
      <w:r w:rsidRPr="00002C7E">
        <w:rPr>
          <w:szCs w:val="28"/>
        </w:rPr>
        <w:t xml:space="preserve">1.14. Абзац двадцать первый раздела </w:t>
      </w:r>
      <w:r w:rsidRPr="00002C7E">
        <w:rPr>
          <w:szCs w:val="28"/>
          <w:lang w:val="en-US"/>
        </w:rPr>
        <w:t>XI</w:t>
      </w:r>
      <w:r w:rsidRPr="00002C7E">
        <w:rPr>
          <w:szCs w:val="28"/>
        </w:rPr>
        <w:t xml:space="preserve"> изложить в следующей редакции:</w:t>
      </w:r>
    </w:p>
    <w:p w:rsidR="00002C7E" w:rsidRPr="00002C7E" w:rsidRDefault="00002C7E" w:rsidP="00002C7E">
      <w:pPr>
        <w:widowControl w:val="0"/>
        <w:pBdr>
          <w:top w:val="single" w:sz="4" w:space="0" w:color="FFFFFF"/>
          <w:left w:val="single" w:sz="4" w:space="0" w:color="FFFFFF"/>
          <w:bottom w:val="single" w:sz="4" w:space="0" w:color="FFFFFF"/>
          <w:right w:val="single" w:sz="4" w:space="2" w:color="FFFFFF"/>
        </w:pBd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«Структура доходов бюджета города за 2024 год: налоговые доходы – </w:t>
      </w:r>
      <w:r w:rsidRPr="00002C7E">
        <w:rPr>
          <w:rFonts w:cs="Times New Roman"/>
          <w:szCs w:val="28"/>
        </w:rPr>
        <w:br/>
        <w:t xml:space="preserve">42% (2023 год – 38,1%), в том числе налог на доходы физических лиц – </w:t>
      </w:r>
      <w:r w:rsidRPr="00002C7E">
        <w:rPr>
          <w:rFonts w:cs="Times New Roman"/>
          <w:szCs w:val="28"/>
        </w:rPr>
        <w:br/>
      </w:r>
      <w:r w:rsidRPr="00E306FE">
        <w:rPr>
          <w:rFonts w:cs="Times New Roman"/>
          <w:spacing w:val="-4"/>
          <w:szCs w:val="28"/>
        </w:rPr>
        <w:t>31,2% (28,8%); неналоговые доходы – 2,6% (3,3%); безвозмездные поступления –</w:t>
      </w:r>
      <w:r w:rsidRPr="00002C7E">
        <w:rPr>
          <w:rFonts w:cs="Times New Roman"/>
          <w:szCs w:val="28"/>
        </w:rPr>
        <w:t xml:space="preserve"> 55,4% (58,7%)».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1.15. Таблицу 1 изложить в новой редакции согласно приложению 1 </w:t>
      </w:r>
      <w:r w:rsidRPr="00002C7E">
        <w:rPr>
          <w:szCs w:val="28"/>
        </w:rPr>
        <w:br/>
        <w:t>к настоящему распоряжению.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1.16. Таблицу 4 изложить в новой редакции согласно приложению 2 </w:t>
      </w:r>
      <w:r w:rsidRPr="00002C7E">
        <w:rPr>
          <w:szCs w:val="28"/>
        </w:rPr>
        <w:br/>
        <w:t>к настоящему распоряжению.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1.17. Таблицу 5 изложить в новой редакции согласно приложению 3 </w:t>
      </w:r>
      <w:r w:rsidRPr="00002C7E">
        <w:rPr>
          <w:szCs w:val="28"/>
        </w:rPr>
        <w:br/>
        <w:t>к настоящему распоряжению.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1.18. Таблицу 7 изложить в новой редакции согласно приложению 4 </w:t>
      </w:r>
      <w:r w:rsidRPr="00002C7E">
        <w:rPr>
          <w:szCs w:val="28"/>
        </w:rPr>
        <w:br/>
        <w:t>к настоящему распоряжению.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1.19. Таблицу 10 изложить в новой редакции согласно приложению 5 </w:t>
      </w:r>
      <w:r w:rsidRPr="00002C7E">
        <w:rPr>
          <w:szCs w:val="28"/>
        </w:rPr>
        <w:br/>
        <w:t>к настоящему распоряжению.</w:t>
      </w:r>
    </w:p>
    <w:p w:rsidR="00002C7E" w:rsidRPr="00002C7E" w:rsidRDefault="00002C7E" w:rsidP="00002C7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 xml:space="preserve">1.20. Таблицу 14 изложить в новой редакции согласно приложению 6 </w:t>
      </w:r>
      <w:r w:rsidRPr="00002C7E">
        <w:rPr>
          <w:szCs w:val="28"/>
        </w:rPr>
        <w:br/>
        <w:t>к настоящему распоряжению.</w:t>
      </w:r>
    </w:p>
    <w:p w:rsidR="00E306FE" w:rsidRDefault="00002C7E" w:rsidP="00E306F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szCs w:val="28"/>
        </w:rPr>
      </w:pPr>
      <w:r w:rsidRPr="00002C7E">
        <w:rPr>
          <w:szCs w:val="28"/>
        </w:rPr>
        <w:t>1.21. Рисунки 2, 3, 6, 9, 11, 13, 15, 19, 20, 21, 22, 23 изложить в новой редакции согласно приложению 7 к настоящему распоряжению.</w:t>
      </w:r>
    </w:p>
    <w:p w:rsidR="00E306FE" w:rsidRDefault="00002C7E" w:rsidP="00E306F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 xml:space="preserve">2. Комитету информационной политики обнародовать (разместить) настоящее распоряжение на официальном портале Администрации города: www.admsurgut.ru. </w:t>
      </w:r>
    </w:p>
    <w:p w:rsidR="00E306FE" w:rsidRDefault="00002C7E" w:rsidP="00E306FE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3. Муниципальному казенному учреждению «Наш город» обнародовать (разместить) настоящее распоряжение в сетевом издании «Официальные документы города Сургута»: DOCSURGUT.RU.</w:t>
      </w:r>
    </w:p>
    <w:p w:rsidR="00646B76" w:rsidRDefault="00002C7E" w:rsidP="00646B76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>4. Настоящее распоряжение вступает в силу с момента его издания.</w:t>
      </w:r>
    </w:p>
    <w:p w:rsidR="00646B76" w:rsidRPr="00646B76" w:rsidRDefault="00002C7E" w:rsidP="00646B76">
      <w:pPr>
        <w:pBdr>
          <w:top w:val="single" w:sz="4" w:space="0" w:color="FFFFFF"/>
          <w:left w:val="single" w:sz="4" w:space="0" w:color="FFFFFF"/>
          <w:bottom w:val="single" w:sz="4" w:space="7" w:color="FFFFFF"/>
          <w:right w:val="single" w:sz="4" w:space="2" w:color="FFFFFF"/>
        </w:pBdr>
        <w:ind w:firstLine="709"/>
        <w:rPr>
          <w:rFonts w:eastAsia="Calibri" w:cs="Times New Roman"/>
          <w:szCs w:val="28"/>
          <w:lang w:eastAsia="ru-RU"/>
        </w:rPr>
      </w:pPr>
      <w:r w:rsidRPr="00002C7E">
        <w:rPr>
          <w:rFonts w:cs="Times New Roman"/>
          <w:szCs w:val="28"/>
        </w:rPr>
        <w:t xml:space="preserve">5. </w:t>
      </w:r>
      <w:r w:rsidRPr="00002C7E">
        <w:rPr>
          <w:szCs w:val="28"/>
        </w:rPr>
        <w:t xml:space="preserve">Контроль за выполнением распоряжения </w:t>
      </w:r>
      <w:r w:rsidR="00646B76" w:rsidRPr="00646B76">
        <w:rPr>
          <w:rFonts w:eastAsia="Calibri" w:cs="Times New Roman"/>
          <w:szCs w:val="28"/>
          <w:lang w:eastAsia="ru-RU"/>
        </w:rPr>
        <w:t>возложить на заместителя Главы города, курирующего сферу экономики.</w:t>
      </w:r>
    </w:p>
    <w:p w:rsidR="00002C7E" w:rsidRPr="00002C7E" w:rsidRDefault="00002C7E" w:rsidP="00002C7E">
      <w:pPr>
        <w:autoSpaceDE w:val="0"/>
        <w:autoSpaceDN w:val="0"/>
        <w:adjustRightInd w:val="0"/>
        <w:rPr>
          <w:szCs w:val="28"/>
        </w:rPr>
      </w:pPr>
    </w:p>
    <w:p w:rsidR="00002C7E" w:rsidRPr="00002C7E" w:rsidRDefault="00002C7E" w:rsidP="00002C7E">
      <w:pPr>
        <w:rPr>
          <w:rFonts w:cs="Times New Roman"/>
          <w:szCs w:val="28"/>
        </w:rPr>
      </w:pPr>
    </w:p>
    <w:p w:rsidR="00002C7E" w:rsidRPr="00002C7E" w:rsidRDefault="00002C7E" w:rsidP="00002C7E">
      <w:pPr>
        <w:rPr>
          <w:rFonts w:cs="Times New Roman"/>
          <w:szCs w:val="28"/>
        </w:rPr>
      </w:pPr>
    </w:p>
    <w:p w:rsidR="00002C7E" w:rsidRPr="00002C7E" w:rsidRDefault="00002C7E" w:rsidP="00002C7E">
      <w:pPr>
        <w:autoSpaceDE w:val="0"/>
        <w:autoSpaceDN w:val="0"/>
        <w:adjustRightInd w:val="0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Заместитель Главы города               </w:t>
      </w:r>
      <w:r w:rsidR="00646B76">
        <w:rPr>
          <w:rFonts w:cs="Times New Roman"/>
          <w:bCs/>
          <w:szCs w:val="28"/>
        </w:rPr>
        <w:t xml:space="preserve">      </w:t>
      </w:r>
      <w:r w:rsidRPr="00002C7E">
        <w:rPr>
          <w:rFonts w:cs="Times New Roman"/>
          <w:bCs/>
          <w:szCs w:val="28"/>
        </w:rPr>
        <w:t xml:space="preserve">          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 xml:space="preserve">                 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 xml:space="preserve">                  </w:t>
      </w:r>
      <w:r w:rsidR="00646B76">
        <w:rPr>
          <w:rFonts w:cs="Times New Roman"/>
          <w:bCs/>
          <w:szCs w:val="28"/>
        </w:rPr>
        <w:t>И</w:t>
      </w:r>
      <w:r w:rsidRPr="00002C7E">
        <w:rPr>
          <w:rFonts w:cs="Times New Roman"/>
          <w:bCs/>
          <w:szCs w:val="28"/>
        </w:rPr>
        <w:t>.</w:t>
      </w:r>
      <w:r w:rsidR="00646B76">
        <w:rPr>
          <w:rFonts w:cs="Times New Roman"/>
          <w:bCs/>
          <w:szCs w:val="28"/>
        </w:rPr>
        <w:t>В</w:t>
      </w:r>
      <w:r w:rsidRPr="00002C7E">
        <w:rPr>
          <w:rFonts w:cs="Times New Roman"/>
          <w:bCs/>
          <w:szCs w:val="28"/>
        </w:rPr>
        <w:t xml:space="preserve">. </w:t>
      </w:r>
      <w:r w:rsidR="00646B76">
        <w:rPr>
          <w:rFonts w:cs="Times New Roman"/>
          <w:bCs/>
          <w:szCs w:val="28"/>
        </w:rPr>
        <w:t>Пустовая</w:t>
      </w:r>
    </w:p>
    <w:p w:rsidR="00002C7E" w:rsidRPr="00002C7E" w:rsidRDefault="00002C7E" w:rsidP="00002C7E">
      <w:pPr>
        <w:autoSpaceDE w:val="0"/>
        <w:autoSpaceDN w:val="0"/>
        <w:adjustRightInd w:val="0"/>
        <w:jc w:val="left"/>
        <w:rPr>
          <w:rFonts w:cs="Times New Roman"/>
          <w:bCs/>
          <w:szCs w:val="28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bookmarkStart w:id="5" w:name="sub_1000"/>
      <w:r w:rsidRPr="00002C7E">
        <w:rPr>
          <w:rFonts w:cs="Times New Roman"/>
          <w:bCs/>
          <w:szCs w:val="28"/>
        </w:rPr>
        <w:t>Приложение 1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_______</w:t>
      </w:r>
      <w:r>
        <w:rPr>
          <w:rFonts w:cs="Times New Roman"/>
          <w:bCs/>
          <w:szCs w:val="28"/>
        </w:rPr>
        <w:t>___</w:t>
      </w:r>
      <w:r w:rsidRPr="00002C7E">
        <w:rPr>
          <w:rFonts w:cs="Times New Roman"/>
          <w:bCs/>
          <w:szCs w:val="28"/>
        </w:rPr>
        <w:t>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bookmarkEnd w:id="5"/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________</w:t>
      </w:r>
    </w:p>
    <w:p w:rsidR="00002C7E" w:rsidRPr="00002C7E" w:rsidRDefault="00002C7E" w:rsidP="00002C7E">
      <w:pPr>
        <w:ind w:firstLine="6663"/>
        <w:jc w:val="right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Таблица 1</w:t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Основные показатели социально-экономического развития</w:t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муниципального образования городской округ Сургут Ханты-Мансийского автономного округа – Югры за 2024 год</w:t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559"/>
        <w:gridCol w:w="1276"/>
        <w:gridCol w:w="1134"/>
        <w:gridCol w:w="1275"/>
      </w:tblGrid>
      <w:tr w:rsidR="00002C7E" w:rsidRPr="00002C7E" w:rsidTr="00002C7E">
        <w:trPr>
          <w:trHeight w:val="579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измерения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2023 год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31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2024 год </w:t>
            </w:r>
          </w:p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2023 году, %</w:t>
            </w:r>
          </w:p>
        </w:tc>
      </w:tr>
      <w:tr w:rsidR="00002C7E" w:rsidRPr="00002C7E" w:rsidTr="00002C7E">
        <w:trPr>
          <w:trHeight w:val="149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 Население</w:t>
            </w:r>
          </w:p>
        </w:tc>
      </w:tr>
      <w:tr w:rsidR="00002C7E" w:rsidRPr="00002C7E" w:rsidTr="00002C7E">
        <w:trPr>
          <w:trHeight w:val="14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1.1.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постоянного населения:</w:t>
            </w:r>
          </w:p>
        </w:tc>
      </w:tr>
      <w:tr w:rsidR="00002C7E" w:rsidRPr="00002C7E" w:rsidTr="00002C7E">
        <w:trPr>
          <w:trHeight w:val="243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406,9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420,3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103,3</w:t>
            </w:r>
          </w:p>
        </w:tc>
      </w:tr>
      <w:tr w:rsidR="00002C7E" w:rsidRPr="00002C7E" w:rsidTr="00002C7E">
        <w:trPr>
          <w:trHeight w:val="13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конец года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420,3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432,9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103,0</w:t>
            </w:r>
          </w:p>
        </w:tc>
      </w:tr>
      <w:tr w:rsidR="00002C7E" w:rsidRPr="00002C7E" w:rsidTr="00002C7E">
        <w:trPr>
          <w:trHeight w:val="18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среднегодовая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413,6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426,6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103,1</w:t>
            </w:r>
          </w:p>
        </w:tc>
      </w:tr>
      <w:tr w:rsidR="00002C7E" w:rsidRPr="00002C7E" w:rsidTr="00002C7E">
        <w:trPr>
          <w:trHeight w:val="8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1.2. Естественный прирост населения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102,3</w:t>
            </w:r>
          </w:p>
        </w:tc>
      </w:tr>
      <w:tr w:rsidR="00002C7E" w:rsidRPr="00002C7E" w:rsidTr="00002C7E">
        <w:trPr>
          <w:trHeight w:val="13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1.3. Миграционный прирост населения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90,4</w:t>
            </w:r>
          </w:p>
        </w:tc>
      </w:tr>
      <w:tr w:rsidR="00002C7E" w:rsidRPr="00002C7E" w:rsidTr="00002C7E">
        <w:trPr>
          <w:trHeight w:val="7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Коэффициент (на 1 000 человек):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естественного прироста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E306FE" w:rsidRDefault="00002C7E" w:rsidP="00002C7E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06F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99,2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рождаемости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E306FE" w:rsidRDefault="00002C7E" w:rsidP="00002C7E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06F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99,3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смертности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E306FE" w:rsidRDefault="00002C7E" w:rsidP="00002C7E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06F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99,6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миграционного прироста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E306FE" w:rsidRDefault="00002C7E" w:rsidP="00002C7E">
            <w:pPr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E306FE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24,2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87,6</w:t>
            </w:r>
          </w:p>
        </w:tc>
      </w:tr>
      <w:tr w:rsidR="00002C7E" w:rsidRPr="00002C7E" w:rsidTr="00002C7E">
        <w:trPr>
          <w:trHeight w:val="30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1.4. Удельный вес возрастных групп в общей численности постоянного населения (на конец года) с учетом изменения границ трудоспособного возраста (на 5 лет)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002C7E" w:rsidRPr="00002C7E" w:rsidTr="00002C7E">
        <w:trPr>
          <w:trHeight w:val="198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моложе трудоспособного возраста (0 – 15 лет)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22,76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22,72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24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трудоспособном возрасте (16 – 59/64 года)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64,27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64,56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E306FE">
        <w:trPr>
          <w:trHeight w:val="13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E306FE">
            <w:pPr>
              <w:ind w:right="-105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старше трудоспособного возраста (от 60/65 лет)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12,97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12,72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1.5. Коэффициент демографической нагрузки на 1 000 человек трудоспособного возраста (на конец года) 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 учетом изменения границ трудоспособного возраста (на 5 лет)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:</w:t>
            </w:r>
          </w:p>
        </w:tc>
      </w:tr>
      <w:tr w:rsidR="00002C7E" w:rsidRPr="00002C7E" w:rsidTr="00002C7E">
        <w:trPr>
          <w:trHeight w:val="19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детьми (0 – 15 лет)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354,1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352,0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99,4</w:t>
            </w:r>
          </w:p>
        </w:tc>
      </w:tr>
      <w:tr w:rsidR="00002C7E" w:rsidRPr="00002C7E" w:rsidTr="00002C7E">
        <w:trPr>
          <w:trHeight w:val="23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пожилыми (от 60/65 лет)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201,9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197,0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97,6</w:t>
            </w:r>
          </w:p>
        </w:tc>
      </w:tr>
      <w:tr w:rsidR="00002C7E" w:rsidRPr="00002C7E" w:rsidTr="00002C7E">
        <w:trPr>
          <w:trHeight w:val="12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общей нагрузки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555,9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549,0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98,8</w:t>
            </w:r>
          </w:p>
        </w:tc>
      </w:tr>
      <w:tr w:rsidR="00002C7E" w:rsidRPr="00002C7E" w:rsidTr="00002C7E">
        <w:trPr>
          <w:trHeight w:val="158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1.6. Средний возраст населения (на конец года)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лет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35,6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35,3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99,3</w:t>
            </w:r>
          </w:p>
        </w:tc>
      </w:tr>
      <w:tr w:rsidR="00002C7E" w:rsidRPr="00002C7E" w:rsidTr="00E306FE">
        <w:trPr>
          <w:trHeight w:val="14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E306FE">
            <w:pPr>
              <w:ind w:right="-105"/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1.7. Численность детей на конец года (0 – 17 лет)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109,0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103,4</w:t>
            </w:r>
          </w:p>
        </w:tc>
      </w:tr>
      <w:tr w:rsidR="00002C7E" w:rsidRPr="00002C7E" w:rsidTr="00002C7E">
        <w:trPr>
          <w:trHeight w:val="167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1.8. Численность пенсионеров на конец года,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107,7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102,9</w:t>
            </w:r>
          </w:p>
        </w:tc>
      </w:tr>
      <w:tr w:rsidR="00002C7E" w:rsidRPr="00002C7E" w:rsidTr="00002C7E">
        <w:trPr>
          <w:trHeight w:val="21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 пенсионеров по старости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91,0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93,4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002C7E" w:rsidRPr="00002C7E" w:rsidTr="00002C7E">
        <w:trPr>
          <w:trHeight w:val="26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 Денежные доходы населения</w:t>
            </w:r>
          </w:p>
        </w:tc>
      </w:tr>
      <w:tr w:rsidR="00002C7E" w:rsidRPr="00002C7E" w:rsidTr="00002C7E">
        <w:trPr>
          <w:trHeight w:val="40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2.1. Среднедушевые денежные доходы населения (в месяц)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71 223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79 265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111,3</w:t>
            </w:r>
          </w:p>
        </w:tc>
      </w:tr>
      <w:tr w:rsidR="00002C7E" w:rsidRPr="00002C7E" w:rsidTr="00002C7E">
        <w:trPr>
          <w:trHeight w:val="227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2.2. Среднедушевые располагаемые денежные доходы населения (в месяц)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62 178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69 207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111,3</w:t>
            </w:r>
          </w:p>
        </w:tc>
      </w:tr>
      <w:tr w:rsidR="00002C7E" w:rsidRPr="00002C7E" w:rsidTr="00002C7E">
        <w:trPr>
          <w:trHeight w:val="603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2.3. Среднемесячная номинальная начисленная заработная плата работников крупных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средних организаций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126 144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140 880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111,7</w:t>
            </w:r>
          </w:p>
        </w:tc>
      </w:tr>
      <w:tr w:rsidR="00002C7E" w:rsidRPr="00002C7E" w:rsidTr="00002C7E">
        <w:trPr>
          <w:trHeight w:val="471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2.4. Средний размер назначенных страховых пенсий по старости (в месяц)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30 148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32 241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106,9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2.5. Потребительские расходы на душу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руб.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490,3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561,8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114,6</w:t>
            </w:r>
          </w:p>
        </w:tc>
      </w:tr>
      <w:tr w:rsidR="00002C7E" w:rsidRPr="00002C7E" w:rsidTr="00E306FE">
        <w:trPr>
          <w:trHeight w:val="123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 Социальные индикаторы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2.6.1. Индекс потребительских цен в среднем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за год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102,31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107,05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253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2.6.2. Индекс потребительских цен на конец года</w:t>
            </w:r>
          </w:p>
        </w:tc>
        <w:tc>
          <w:tcPr>
            <w:tcW w:w="1559" w:type="dxa"/>
            <w:shd w:val="clear" w:color="auto" w:fill="auto"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декабрю предыдущего года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104,62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107,91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48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2.6.3. Реальные денежные доходы населения (Индекс роста реального среднедушевого денежного дохода населения)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5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2.6.4. Реальные располагаемые денежные доходы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51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2.6.5. Реальная заработная плата  работников организаций (по крупным и средним организациям)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1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2.6.6. Реальный размер назначенных страховых пенсий по старости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99,9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51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2.7. Соотношение среднедушевых денежных доходов населения с величиной прожиточного минимума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362,5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387,9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107,0</w:t>
            </w:r>
          </w:p>
        </w:tc>
      </w:tr>
      <w:tr w:rsidR="00002C7E" w:rsidRPr="00002C7E" w:rsidTr="00002C7E">
        <w:trPr>
          <w:trHeight w:val="103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2.8. Соотношение среднемесячной номинальной начисленной заработной платы работников крупных и средних организаций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 величиной прожиточного минимума трудоспособного населения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589,0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632,5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107,4</w:t>
            </w:r>
          </w:p>
        </w:tc>
      </w:tr>
      <w:tr w:rsidR="00002C7E" w:rsidRPr="00002C7E" w:rsidTr="00002C7E">
        <w:trPr>
          <w:trHeight w:val="76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2.9. Соотношение среднего размера назначенных страховых пенсий по старости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с величиной прожиточного минимума пенсионера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177,9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182,9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102,8</w:t>
            </w:r>
          </w:p>
        </w:tc>
      </w:tr>
      <w:tr w:rsidR="00002C7E" w:rsidRPr="00002C7E" w:rsidTr="00002C7E">
        <w:trPr>
          <w:trHeight w:val="7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 Труд и занятость</w:t>
            </w:r>
          </w:p>
        </w:tc>
      </w:tr>
      <w:tr w:rsidR="00002C7E" w:rsidRPr="00002C7E" w:rsidTr="00002C7E">
        <w:trPr>
          <w:trHeight w:val="35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3.1. Среднегодовая численность экономически активного населения (рабочей силы)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202,3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219,0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</w:tr>
      <w:tr w:rsidR="00002C7E" w:rsidRPr="00002C7E" w:rsidTr="00002C7E">
        <w:trPr>
          <w:trHeight w:val="31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3.2. Среднегодовая численность занятых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экономике на территории города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192,6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209,4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108,7</w:t>
            </w:r>
          </w:p>
        </w:tc>
      </w:tr>
      <w:tr w:rsidR="00002C7E" w:rsidRPr="00002C7E" w:rsidTr="00002C7E">
        <w:trPr>
          <w:trHeight w:val="278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3.3. Среднесписочная численность работников крупных и средних организаций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114,0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120,1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105,3</w:t>
            </w:r>
          </w:p>
        </w:tc>
      </w:tr>
      <w:tr w:rsidR="00002C7E" w:rsidRPr="00002C7E" w:rsidTr="00002C7E">
        <w:trPr>
          <w:trHeight w:val="76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3.4. Численность безработных, зарегистрированных в государственных учреждениях службы занятости населения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(на конец года)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0,308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65,9</w:t>
            </w:r>
          </w:p>
        </w:tc>
      </w:tr>
      <w:tr w:rsidR="00002C7E" w:rsidRPr="00002C7E" w:rsidTr="00002C7E">
        <w:trPr>
          <w:trHeight w:val="28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3.5. Уровень зарегистрированной безработицы (на конец года)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0,15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531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3.6. Доля численности занятых в экономике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численности экономически активного населения (рабочей силы)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95,6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102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 Промышленное производство</w:t>
            </w:r>
          </w:p>
        </w:tc>
      </w:tr>
      <w:tr w:rsidR="00002C7E" w:rsidRPr="00002C7E" w:rsidTr="00002C7E">
        <w:trPr>
          <w:trHeight w:val="85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4.1. Объем отгруженных товаров собственного производства, выполненных работ и услуг собственными силами в ценах соответствующих лет по крупным и средним организациям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1 045 669,6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1 168 784,6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111,8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92,0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97,1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105,8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115,1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982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4.1.1. Объем отгруженных товаров собственного производства, выполненных работ и услуг собственными силами в ценах соответствующих лет по крупным и средним производителям промышленной продукции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820 149,6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936 848,3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114,2</w:t>
            </w:r>
          </w:p>
        </w:tc>
      </w:tr>
      <w:tr w:rsidR="00002C7E" w:rsidRPr="00002C7E" w:rsidTr="00002C7E">
        <w:trPr>
          <w:trHeight w:val="92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90,9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97,5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4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117,1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E306FE">
        <w:trPr>
          <w:trHeight w:val="106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том числе по видам экономической деятельности:</w:t>
            </w:r>
          </w:p>
        </w:tc>
      </w:tr>
      <w:tr w:rsidR="00002C7E" w:rsidRPr="00002C7E" w:rsidTr="00002C7E">
        <w:trPr>
          <w:trHeight w:val="147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4.1.1.1. Добыча полезных ископаемых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11 746,0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23 318,7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198,5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72,8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190,6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157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168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4.1.1.2. Обрабатывающие производства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711 683,6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808 740,0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113,6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89,7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95,4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119,1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7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4.1.1.3. Обеспечение электрической энергией, газом и паром; кондиционирование воздуха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90 194,0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98 087,3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108,8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104,2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101,6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629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4.1.1.4. Водоснабжение; водоотведение, организация сбора и утилизации отходов, деятельность по ликвидации загрязнений 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6 526,0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6 702,3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102,7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96,3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4.2. Производство основных видов промышленной продукции в натуральном выражении по крупным 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                        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производителям:</w:t>
            </w:r>
          </w:p>
        </w:tc>
      </w:tr>
      <w:tr w:rsidR="00002C7E" w:rsidRPr="00002C7E" w:rsidTr="00002C7E">
        <w:trPr>
          <w:trHeight w:val="161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электроэнергия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квт-ч.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47 805,0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46 868,5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98,0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теплоэнергия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Гкал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3 728,8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3 824,6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102,6</w:t>
            </w:r>
          </w:p>
        </w:tc>
      </w:tr>
      <w:tr w:rsidR="00002C7E" w:rsidRPr="00002C7E" w:rsidTr="00002C7E">
        <w:trPr>
          <w:trHeight w:val="112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конструкции и детали железобетонные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куб. м.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120,8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110,6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91,6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хлеб и хлебобулочные изделия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8 633,0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7 783,6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90,2</w:t>
            </w:r>
          </w:p>
        </w:tc>
      </w:tr>
      <w:tr w:rsidR="00002C7E" w:rsidRPr="00002C7E" w:rsidTr="00002C7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мясные полуфабрикаты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1 071,0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1 222,4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114,1</w:t>
            </w:r>
          </w:p>
        </w:tc>
      </w:tr>
      <w:tr w:rsidR="00002C7E" w:rsidRPr="00002C7E" w:rsidTr="00002C7E">
        <w:trPr>
          <w:trHeight w:val="108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5. Малое предпринимательство</w:t>
            </w:r>
          </w:p>
        </w:tc>
      </w:tr>
      <w:tr w:rsidR="00002C7E" w:rsidRPr="00002C7E" w:rsidTr="00002C7E">
        <w:trPr>
          <w:trHeight w:val="14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5.1. Оборот (товаров, работ, услуг) субъектов малого предпринимательства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236 918,2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257 232,8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108,6</w:t>
            </w:r>
          </w:p>
        </w:tc>
      </w:tr>
      <w:tr w:rsidR="00002C7E" w:rsidRPr="00002C7E" w:rsidTr="00002C7E">
        <w:trPr>
          <w:trHeight w:val="104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115,0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101,5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102,1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147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5.2. Численность занятых в малом бизнесе, включая индивидуальных предпринимателей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самозанятых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78,5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89,3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113,7</w:t>
            </w:r>
          </w:p>
        </w:tc>
      </w:tr>
      <w:tr w:rsidR="00002C7E" w:rsidRPr="00002C7E" w:rsidTr="00002C7E">
        <w:trPr>
          <w:trHeight w:val="51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5.3. Доля занятых в малом бизнесе в общей численности занятых в экономике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40,8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42,6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</w:tbl>
    <w:p w:rsidR="00E306FE" w:rsidRDefault="00E306FE"/>
    <w:p w:rsidR="00E306FE" w:rsidRDefault="00E306FE"/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1559"/>
        <w:gridCol w:w="1276"/>
        <w:gridCol w:w="1134"/>
        <w:gridCol w:w="1275"/>
      </w:tblGrid>
      <w:tr w:rsidR="00002C7E" w:rsidRPr="00002C7E" w:rsidTr="00002C7E">
        <w:trPr>
          <w:trHeight w:val="87"/>
        </w:trPr>
        <w:tc>
          <w:tcPr>
            <w:tcW w:w="9634" w:type="dxa"/>
            <w:gridSpan w:val="5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6. Торговля и услуги населению</w:t>
            </w:r>
          </w:p>
        </w:tc>
      </w:tr>
      <w:tr w:rsidR="00002C7E" w:rsidRPr="00002C7E" w:rsidTr="00002C7E">
        <w:trPr>
          <w:trHeight w:val="416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6.1. Оборот розничной торговли в ценах соответствующих лет по крупным и средним организациям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96 998,2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121 339,8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125,1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106,9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117,9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100,6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461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6.2. Оборот общественного питания в ценах соответствующих лет по крупным и средним организациям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5 944,4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7 819,8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131,5</w:t>
            </w:r>
          </w:p>
        </w:tc>
      </w:tr>
      <w:tr w:rsidR="00002C7E" w:rsidRPr="00002C7E" w:rsidTr="00002C7E">
        <w:trPr>
          <w:trHeight w:val="173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130,0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126,4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103,5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572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6.3. Объем платных услуг населению в ценах соответствующих лет по крупным и средним организациям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29 079,8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31 344,6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107,8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97,8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109,3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212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7. Строительство</w:t>
            </w:r>
          </w:p>
        </w:tc>
      </w:tr>
      <w:tr w:rsidR="00002C7E" w:rsidRPr="00002C7E" w:rsidTr="00002C7E">
        <w:trPr>
          <w:trHeight w:val="683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7.1. Объем работ, выполненных по виду экономической деятельности «Строительство»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ценах соответствующих лет по крупным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организациям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46 790,8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58 176,6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124,3</w:t>
            </w:r>
          </w:p>
        </w:tc>
      </w:tr>
      <w:tr w:rsidR="00002C7E" w:rsidRPr="00002C7E" w:rsidTr="00002C7E">
        <w:trPr>
          <w:trHeight w:val="172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118,4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116,0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107,2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E306FE">
        <w:trPr>
          <w:trHeight w:val="7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7.2. Объем жилищного строительства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192,3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331,1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172,2</w:t>
            </w:r>
          </w:p>
        </w:tc>
      </w:tr>
      <w:tr w:rsidR="00002C7E" w:rsidRPr="00002C7E" w:rsidTr="00E306FE">
        <w:trPr>
          <w:trHeight w:val="36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7.3. Общая площадь жилых помещений, приходящаяся в среднем на одного жителя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21,5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100,4</w:t>
            </w:r>
          </w:p>
        </w:tc>
      </w:tr>
      <w:tr w:rsidR="00002C7E" w:rsidRPr="00002C7E" w:rsidTr="00002C7E">
        <w:trPr>
          <w:trHeight w:val="112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8. Инвестиции</w:t>
            </w:r>
          </w:p>
        </w:tc>
      </w:tr>
      <w:tr w:rsidR="00002C7E" w:rsidRPr="00002C7E" w:rsidTr="00002C7E">
        <w:trPr>
          <w:trHeight w:val="76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8.1. Объем инвестиций в основной капитал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за счет всех источников финансирования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ценах соответствующих лет по крупным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средним организациям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57 749,2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85 552,7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148,1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физического объема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126,7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138,8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30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И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ндекс цен 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% </w:t>
            </w:r>
          </w:p>
          <w:p w:rsidR="00002C7E" w:rsidRPr="00002C7E" w:rsidRDefault="00002C7E" w:rsidP="00002C7E">
            <w:pPr>
              <w:ind w:left="-104" w:right="-10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 предыдущему году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002C7E" w:rsidRPr="00002C7E" w:rsidTr="00002C7E">
        <w:trPr>
          <w:trHeight w:val="114"/>
        </w:trPr>
        <w:tc>
          <w:tcPr>
            <w:tcW w:w="9634" w:type="dxa"/>
            <w:gridSpan w:val="5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9. Финансы организаций</w:t>
            </w:r>
          </w:p>
        </w:tc>
      </w:tr>
      <w:tr w:rsidR="00002C7E" w:rsidRPr="00002C7E" w:rsidTr="00002C7E">
        <w:trPr>
          <w:trHeight w:val="127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9.1. Поступление налогов и сборов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в консолидированный бюджет Российской Федерации (за исключением налогов на товары, налогов, сборов и регулярных платежей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за пользование природными ресурсами)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109 989,4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206 726,2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188,0</w:t>
            </w:r>
          </w:p>
        </w:tc>
      </w:tr>
      <w:tr w:rsidR="00002C7E" w:rsidRPr="00002C7E" w:rsidTr="00002C7E">
        <w:trPr>
          <w:trHeight w:val="765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9.2. Сальдированный финансовый результат (прибыль минус убыток) крупных и средних организаций по всем видам экономической деятельности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1 623 340,0</w:t>
            </w:r>
          </w:p>
        </w:tc>
        <w:tc>
          <w:tcPr>
            <w:tcW w:w="1134" w:type="dxa"/>
            <w:shd w:val="clear" w:color="auto" w:fill="auto"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1 365 401,6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84,1</w:t>
            </w:r>
          </w:p>
        </w:tc>
      </w:tr>
      <w:tr w:rsidR="00002C7E" w:rsidRPr="00002C7E" w:rsidTr="00002C7E">
        <w:trPr>
          <w:trHeight w:val="510"/>
        </w:trPr>
        <w:tc>
          <w:tcPr>
            <w:tcW w:w="4390" w:type="dxa"/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9.3. Фонд заработной платы (фонд оплаты труда) работников крупных и средних организаций</w:t>
            </w:r>
          </w:p>
        </w:tc>
        <w:tc>
          <w:tcPr>
            <w:tcW w:w="1559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руб.</w:t>
            </w:r>
          </w:p>
        </w:tc>
        <w:tc>
          <w:tcPr>
            <w:tcW w:w="1276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172 581,1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173" w:right="-114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203 027,8</w:t>
            </w:r>
          </w:p>
        </w:tc>
        <w:tc>
          <w:tcPr>
            <w:tcW w:w="1275" w:type="dxa"/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117,6</w:t>
            </w:r>
          </w:p>
        </w:tc>
      </w:tr>
    </w:tbl>
    <w:p w:rsidR="00002C7E" w:rsidRPr="00002C7E" w:rsidRDefault="00002C7E" w:rsidP="00002C7E">
      <w:pPr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002C7E" w:rsidRPr="00002C7E" w:rsidRDefault="00002C7E" w:rsidP="00002C7E">
      <w:pPr>
        <w:ind w:firstLine="709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>Примечание:</w:t>
      </w:r>
    </w:p>
    <w:p w:rsidR="00002C7E" w:rsidRPr="00002C7E" w:rsidRDefault="00002C7E" w:rsidP="00002C7E">
      <w:pPr>
        <w:ind w:firstLine="709"/>
        <w:rPr>
          <w:rFonts w:eastAsia="Calibri" w:cs="Times New Roman"/>
          <w:szCs w:val="28"/>
        </w:rPr>
      </w:pPr>
      <w:r w:rsidRPr="00002C7E">
        <w:rPr>
          <w:rFonts w:eastAsia="Times New Roman" w:cs="Times New Roman"/>
          <w:szCs w:val="28"/>
          <w:vertAlign w:val="superscript"/>
          <w:lang w:eastAsia="ru-RU"/>
        </w:rPr>
        <w:t>1</w:t>
      </w:r>
      <w:r w:rsidRPr="00002C7E">
        <w:rPr>
          <w:rFonts w:eastAsia="Times New Roman" w:cs="Times New Roman"/>
          <w:szCs w:val="28"/>
          <w:lang w:eastAsia="ru-RU"/>
        </w:rPr>
        <w:t xml:space="preserve"> – данные за 2024 год предварительные (в соответствии с распоряжением Правительства Российской Федерации в отношении информации о численности населения, движении населения, возрастно-половом составе населения принято решение о временном приостановлении ее предоставления и распространения).</w:t>
      </w:r>
    </w:p>
    <w:p w:rsidR="00002C7E" w:rsidRPr="00002C7E" w:rsidRDefault="00002C7E" w:rsidP="00002C7E">
      <w:pPr>
        <w:spacing w:after="160" w:line="259" w:lineRule="auto"/>
        <w:ind w:firstLine="709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2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_______</w:t>
      </w:r>
      <w:r>
        <w:rPr>
          <w:rFonts w:cs="Times New Roman"/>
          <w:bCs/>
          <w:szCs w:val="28"/>
        </w:rPr>
        <w:t>___</w:t>
      </w:r>
      <w:r w:rsidRPr="00002C7E">
        <w:rPr>
          <w:rFonts w:cs="Times New Roman"/>
          <w:bCs/>
          <w:szCs w:val="28"/>
        </w:rPr>
        <w:t>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</w:t>
      </w:r>
      <w:r>
        <w:rPr>
          <w:rFonts w:cs="Times New Roman"/>
          <w:bCs/>
          <w:szCs w:val="28"/>
        </w:rPr>
        <w:t>__</w:t>
      </w:r>
      <w:r w:rsidRPr="00002C7E">
        <w:rPr>
          <w:rFonts w:cs="Times New Roman"/>
          <w:bCs/>
          <w:szCs w:val="28"/>
        </w:rPr>
        <w:t>___</w:t>
      </w:r>
    </w:p>
    <w:p w:rsid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Таблица 4</w:t>
      </w:r>
    </w:p>
    <w:p w:rsidR="00002C7E" w:rsidRPr="00002C7E" w:rsidRDefault="00002C7E" w:rsidP="00002C7E">
      <w:pPr>
        <w:rPr>
          <w:rFonts w:eastAsia="Calibri" w:cs="Times New Roman"/>
          <w:szCs w:val="28"/>
        </w:rPr>
      </w:pPr>
    </w:p>
    <w:p w:rsidR="00002C7E" w:rsidRPr="00002C7E" w:rsidRDefault="00002C7E" w:rsidP="00002C7E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>Информация о достижении целевых показателей,</w:t>
      </w:r>
    </w:p>
    <w:p w:rsidR="00002C7E" w:rsidRPr="00002C7E" w:rsidRDefault="00002C7E" w:rsidP="00002C7E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>предусмотренных указами Президента Российской Федерации,</w:t>
      </w:r>
    </w:p>
    <w:p w:rsidR="00002C7E" w:rsidRPr="00002C7E" w:rsidRDefault="00002C7E" w:rsidP="00002C7E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  <w:r w:rsidRPr="00002C7E">
        <w:rPr>
          <w:rFonts w:eastAsia="Times New Roman" w:cs="Times New Roman"/>
          <w:szCs w:val="28"/>
          <w:lang w:eastAsia="ru-RU"/>
        </w:rPr>
        <w:t>в части полномочий органов местного самоуправления</w:t>
      </w:r>
    </w:p>
    <w:p w:rsidR="00002C7E" w:rsidRPr="00002C7E" w:rsidRDefault="00002C7E" w:rsidP="00002C7E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tbl>
      <w:tblPr>
        <w:tblW w:w="9634" w:type="dxa"/>
        <w:tblLayout w:type="fixed"/>
        <w:tblLook w:val="04A0" w:firstRow="1" w:lastRow="0" w:firstColumn="1" w:lastColumn="0" w:noHBand="0" w:noVBand="1"/>
      </w:tblPr>
      <w:tblGrid>
        <w:gridCol w:w="4106"/>
        <w:gridCol w:w="992"/>
        <w:gridCol w:w="993"/>
        <w:gridCol w:w="1134"/>
        <w:gridCol w:w="1134"/>
        <w:gridCol w:w="1275"/>
      </w:tblGrid>
      <w:tr w:rsidR="00002C7E" w:rsidRPr="00002C7E" w:rsidTr="00E306FE">
        <w:trPr>
          <w:trHeight w:val="669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Наименование показателя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ind w:left="-103" w:right="-108"/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E306FE">
            <w:pPr>
              <w:ind w:left="-101" w:right="-111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Плановое значение показателя </w:t>
            </w:r>
          </w:p>
          <w:p w:rsidR="00002C7E" w:rsidRPr="00002C7E" w:rsidRDefault="00002C7E" w:rsidP="00E306FE">
            <w:pPr>
              <w:ind w:left="-101" w:right="-111"/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>на 2024 год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 xml:space="preserve">Достигнутое значение показателя </w:t>
            </w:r>
          </w:p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>на 31.12.2024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>Отклонение от планового значения показателя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6"/>
                <w:szCs w:val="16"/>
                <w:lang w:eastAsia="ru-RU"/>
              </w:rPr>
            </w:pPr>
            <w:r w:rsidRPr="00002C7E">
              <w:rPr>
                <w:rFonts w:eastAsia="Times New Roman" w:cs="Times New Roman"/>
                <w:sz w:val="16"/>
                <w:szCs w:val="16"/>
                <w:lang w:eastAsia="ru-RU"/>
              </w:rPr>
              <w:t>Примечание</w:t>
            </w:r>
          </w:p>
        </w:tc>
      </w:tr>
      <w:tr w:rsidR="00002C7E" w:rsidRPr="00002C7E" w:rsidTr="00E306FE">
        <w:trPr>
          <w:trHeight w:val="399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Указы Президента Российской Федерации  от 07.05.2012 № 597 «О мероприятиях по реализации государственной социальной политики», от 01.06.2012 № 761 «О Национальной стратегии действий в интересах детей на 2012 – 2017 годы»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1.1. Средняя заработная плата работников муниципальных учреждений, в отношении которых предусмотрены мероприятия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по повышению заработной платы: педагогических работников образовательных учреждений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рубль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98 283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104 080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5 797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1.2. Средняя заработная плата работников муниципальных учреждений, в отношении которых предусмотрены мероприятия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по повышению заработной платы: педагогических работников дошкольных образовательных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рубль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82 863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98 666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15 803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1.3. Средняя заработная плата работников муниципальных учреждений, в отношении которых предусмотрены мероприятия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по повышению заработной платы: педагогических работников учреждений дополнительного образования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рубль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94 694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109 333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14 639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1.4. Средняя заработная плата работников муниципальных учреждений, в отношении которых предусмотрены мероприятия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по повышению заработной платы: работников учреждений культуры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рубль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94 085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109 923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15 838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575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Указ Президента Российской Федерации от 07.05.2012 № 598 «О совершенствовании государственной политики в сфере здравоохранения», 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      </w:r>
          </w:p>
        </w:tc>
      </w:tr>
      <w:tr w:rsidR="00002C7E" w:rsidRPr="00002C7E" w:rsidTr="00E306FE">
        <w:trPr>
          <w:trHeight w:val="75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2.1. Доля населения, систематически занимающегося физической культурой и спортом (в численности постоянного населения города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возрасте 3 – 79 лет)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45,2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46,1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75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2.2. Уровень обеспеченности граждан спортивными сооружениями исходя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из единовременной пропускной способности объектов спорта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2.3. Количество спортивных сооружений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на 100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тыс. человек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237,0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249,3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285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Указ Президента Российской Федерации от 07.05.2012 № 599 «О мерах по реализации государственной политики в области образования и науки»</w:t>
            </w:r>
          </w:p>
        </w:tc>
      </w:tr>
      <w:tr w:rsidR="00002C7E" w:rsidRPr="00002C7E" w:rsidTr="00E306FE">
        <w:trPr>
          <w:trHeight w:val="881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3.1. Обеспеченность детей дошкольного возраста местами в образовательных организациях, реализующих программы дошкольного образования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97,4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89,8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-7,6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05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1848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3.2. Доступность дошкольного образования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для детей в возрасте от 3 до 7 лет (отношение численности детей в возрасте от 3 до 7 лет, получающих дошкольное образование в текущем году, к сумме численности детей в возрасте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от 3 до 7 лет, получающих дошкольное образование в текущем году, и численности детей в возрасте от 3 до 7 лет, находящихся в очереди на получение в текущем году дошкольного образования)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47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3.3. Доля детей в возрасте от 5 до 18 лет, охваченных образовательными программами дополнительного образования детей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 учреждениях дополнительного образования детей и программами спортивной подготовки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за счет бюджетных средств, в общей численности детей в возрасте от 5 до 18 лет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27,2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-1,8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05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123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3.4. Доля детей в возрасте от 5 до 18 лет, получающих услуги по дополнительному образованию и спортивной подготовке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 отрасли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спор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т»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в организациях различных организационно-правовых форм и форм собственности, в общей численности детей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возрасте от 5 до 18 лет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13,1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13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105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3.5. Доля детей в возрасте от 5 до 18 лет, охваченных образовательными программами дополнительного образования детей в отрасли 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культура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за счет бюджетных средств, в общей численности детей в возрасте от 5 до 18 лет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9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3.6. Доля детей в возрасте от 5 до 18 лет, охваченных платными образовательными программами дополнительного образования детей в отрасли 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культура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, в общей численности детей в возрасте от 5 до 18 лет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05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Указ Президента Российской Федерации от 07.05.2012 № 600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 мерах по обеспечению граждан Российской Федерации доступным и комфортным жильем и повышению качества жилищно-коммунальных услуг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4.1. Доля заемных средств в общем объеме капитальных вложений в системы тепло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, водоснабжения, водоотведения и очистки сточных вод (по муниципальным унитарным предприятиям коммунального комплекса)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12,9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1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4.2. Доля объема ввода жилья в эксплуатацию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по стандартам экономического класса в общем объеме введенного в эксплуатацию жилья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72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4.3. Количество семей, получивших меры государственной поддержки на улучшение жилищных условий (по категории молодые семьи)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4.4. Количество семей, состоящих на учете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на получение жилого помещения на условиях социального найма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3 928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3 803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-125,0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значения, положи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4.5. Доля ветхого и аварийного жилищного фонда в общем объеме жилищного фонда города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значения, положи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4.6. Уровень износа коммунальной инфраструктуры (по муниципальным унитарным предприятиям коммунального комплекса)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значения, положи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4.7. Фактический уровень собираемости платы граждан за предоставленные жилищно-коммунальные услуги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97,5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2,6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4.8. Доля убыточных организаций жилищно-коммунального хозяйства (по муниципальным унитарным предприятиям)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-20,0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значения, положи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300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Указ Президента Российской Федерации от 07.05.2012 № 601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Об  основных направлениях совершенствования системы государственного управления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5.1. Уровень удовлетворенности граждан качеством предоставления государственных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и муниципальных услуг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 от числа опрошенных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99,9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9,9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5.2. Доля граждан, имеющих доступ к получению государственных и муниципальных услуг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по принципу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одного окна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по месту пребывания, </w:t>
            </w:r>
          </w:p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 том числе в многофункциональных центрах предоставления государственных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и муниципальных услуг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98,2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693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5.3. Предельное количество процедур, необходимых для получения разрешения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на строительство эталонного объекта капитального строительства непроизводственного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5.4. Предельный срок прохождения всех процедур, необходимых для получения разрешения на строительство эталонного объекта капитального строительства непроизводственного назначения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день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377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Указ Президента Российской Федерации от 28.04.2008 № 607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Об оценке эффективности деятельности органов местного самоуправления городских, муниципальных округов и муниципальных районов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002C7E" w:rsidRPr="00002C7E" w:rsidTr="00E306FE">
        <w:trPr>
          <w:trHeight w:val="99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6.1. Доля детей в возрасте 1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–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6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лет (от 1 до 7 лет), состоящих на учете для определения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в муниципальные дошкольные образовательные учреждения, в общей численности детей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возрасте 1 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6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лет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3,2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-3,2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значения, положи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6.2. Доля выпускников муниципальных общеобразовательных учреждений,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получивших аттестат о среднем (полном)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нуто, отрица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тельная динамика</w:t>
            </w:r>
          </w:p>
        </w:tc>
      </w:tr>
      <w:tr w:rsidR="00002C7E" w:rsidRPr="00002C7E" w:rsidTr="00E306FE">
        <w:trPr>
          <w:trHeight w:val="433"/>
        </w:trPr>
        <w:tc>
          <w:tcPr>
            <w:tcW w:w="96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Указ Президента Российской Федерации от 07.05.2018 № 204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 национальных целях и стратегических задачах развития Российской Федерации на период до 2024 года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7.1. Доля педагогических работников общеобразовательных организаций, прошедших повышение квалификации, в том числе в центрах непрерывного повышения профессионального мастерства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53,8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46,2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42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7.2. Доля детей в возрасте от 5 до 18 лет, охваченных дополнительным образованием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91,8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804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7.3. Охват детей деятельностью региональных центров выявления, поддержки и развития способностей и талантов у детей и молодежи, технопарков «Кванториум» и центров «IТ-куб»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17,5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19,6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7.4. Доля обучающихся по образовательным программам основного и среднего общего образования, охваченных мероприятиями, направленными на раннюю профессиональную ориентацию, в том числе в рамках программы 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«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Билет в будущее</w:t>
            </w:r>
            <w:r>
              <w:rPr>
                <w:rFonts w:eastAsia="Times New Roman" w:cs="Times New Roman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40,2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7.5. Доля общеобразовательных организаций, оснащенных в целях внедрения цифровой образовательной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4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7.6. Доля образовательных организаций, использующих сервисы федеральной информационно-сервисной платформы цифровой образовательной среды при реализации основных общеобразовательных программ начального общего, основного общего и среднего общего 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33,0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53,0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7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7.7. Доля педагогических работников, использующих сервисы федеральной информационно-сервисной платформы цифровой образовательной среды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81,0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19,0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7.8. Доля обучающихся, для которых созданы равные условия получения качественного образования вне зависимости от места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их нахождения посредством предоставления доступа к федеральной информационно-сервисной платформе цифровой образовательной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96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7.9. Доля детей, которые обеспечены сертификатами персонифицированного финансирования дополнительного образования,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а в период с 1 января 2023 года по 1 января 2025 года </w:t>
            </w:r>
            <w:r w:rsidR="00E306FE">
              <w:rPr>
                <w:rFonts w:eastAsia="Times New Roman" w:cs="Times New Roman"/>
                <w:sz w:val="18"/>
                <w:szCs w:val="18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социальными сертификатами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-19,0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13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144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7.10. Доля граждан, вовлеченных центрами (сообществами, объединениями) поддержки добровольчества (волонтерства) на базе образовательных организаций, некоммерческих организаций, государственных и муниципальных учреждений в добровольческую (волонтерскую)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16,2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7.11. Количество организаций культуры, получивших современное оборудование (нарастающим итогом)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7.12. Количество специалистов сферы культуры, повысивших квалификацию на базе Центров непрерывного образования и повышения квалификации творческих и управленческих кадров в сфере культуры,  человек (нарастающим итогом)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7.13. Объем жилищного строительства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282,2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331,1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48,9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20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7.14. Доля граждан, принявших участие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решении вопросов развития городской среды</w:t>
            </w:r>
            <w:r w:rsidR="0070735D">
              <w:rPr>
                <w:rFonts w:eastAsia="Times New Roman" w:cs="Times New Roman"/>
                <w:sz w:val="18"/>
                <w:szCs w:val="18"/>
                <w:lang w:eastAsia="ru-RU"/>
              </w:rPr>
              <w:t>,</w:t>
            </w: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от общего количества граждан в возрасте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от 14 лет, проживающих в муниципальных образованиях, на территории которых реализуются проекты по созданию комфортной городской среды</w:t>
            </w:r>
            <w:r w:rsidRPr="00002C7E">
              <w:rPr>
                <w:rFonts w:eastAsia="Times New Roman" w:cs="Times New Roman"/>
                <w:sz w:val="18"/>
                <w:szCs w:val="18"/>
                <w:vertAlign w:val="superscript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-1,9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13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7.15. Общее количество квадратных метров расселенного непригодного жилищного фонда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кв. 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5,6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-3,4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плановое значение </w:t>
            </w:r>
          </w:p>
          <w:p w:rsidR="00002C7E" w:rsidRPr="00002C7E" w:rsidRDefault="00002C7E" w:rsidP="00E306FE">
            <w:pPr>
              <w:ind w:right="-113"/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не достигнуто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7.16. Количество благоустроенных общественных территорий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единица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97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7.17. Доля дорожной сети Сургутской городской агломерации, находящаяся в нормативном состоянии (в части дорог местного значения)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85,7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48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7.18. Протяженность очищенной прибрежной полосы водных объектов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км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30,7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515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7.19. Количество населения, вовлеченного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мероприятия по очистке берегов водных объектов (нарастающим итогом)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человек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20 904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25 129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4 225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720"/>
        </w:trPr>
        <w:tc>
          <w:tcPr>
            <w:tcW w:w="41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7.20. Увеличение количества объектов имущества в перечнях государственного и муниципального имущества в субъектах Российской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0,5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192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7.21. Доля сданных в аренду субъектам малого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 xml:space="preserve">и среднего предпринимательства и организациям, образующим инфраструктуру поддержки субъектов малого и среднего предпринимательства, объектов недвижимого имущества, включенных в перечни государственного имущества и перечни муниципального имущества, в общем количестве объектов недвижимого имущества, включенных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в указанные перечни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60,0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76,0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16,0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18"/>
                <w:szCs w:val="18"/>
                <w:lang w:eastAsia="ru-RU"/>
              </w:rPr>
            </w:pPr>
            <w:r w:rsidRPr="00002C7E">
              <w:rPr>
                <w:rFonts w:eastAsia="Times New Roman" w:cs="Times New Roman"/>
                <w:sz w:val="18"/>
                <w:szCs w:val="18"/>
                <w:lang w:eastAsia="ru-RU"/>
              </w:rPr>
              <w:t>достижение планового значения</w:t>
            </w:r>
          </w:p>
        </w:tc>
      </w:tr>
      <w:tr w:rsidR="00002C7E" w:rsidRPr="00002C7E" w:rsidTr="00E306FE">
        <w:trPr>
          <w:trHeight w:val="255"/>
        </w:trPr>
        <w:tc>
          <w:tcPr>
            <w:tcW w:w="41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447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  <w:p w:rsidR="00002C7E" w:rsidRPr="00002C7E" w:rsidRDefault="00002C7E" w:rsidP="00002C7E">
            <w:pPr>
              <w:ind w:firstLine="447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lang w:eastAsia="ru-RU"/>
              </w:rPr>
              <w:t>Примечание: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002C7E" w:rsidRPr="00002C7E" w:rsidTr="00E306FE">
        <w:trPr>
          <w:trHeight w:val="780"/>
        </w:trPr>
        <w:tc>
          <w:tcPr>
            <w:tcW w:w="963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447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1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8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данные по состоянию на 31.12.2024 предварительные (в соответствии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с распоряжением Правительства Российской Федерации в отношении информации о численности населения, движении населения, возрастно-половом составе населения принято решение о временном приостановлении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ее предоставления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и распространения).</w:t>
            </w:r>
          </w:p>
        </w:tc>
      </w:tr>
    </w:tbl>
    <w:p w:rsidR="00002C7E" w:rsidRPr="00002C7E" w:rsidRDefault="00002C7E" w:rsidP="00002C7E">
      <w:pPr>
        <w:autoSpaceDE w:val="0"/>
        <w:autoSpaceDN w:val="0"/>
        <w:adjustRightInd w:val="0"/>
        <w:jc w:val="center"/>
        <w:rPr>
          <w:rFonts w:eastAsia="Times New Roman" w:cs="Times New Roman"/>
          <w:szCs w:val="28"/>
          <w:lang w:eastAsia="ru-RU"/>
        </w:rPr>
      </w:pPr>
    </w:p>
    <w:p w:rsidR="00002C7E" w:rsidRPr="00002C7E" w:rsidRDefault="00002C7E" w:rsidP="00002C7E">
      <w:pPr>
        <w:jc w:val="left"/>
        <w:rPr>
          <w:rFonts w:eastAsia="Calibri" w:cs="Times New Roman"/>
          <w:color w:val="FF0000"/>
          <w:szCs w:val="28"/>
        </w:rPr>
      </w:pPr>
      <w:r w:rsidRPr="00002C7E">
        <w:rPr>
          <w:rFonts w:eastAsia="Calibri" w:cs="Times New Roman"/>
          <w:color w:val="FF0000"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3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>____</w:t>
      </w:r>
      <w:r w:rsidRPr="00002C7E">
        <w:rPr>
          <w:rFonts w:cs="Times New Roman"/>
          <w:bCs/>
          <w:szCs w:val="28"/>
        </w:rPr>
        <w:t>___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>_</w:t>
      </w:r>
      <w:r w:rsidRPr="00002C7E">
        <w:rPr>
          <w:rFonts w:cs="Times New Roman"/>
          <w:bCs/>
          <w:szCs w:val="28"/>
        </w:rPr>
        <w:t>___</w:t>
      </w:r>
    </w:p>
    <w:p w:rsid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Таблица 5</w:t>
      </w:r>
    </w:p>
    <w:p w:rsidR="00002C7E" w:rsidRPr="00002C7E" w:rsidRDefault="00002C7E" w:rsidP="00002C7E">
      <w:pPr>
        <w:ind w:firstLine="709"/>
        <w:rPr>
          <w:rFonts w:eastAsia="Calibri" w:cs="Times New Roman"/>
          <w:bCs/>
          <w:color w:val="FF0000"/>
          <w:spacing w:val="1"/>
          <w:szCs w:val="28"/>
        </w:rPr>
      </w:pPr>
    </w:p>
    <w:p w:rsidR="00002C7E" w:rsidRPr="00002C7E" w:rsidRDefault="00002C7E" w:rsidP="00002C7E">
      <w:pPr>
        <w:jc w:val="center"/>
        <w:rPr>
          <w:rFonts w:cs="Times New Roman"/>
          <w:szCs w:val="28"/>
          <w:shd w:val="clear" w:color="auto" w:fill="FFFFFF"/>
        </w:rPr>
      </w:pPr>
      <w:r w:rsidRPr="00002C7E">
        <w:rPr>
          <w:rFonts w:cs="Times New Roman"/>
          <w:szCs w:val="28"/>
          <w:shd w:val="clear" w:color="auto" w:fill="FFFFFF"/>
        </w:rPr>
        <w:t>Показатели, характеризующие развитие коммунальной, транспортной инфраструктуры, природопользование и благоустройство</w:t>
      </w:r>
    </w:p>
    <w:p w:rsidR="00002C7E" w:rsidRPr="00002C7E" w:rsidRDefault="00002C7E" w:rsidP="00002C7E">
      <w:pPr>
        <w:jc w:val="center"/>
        <w:rPr>
          <w:rFonts w:cs="Times New Roman"/>
          <w:szCs w:val="28"/>
          <w:shd w:val="clear" w:color="auto" w:fill="FFFFFF"/>
        </w:rPr>
      </w:pPr>
    </w:p>
    <w:tbl>
      <w:tblPr>
        <w:tblW w:w="9706" w:type="dxa"/>
        <w:tblLook w:val="04A0" w:firstRow="1" w:lastRow="0" w:firstColumn="1" w:lastColumn="0" w:noHBand="0" w:noVBand="1"/>
      </w:tblPr>
      <w:tblGrid>
        <w:gridCol w:w="5240"/>
        <w:gridCol w:w="1334"/>
        <w:gridCol w:w="1134"/>
        <w:gridCol w:w="1134"/>
        <w:gridCol w:w="851"/>
        <w:gridCol w:w="13"/>
      </w:tblGrid>
      <w:tr w:rsidR="00002C7E" w:rsidRPr="00002C7E" w:rsidTr="00002C7E">
        <w:trPr>
          <w:gridAfter w:val="1"/>
          <w:wAfter w:w="13" w:type="dxa"/>
          <w:trHeight w:val="42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E306F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E306F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+ (-)</w:t>
            </w:r>
          </w:p>
        </w:tc>
      </w:tr>
      <w:tr w:rsidR="00002C7E" w:rsidRPr="00002C7E" w:rsidTr="00002C7E">
        <w:trPr>
          <w:trHeight w:val="118"/>
        </w:trPr>
        <w:tc>
          <w:tcPr>
            <w:tcW w:w="9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 Жилищно-коммунальный комплекс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Общая площадь жилищного фонда (квартир)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кв.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002C7E" w:rsidRPr="00002C7E" w:rsidTr="00B3736A">
        <w:trPr>
          <w:gridAfter w:val="1"/>
          <w:wAfter w:w="13" w:type="dxa"/>
          <w:trHeight w:val="37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товариществ собственников жилья, осуществляющих управление жилыми домами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3,0</w:t>
            </w:r>
          </w:p>
        </w:tc>
      </w:tr>
      <w:tr w:rsidR="00002C7E" w:rsidRPr="00002C7E" w:rsidTr="00002C7E">
        <w:trPr>
          <w:gridAfter w:val="1"/>
          <w:wAfter w:w="13" w:type="dxa"/>
          <w:trHeight w:val="28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Количество управляющих компаний, осуществляющих управление жилыми домами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-5,0</w:t>
            </w:r>
          </w:p>
        </w:tc>
      </w:tr>
      <w:tr w:rsidR="00002C7E" w:rsidRPr="00002C7E" w:rsidTr="00B3736A">
        <w:trPr>
          <w:gridAfter w:val="1"/>
          <w:wAfter w:w="13" w:type="dxa"/>
          <w:trHeight w:val="41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организаций, оказывающих жилищно-коммунальные услуги, в том числе: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организаций на рынке жилищных услуг,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002C7E">
        <w:trPr>
          <w:gridAfter w:val="1"/>
          <w:wAfter w:w="13" w:type="dxa"/>
          <w:trHeight w:val="10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002C7E">
        <w:trPr>
          <w:gridAfter w:val="1"/>
          <w:wAfter w:w="13" w:type="dxa"/>
          <w:trHeight w:val="294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организаций, оказывающих коммунальные услуги,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числе: частной формы собственности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002C7E">
        <w:trPr>
          <w:trHeight w:val="133"/>
        </w:trPr>
        <w:tc>
          <w:tcPr>
            <w:tcW w:w="9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Муниципальные инженерные сети и объекты инженерной инфраструктуры </w:t>
            </w:r>
          </w:p>
        </w:tc>
      </w:tr>
      <w:tr w:rsidR="00002C7E" w:rsidRPr="00002C7E" w:rsidTr="00E306F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водопровода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451,6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7,0</w:t>
            </w:r>
          </w:p>
        </w:tc>
      </w:tr>
      <w:tr w:rsidR="00002C7E" w:rsidRPr="00002C7E" w:rsidTr="00B3736A">
        <w:trPr>
          <w:gridAfter w:val="1"/>
          <w:wAfter w:w="13" w:type="dxa"/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 очистных сооружений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Default="00002C7E" w:rsidP="00002C7E">
            <w:pPr>
              <w:ind w:left="-109" w:right="-56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т. куб. м </w:t>
            </w:r>
          </w:p>
          <w:p w:rsidR="00002C7E" w:rsidRPr="00002C7E" w:rsidRDefault="00002C7E" w:rsidP="00002C7E">
            <w:pPr>
              <w:ind w:left="-109" w:right="-56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сутки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121,4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121,4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10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канализационных сетей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399,1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-26,2</w:t>
            </w:r>
          </w:p>
        </w:tc>
      </w:tr>
      <w:tr w:rsidR="00002C7E" w:rsidRPr="00002C7E" w:rsidTr="00002C7E">
        <w:trPr>
          <w:gridAfter w:val="1"/>
          <w:wAfter w:w="13" w:type="dxa"/>
          <w:trHeight w:val="151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котельных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E306FE">
        <w:trPr>
          <w:gridAfter w:val="1"/>
          <w:wAfter w:w="13" w:type="dxa"/>
          <w:trHeight w:val="12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центральных тепловых пунктов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2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тепловых и паровых сетей в двухтрубном исчислении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421,7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431,7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10,0</w:t>
            </w:r>
          </w:p>
        </w:tc>
      </w:tr>
      <w:tr w:rsidR="00002C7E" w:rsidRPr="00002C7E" w:rsidTr="00002C7E">
        <w:trPr>
          <w:gridAfter w:val="1"/>
          <w:wAfter w:w="13" w:type="dxa"/>
          <w:trHeight w:val="12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уличной газовой сети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1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Протяженность линий электропередач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149,9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-0,4</w:t>
            </w:r>
          </w:p>
        </w:tc>
      </w:tr>
      <w:tr w:rsidR="00002C7E" w:rsidRPr="00002C7E" w:rsidTr="00002C7E">
        <w:trPr>
          <w:trHeight w:val="215"/>
        </w:trPr>
        <w:tc>
          <w:tcPr>
            <w:tcW w:w="9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 Улично-дорожная сеть и общественный транспорт</w:t>
            </w:r>
          </w:p>
        </w:tc>
      </w:tr>
      <w:tr w:rsidR="00002C7E" w:rsidRPr="00002C7E" w:rsidTr="00002C7E">
        <w:trPr>
          <w:gridAfter w:val="1"/>
          <w:wAfter w:w="13" w:type="dxa"/>
          <w:trHeight w:val="12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улично-дорожной сети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млн. кв.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16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тротуаров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кв.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624,9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624,9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автобусных остановок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56,0</w:t>
            </w:r>
          </w:p>
        </w:tc>
      </w:tr>
      <w:tr w:rsidR="00002C7E" w:rsidRPr="00002C7E" w:rsidTr="00002C7E">
        <w:trPr>
          <w:gridAfter w:val="1"/>
          <w:wAfter w:w="13" w:type="dxa"/>
          <w:trHeight w:val="102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Протяженность линий уличного освещения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4,9</w:t>
            </w:r>
          </w:p>
        </w:tc>
      </w:tr>
      <w:tr w:rsidR="00002C7E" w:rsidRPr="00002C7E" w:rsidTr="00002C7E">
        <w:trPr>
          <w:gridAfter w:val="1"/>
          <w:wAfter w:w="13" w:type="dxa"/>
          <w:trHeight w:val="148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ливневой канализации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138,1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139,5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1,4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светофорных объектов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6,0</w:t>
            </w:r>
          </w:p>
        </w:tc>
      </w:tr>
      <w:tr w:rsidR="00002C7E" w:rsidRPr="00002C7E" w:rsidTr="00002C7E">
        <w:trPr>
          <w:gridAfter w:val="1"/>
          <w:wAfter w:w="13" w:type="dxa"/>
          <w:trHeight w:val="98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дорожных знаков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17 740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18 174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434,0</w:t>
            </w:r>
          </w:p>
        </w:tc>
      </w:tr>
      <w:tr w:rsidR="00002C7E" w:rsidRPr="00002C7E" w:rsidTr="00002C7E">
        <w:trPr>
          <w:gridAfter w:val="1"/>
          <w:wAfter w:w="13" w:type="dxa"/>
          <w:trHeight w:val="28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муниципальных маршрутов регулярных перевозок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B3736A">
        <w:trPr>
          <w:gridAfter w:val="1"/>
          <w:wAfter w:w="13" w:type="dxa"/>
          <w:trHeight w:val="44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Протяженность эксплуатационного пассажирского автобусного пути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702,7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711,7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9,0</w:t>
            </w:r>
          </w:p>
        </w:tc>
      </w:tr>
      <w:tr w:rsidR="00002C7E" w:rsidRPr="00002C7E" w:rsidTr="00B3736A">
        <w:trPr>
          <w:gridAfter w:val="1"/>
          <w:wAfter w:w="13" w:type="dxa"/>
          <w:trHeight w:val="3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306F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Тариф разового билета на одну пассажиро-поездку независимо от расстояния на территории города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автобусах общего пользования (регулируемый тариф)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рубль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32,0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  <w:tr w:rsidR="00002C7E" w:rsidRPr="00002C7E" w:rsidTr="00002C7E">
        <w:trPr>
          <w:trHeight w:val="209"/>
        </w:trPr>
        <w:tc>
          <w:tcPr>
            <w:tcW w:w="97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 Охрана окружающей среды, природопользование и благоустройство</w:t>
            </w:r>
          </w:p>
        </w:tc>
      </w:tr>
      <w:tr w:rsidR="00002C7E" w:rsidRPr="00002C7E" w:rsidTr="00002C7E">
        <w:trPr>
          <w:gridAfter w:val="1"/>
          <w:wAfter w:w="13" w:type="dxa"/>
          <w:trHeight w:val="1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Количество городских парков и скверов 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442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Площадь содержания зеленых насаждений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территориях общего пользования, в том числе: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462,15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462,15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425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содержания объектов благоустройства (парки, скверы, набережные)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185,4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185,4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111"/>
        </w:trPr>
        <w:tc>
          <w:tcPr>
            <w:tcW w:w="5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территории городских лесов</w:t>
            </w:r>
          </w:p>
        </w:tc>
        <w:tc>
          <w:tcPr>
            <w:tcW w:w="13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4 445,0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4 445,0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gridAfter w:val="1"/>
          <w:wAfter w:w="13" w:type="dxa"/>
          <w:trHeight w:val="15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цветников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6,0</w:t>
            </w:r>
          </w:p>
        </w:tc>
      </w:tr>
      <w:tr w:rsidR="00002C7E" w:rsidRPr="00002C7E" w:rsidTr="00002C7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цветников, находящихся на содержании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002C7E" w:rsidRPr="00002C7E" w:rsidTr="00B3736A">
        <w:trPr>
          <w:gridAfter w:val="1"/>
          <w:wAfter w:w="13" w:type="dxa"/>
          <w:trHeight w:val="222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высаженных цветочных растений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ед.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407,0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7,0</w:t>
            </w:r>
          </w:p>
        </w:tc>
      </w:tr>
      <w:tr w:rsidR="00002C7E" w:rsidRPr="00002C7E" w:rsidTr="00B3736A">
        <w:trPr>
          <w:gridAfter w:val="1"/>
          <w:wAfter w:w="13" w:type="dxa"/>
          <w:trHeight w:val="48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выполненных работ по цветочному оформлению элементов вертикального озеленения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1 084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1 184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100,0</w:t>
            </w:r>
          </w:p>
        </w:tc>
      </w:tr>
      <w:tr w:rsidR="00002C7E" w:rsidRPr="00002C7E" w:rsidTr="00B3736A">
        <w:trPr>
          <w:gridAfter w:val="1"/>
          <w:wAfter w:w="13" w:type="dxa"/>
          <w:trHeight w:val="38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мероприятий в рамках практической природоохранной деятельности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4,0</w:t>
            </w:r>
          </w:p>
        </w:tc>
      </w:tr>
      <w:tr w:rsidR="00002C7E" w:rsidRPr="00002C7E" w:rsidTr="00B3736A">
        <w:trPr>
          <w:gridAfter w:val="1"/>
          <w:wAfter w:w="13" w:type="dxa"/>
          <w:trHeight w:val="516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граждан, принявших участие в мероприятиях практической природоохранной деятельности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6 638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10 562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3 924,0</w:t>
            </w:r>
          </w:p>
        </w:tc>
      </w:tr>
      <w:tr w:rsidR="00002C7E" w:rsidRPr="00002C7E" w:rsidTr="00B3736A">
        <w:trPr>
          <w:gridAfter w:val="1"/>
          <w:wAfter w:w="13" w:type="dxa"/>
          <w:trHeight w:val="37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Общий объем вывезенного мусора, собранного в рамках природоохранных мероприятий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696,8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1 535,7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839,0</w:t>
            </w:r>
          </w:p>
        </w:tc>
      </w:tr>
      <w:tr w:rsidR="00002C7E" w:rsidRPr="00002C7E" w:rsidTr="00B3736A">
        <w:trPr>
          <w:gridAfter w:val="1"/>
          <w:wAfter w:w="13" w:type="dxa"/>
          <w:trHeight w:val="42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акарицидной (трехкратной) обработки территорий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444,7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444,3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-0,4</w:t>
            </w:r>
          </w:p>
        </w:tc>
      </w:tr>
      <w:tr w:rsidR="00002C7E" w:rsidRPr="00002C7E" w:rsidTr="00B3736A">
        <w:trPr>
          <w:gridAfter w:val="1"/>
          <w:wAfter w:w="13" w:type="dxa"/>
          <w:trHeight w:val="36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ларвицидной (двухкратной) обработки открытых водоемов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326,1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326,1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47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Площадь дератизационной (двухкратной) обработки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по периметру селитебной части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232,3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449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Общий объем вывезенного мусора с мест несанкционированного размещения отходов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куб.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7788,0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5823,2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ind w:left="-44" w:right="-53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-1 964,8</w:t>
            </w:r>
          </w:p>
        </w:tc>
      </w:tr>
      <w:tr w:rsidR="00002C7E" w:rsidRPr="00002C7E" w:rsidTr="00B3736A">
        <w:trPr>
          <w:gridAfter w:val="1"/>
          <w:wAfter w:w="13" w:type="dxa"/>
          <w:trHeight w:val="445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 выявленных объектов накопленного вреда окружающей среде на территории городского округа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B3736A">
        <w:trPr>
          <w:gridAfter w:val="1"/>
          <w:wAfter w:w="13" w:type="dxa"/>
          <w:trHeight w:val="60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ликвидированных объектов из общего количества выявленных объектов  накопленного вреда окружающей среде на территории городского округа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E306FE">
        <w:trPr>
          <w:gridAfter w:val="1"/>
          <w:wAfter w:w="13" w:type="dxa"/>
          <w:trHeight w:val="70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Площадь санитарной очистки территорий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куб. 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1 346,9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834,1</w:t>
            </w:r>
          </w:p>
        </w:tc>
      </w:tr>
      <w:tr w:rsidR="00002C7E" w:rsidRPr="00002C7E" w:rsidTr="00B3736A">
        <w:trPr>
          <w:gridAfter w:val="1"/>
          <w:wAfter w:w="13" w:type="dxa"/>
          <w:trHeight w:val="382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Общий объем вывезенных отработанных автомобильных шин с мест несанкционированного размещения отходов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тонна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485,0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326,0</w:t>
            </w:r>
          </w:p>
        </w:tc>
      </w:tr>
      <w:tr w:rsidR="00002C7E" w:rsidRPr="00002C7E" w:rsidTr="00B3736A">
        <w:trPr>
          <w:gridAfter w:val="1"/>
          <w:wAfter w:w="13" w:type="dxa"/>
          <w:trHeight w:val="47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Площадь санитарных рубок и рубок по очистке леса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от захламленности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га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707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Протяженность устройства (обновления) противопожарных минерализованных полос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территории городских лесов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264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благоустроенных общественных территорий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gridAfter w:val="1"/>
          <w:wAfter w:w="13" w:type="dxa"/>
          <w:trHeight w:val="423"/>
        </w:trPr>
        <w:tc>
          <w:tcPr>
            <w:tcW w:w="5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благоустроенных дворовых территорий многоквартирных домов</w:t>
            </w:r>
          </w:p>
        </w:tc>
        <w:tc>
          <w:tcPr>
            <w:tcW w:w="13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3,0</w:t>
            </w:r>
          </w:p>
        </w:tc>
      </w:tr>
    </w:tbl>
    <w:p w:rsidR="00002C7E" w:rsidRPr="00002C7E" w:rsidRDefault="00002C7E" w:rsidP="00002C7E">
      <w:pPr>
        <w:jc w:val="center"/>
        <w:rPr>
          <w:rFonts w:cs="Times New Roman"/>
          <w:szCs w:val="28"/>
          <w:shd w:val="clear" w:color="auto" w:fill="FFFFFF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rFonts w:cs="Times New Roman"/>
          <w:bCs/>
          <w:color w:val="FF0000"/>
          <w:szCs w:val="28"/>
        </w:rPr>
      </w:pPr>
      <w:r w:rsidRPr="00002C7E">
        <w:rPr>
          <w:rFonts w:cs="Times New Roman"/>
          <w:bCs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4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>___</w:t>
      </w:r>
      <w:r w:rsidRPr="00002C7E">
        <w:rPr>
          <w:rFonts w:cs="Times New Roman"/>
          <w:bCs/>
          <w:szCs w:val="28"/>
        </w:rPr>
        <w:t>____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>__</w:t>
      </w:r>
      <w:r w:rsidRPr="00002C7E">
        <w:rPr>
          <w:rFonts w:cs="Times New Roman"/>
          <w:bCs/>
          <w:szCs w:val="28"/>
        </w:rPr>
        <w:t>__</w:t>
      </w:r>
    </w:p>
    <w:p w:rsidR="00002C7E" w:rsidRDefault="00002C7E" w:rsidP="00002C7E">
      <w:pPr>
        <w:autoSpaceDE w:val="0"/>
        <w:autoSpaceDN w:val="0"/>
        <w:adjustRightInd w:val="0"/>
        <w:jc w:val="left"/>
        <w:rPr>
          <w:rFonts w:cs="Times New Roman"/>
          <w:bCs/>
          <w:szCs w:val="28"/>
        </w:rPr>
      </w:pPr>
    </w:p>
    <w:p w:rsidR="00002C7E" w:rsidRPr="00002C7E" w:rsidRDefault="00002C7E" w:rsidP="00002C7E">
      <w:pPr>
        <w:autoSpaceDE w:val="0"/>
        <w:autoSpaceDN w:val="0"/>
        <w:adjustRightInd w:val="0"/>
        <w:jc w:val="left"/>
        <w:rPr>
          <w:rFonts w:cs="Times New Roman"/>
          <w:bCs/>
          <w:szCs w:val="28"/>
        </w:rPr>
      </w:pPr>
    </w:p>
    <w:p w:rsidR="00002C7E" w:rsidRPr="00002C7E" w:rsidRDefault="00002C7E" w:rsidP="00002C7E">
      <w:pPr>
        <w:ind w:firstLine="709"/>
        <w:jc w:val="right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Таблица 7</w:t>
      </w:r>
    </w:p>
    <w:p w:rsidR="00002C7E" w:rsidRPr="00002C7E" w:rsidRDefault="00002C7E" w:rsidP="00002C7E">
      <w:pPr>
        <w:ind w:firstLine="709"/>
        <w:rPr>
          <w:rFonts w:eastAsia="Calibri" w:cs="Times New Roman"/>
          <w:bCs/>
          <w:spacing w:val="1"/>
          <w:szCs w:val="28"/>
        </w:rPr>
      </w:pPr>
    </w:p>
    <w:p w:rsidR="00002C7E" w:rsidRDefault="00002C7E" w:rsidP="00002C7E">
      <w:pPr>
        <w:jc w:val="center"/>
        <w:rPr>
          <w:rFonts w:eastAsia="Calibri" w:cs="Times New Roman"/>
          <w:bCs/>
          <w:spacing w:val="1"/>
          <w:szCs w:val="28"/>
        </w:rPr>
      </w:pPr>
      <w:r w:rsidRPr="00002C7E">
        <w:rPr>
          <w:rFonts w:eastAsia="Calibri" w:cs="Times New Roman"/>
          <w:bCs/>
          <w:spacing w:val="1"/>
          <w:szCs w:val="28"/>
        </w:rPr>
        <w:t xml:space="preserve">Показатели, </w:t>
      </w:r>
    </w:p>
    <w:p w:rsidR="00002C7E" w:rsidRPr="00002C7E" w:rsidRDefault="00002C7E" w:rsidP="00002C7E">
      <w:pPr>
        <w:jc w:val="center"/>
        <w:rPr>
          <w:rFonts w:eastAsia="Calibri"/>
          <w:szCs w:val="28"/>
        </w:rPr>
      </w:pPr>
      <w:r w:rsidRPr="00002C7E">
        <w:rPr>
          <w:rFonts w:eastAsia="Calibri" w:cs="Times New Roman"/>
          <w:bCs/>
          <w:spacing w:val="1"/>
          <w:szCs w:val="28"/>
        </w:rPr>
        <w:t xml:space="preserve">характеризующие </w:t>
      </w:r>
      <w:r w:rsidRPr="00002C7E">
        <w:rPr>
          <w:rFonts w:eastAsia="Calibri"/>
          <w:szCs w:val="28"/>
        </w:rPr>
        <w:t>развитие отраслей социальной сферы</w:t>
      </w:r>
    </w:p>
    <w:p w:rsidR="00002C7E" w:rsidRPr="00002C7E" w:rsidRDefault="00002C7E" w:rsidP="00002C7E">
      <w:pPr>
        <w:jc w:val="center"/>
        <w:rPr>
          <w:rFonts w:eastAsia="Calibri"/>
          <w:szCs w:val="28"/>
        </w:rPr>
      </w:pPr>
    </w:p>
    <w:tbl>
      <w:tblPr>
        <w:tblW w:w="9781" w:type="dxa"/>
        <w:tblInd w:w="-5" w:type="dxa"/>
        <w:tblLook w:val="04A0" w:firstRow="1" w:lastRow="0" w:firstColumn="1" w:lastColumn="0" w:noHBand="0" w:noVBand="1"/>
      </w:tblPr>
      <w:tblGrid>
        <w:gridCol w:w="5387"/>
        <w:gridCol w:w="1134"/>
        <w:gridCol w:w="1200"/>
        <w:gridCol w:w="1200"/>
        <w:gridCol w:w="860"/>
      </w:tblGrid>
      <w:tr w:rsidR="00002C7E" w:rsidRPr="00002C7E" w:rsidTr="00002C7E">
        <w:trPr>
          <w:trHeight w:val="29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E306F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E306F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+ (-)</w:t>
            </w:r>
          </w:p>
        </w:tc>
      </w:tr>
      <w:tr w:rsidR="00002C7E" w:rsidRPr="00002C7E" w:rsidTr="00002C7E">
        <w:trPr>
          <w:trHeight w:val="7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 Образование</w:t>
            </w:r>
          </w:p>
        </w:tc>
      </w:tr>
      <w:tr w:rsidR="00002C7E" w:rsidRPr="00002C7E" w:rsidTr="00002C7E">
        <w:trPr>
          <w:trHeight w:val="7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1.1. Организации, реализующие программы дошкольного образования: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30 347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29 880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-467,0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воспитанников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29 715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28 889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-826,0</w:t>
            </w:r>
          </w:p>
        </w:tc>
      </w:tr>
      <w:tr w:rsidR="00002C7E" w:rsidRPr="00002C7E" w:rsidTr="00002C7E">
        <w:trPr>
          <w:trHeight w:val="19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(мест на 100 человек в возрасте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0 до 7 лет (0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6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лет))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78,0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75,8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-2,2</w:t>
            </w:r>
          </w:p>
        </w:tc>
      </w:tr>
      <w:tr w:rsidR="00002C7E" w:rsidRPr="00002C7E" w:rsidTr="00002C7E">
        <w:trPr>
          <w:trHeight w:val="41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в процентах от норматива (70 мест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 100 человек в возрасте от 0 до 7 лет (0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6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лет))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111,4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108,3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-3,2</w:t>
            </w:r>
          </w:p>
        </w:tc>
      </w:tr>
      <w:tr w:rsidR="00002C7E" w:rsidRPr="00002C7E" w:rsidTr="00002C7E">
        <w:trPr>
          <w:trHeight w:val="9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(мест на 1 тыс.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72,2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69,0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-3,2</w:t>
            </w:r>
          </w:p>
        </w:tc>
      </w:tr>
      <w:tr w:rsidR="00002C7E" w:rsidRPr="00002C7E" w:rsidTr="00B3736A">
        <w:trPr>
          <w:trHeight w:val="31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в процентах от норматива (70 мест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1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103,1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98,6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-4,5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1.2. Общеобразовательные организации (без учета специальных учебно-воспитательных школ):</w:t>
            </w:r>
          </w:p>
        </w:tc>
      </w:tr>
      <w:tr w:rsidR="00002C7E" w:rsidRPr="00002C7E" w:rsidTr="00002C7E">
        <w:trPr>
          <w:trHeight w:val="10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38 066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38 930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864,0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учащихся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62 863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64 134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1271,0</w:t>
            </w:r>
          </w:p>
        </w:tc>
      </w:tr>
      <w:tr w:rsidR="00002C7E" w:rsidRPr="00002C7E" w:rsidTr="00002C7E">
        <w:trPr>
          <w:trHeight w:val="10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(мест на 1 тыс. человек)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90,6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89,9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-0,6</w:t>
            </w:r>
          </w:p>
        </w:tc>
      </w:tr>
      <w:tr w:rsidR="00002C7E" w:rsidRPr="00002C7E" w:rsidTr="00002C7E">
        <w:trPr>
          <w:trHeight w:val="29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в процентах от норматива (150 мест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1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60,4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-0,4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доля учащихся, обучающихся в первую смену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61,0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59,5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-1,5</w:t>
            </w:r>
          </w:p>
        </w:tc>
      </w:tr>
      <w:tr w:rsidR="00002C7E" w:rsidRPr="00002C7E" w:rsidTr="00B3736A">
        <w:trPr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1.3. Численность обучающихся в муниципальных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ведомственных учреждениях дополнительного образования детей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20 981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21 157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176,0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1.4. Профессиональное образование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Образовательные организации среднего профессионального образования (с учетом филиалов):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студентов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11,7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0,8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Образовательные организации высшего образования (с учетом филиалов):</w:t>
            </w:r>
          </w:p>
        </w:tc>
      </w:tr>
      <w:tr w:rsidR="00002C7E" w:rsidRPr="00002C7E" w:rsidTr="00002C7E">
        <w:trPr>
          <w:trHeight w:val="116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численность студентов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0,2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2. Культура</w:t>
            </w:r>
          </w:p>
        </w:tc>
      </w:tr>
      <w:tr w:rsidR="00002C7E" w:rsidRPr="00002C7E" w:rsidTr="00002C7E">
        <w:trPr>
          <w:trHeight w:val="9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общедоступных библиотек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82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библиотеками в процентах от норматива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(1 общедоступная библиотека на 10 тыс. жителей –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без учета нормативной потребности по детским библиотекам)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30,9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-0,9</w:t>
            </w:r>
          </w:p>
        </w:tc>
      </w:tr>
      <w:tr w:rsidR="00002C7E" w:rsidRPr="00002C7E" w:rsidTr="00002C7E">
        <w:trPr>
          <w:trHeight w:val="34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организаций клубного типа (с учетом обособленных подразделений)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29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объектами клубного типа в процентах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от норматива (1 объект на 100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190,3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184,8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-5,5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кинозалов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28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кинозалами в процентах от норматива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(1 кинозал на 20 тыс. жителей)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128,5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124,7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-3,7</w:t>
            </w:r>
          </w:p>
        </w:tc>
      </w:tr>
      <w:tr w:rsidR="00002C7E" w:rsidRPr="00002C7E" w:rsidTr="00002C7E">
        <w:trPr>
          <w:trHeight w:val="147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театров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33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театрами в процентах от норматива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(1 объект на 200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95,2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92,4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-2,8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концертных залов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344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концертными залами в процентах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от норматива (1 объект на городской округ)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музеев (без учета обособленных подразделений)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5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музеями в процентах от норматива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(1 краеведческий, 1 тематический музей на городской округ)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100,0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9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парков культуры и отдыха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428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парками культуры и отдыха в процентах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от норматива (1 объект на 30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7,1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6,9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-0,2</w:t>
            </w:r>
          </w:p>
        </w:tc>
      </w:tr>
      <w:tr w:rsidR="00002C7E" w:rsidRPr="00002C7E" w:rsidTr="00002C7E">
        <w:trPr>
          <w:trHeight w:val="7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3. Молодежная политика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учреждений по работе с детьми и молодежью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76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Количество молодежно-подростковых клубных формирований, кружков и секций муниципального бюджетного учреждения по работе с подростками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 молодежью по месту жительства «Вариант»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76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центров муниципального бюджетного учреждения «Центр специальной подготовки «Сибирский легион» имени Героя Российской Федерации полковника Богомолова Александра Станиславовича»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60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Количество структурных подразделений </w:t>
            </w:r>
          </w:p>
          <w:p w:rsid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для трудоустройства молодежи муниципального автономного учреждения по работе с молодежью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«Наше время»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98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 Физическая культура и спорт</w:t>
            </w:r>
          </w:p>
        </w:tc>
      </w:tr>
      <w:tr w:rsidR="00002C7E" w:rsidRPr="00002C7E" w:rsidTr="00002C7E">
        <w:trPr>
          <w:trHeight w:val="7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Объекты физической культуры и спорта: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992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1079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87,0</w:t>
            </w:r>
          </w:p>
        </w:tc>
      </w:tr>
      <w:tr w:rsidR="00002C7E" w:rsidRPr="00002C7E" w:rsidTr="00002C7E">
        <w:trPr>
          <w:trHeight w:val="8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единовременная пропускная способность (ЕПС)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22 333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24 815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2482,0</w:t>
            </w:r>
          </w:p>
        </w:tc>
      </w:tr>
      <w:tr w:rsidR="00002C7E" w:rsidRPr="00002C7E" w:rsidTr="00002C7E">
        <w:trPr>
          <w:trHeight w:val="40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единовременная пропускная способность спортивных сооружений на 1 тыс. человек в возрасте 3 </w:t>
            </w:r>
            <w:r w:rsidR="00002C7E"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79 лет</w:t>
            </w:r>
            <w:r w:rsidR="00002C7E"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55,9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60,3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002C7E" w:rsidRPr="00002C7E" w:rsidTr="00B3736A">
        <w:trPr>
          <w:trHeight w:val="82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уровень обеспеченности граждан спортивными сооружениями исходя из единовременной пропускной способности объектов спорта (норматив 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122 ЕПС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на 1 тыс. человек в возрасте 3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79 лет)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45,8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49,5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3,7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Общедоступные объекты спорта: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единовременная пропускная способность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6 847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13 808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6961,0</w:t>
            </w:r>
          </w:p>
        </w:tc>
      </w:tr>
      <w:tr w:rsidR="00002C7E" w:rsidRPr="00002C7E" w:rsidTr="00002C7E">
        <w:trPr>
          <w:trHeight w:val="209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единовременная пропускная способность общедоступных объектов спорта на 1 тыс. человек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16,3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31,9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15,6</w:t>
            </w:r>
          </w:p>
        </w:tc>
      </w:tr>
      <w:tr w:rsidR="00002C7E" w:rsidRPr="00002C7E" w:rsidTr="00002C7E">
        <w:trPr>
          <w:trHeight w:val="74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уровень обеспеченности граждан общедоступными спортивными сооружениями исходя из единовременной пропускной способности (норматив </w:t>
            </w:r>
            <w:r w:rsidR="00002C7E"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64 ЕПС на 1 тыс. человек)</w:t>
            </w:r>
            <w:r w:rsidR="00002C7E"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49,8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24,4</w:t>
            </w:r>
          </w:p>
        </w:tc>
      </w:tr>
      <w:tr w:rsidR="00002C7E" w:rsidRPr="00002C7E" w:rsidTr="00B3736A">
        <w:trPr>
          <w:trHeight w:val="5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Доля граждан, систематически занимающихся физической культурой и спортом (в численности постоянного населения города в возрасте 3 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79 лет)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43,5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2,6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спортивных сооружений на 100</w:t>
            </w: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тыс. человек населения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236,0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249,3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13,3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5. Здравоохранение и социальное обслуживание (государственная форма собственности)</w:t>
            </w:r>
          </w:p>
        </w:tc>
      </w:tr>
      <w:tr w:rsidR="00002C7E" w:rsidRPr="00002C7E" w:rsidTr="00002C7E">
        <w:trPr>
          <w:trHeight w:val="207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Лечебно-профилактические медицинские организации, оказывающие медицинскую помощь в стационарных условиях: 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 к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- м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ощность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3 321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3 479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158,0</w:t>
            </w:r>
          </w:p>
        </w:tc>
      </w:tr>
      <w:tr w:rsidR="00002C7E" w:rsidRPr="00002C7E" w:rsidTr="00002C7E">
        <w:trPr>
          <w:trHeight w:val="400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Из общей мощности: мощность организаций, оказывающих специализированную, в том числе высокотехнологичную, медицинскую помощь населению автономного округа:</w:t>
            </w:r>
          </w:p>
        </w:tc>
      </w:tr>
      <w:tr w:rsidR="00002C7E" w:rsidRPr="00002C7E" w:rsidTr="00002C7E">
        <w:trPr>
          <w:trHeight w:val="51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БУ ХМАО – Югры «Сургутский окружной клинический центр охраны материнства и детства»: количество коек,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219,0</w:t>
            </w:r>
          </w:p>
        </w:tc>
      </w:tr>
      <w:tr w:rsidR="00002C7E" w:rsidRPr="00002C7E" w:rsidTr="00002C7E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том числе: реанимации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3,0</w:t>
            </w:r>
          </w:p>
        </w:tc>
      </w:tr>
      <w:tr w:rsidR="00002C7E" w:rsidRPr="00002C7E" w:rsidTr="00B3736A">
        <w:trPr>
          <w:trHeight w:val="51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БУ ХМАО – Югры «Окружной кардиологический диспансер «Центр диагностики и сердечно-сосудистой хирургии»: количество коек,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том числе: реанимации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333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БУ ХМАО – Югры «Сургутская клиническая травматологическая больница»: количество коек,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числе: реанимации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343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БУ ХМАО – Югры «Сургутская окружная клиническая больница»: количество коек,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988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числе: реанимации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БУ ХМАО – Югры «Сургутский клинический кожно-венерологический диспансер»: количество коек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койка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978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E306FE">
            <w:pPr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Лечебно-профилактические медицинские организации, оказывающие медицинскую помощь в амбулаторных условиях:</w:t>
            </w:r>
          </w:p>
        </w:tc>
      </w:tr>
      <w:tr w:rsidR="00002C7E" w:rsidRPr="00002C7E" w:rsidTr="00002C7E">
        <w:trPr>
          <w:trHeight w:val="112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11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пос./смену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4 982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4 982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организаций социального обслуживания населения,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 том числе: стационарные учреждения,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25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их мощность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179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</w:p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lang w:eastAsia="ru-RU"/>
              </w:rPr>
              <w:t>Примечание:</w:t>
            </w:r>
          </w:p>
        </w:tc>
      </w:tr>
      <w:tr w:rsidR="00002C7E" w:rsidRPr="00002C7E" w:rsidTr="00B3736A">
        <w:trPr>
          <w:trHeight w:val="605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1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8"/>
                <w:lang w:eastAsia="ru-RU"/>
              </w:rPr>
              <w:t>–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данные по состоянию на 31.12.2024 предварительные (в соответствии с распоряжением Правительства Российской Федерации в отношении информации о численности населения, движении населения, возрастно-половом составе населения принято решение о временном приостановлении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ее предоставления и распространения);</w:t>
            </w:r>
          </w:p>
        </w:tc>
      </w:tr>
      <w:tr w:rsidR="00002C7E" w:rsidRPr="00002C7E" w:rsidTr="00B3736A">
        <w:trPr>
          <w:trHeight w:val="54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pacing w:val="-4"/>
                <w:szCs w:val="28"/>
                <w:vertAlign w:val="superscript"/>
                <w:lang w:eastAsia="ru-RU"/>
              </w:rPr>
              <w:t>2</w:t>
            </w:r>
            <w:r w:rsidRPr="00002C7E">
              <w:rPr>
                <w:rFonts w:eastAsia="Times New Roman" w:cs="Times New Roman"/>
                <w:spacing w:val="-4"/>
                <w:szCs w:val="28"/>
                <w:lang w:eastAsia="ru-RU"/>
              </w:rPr>
              <w:t xml:space="preserve"> – норматив утвержден Законом Ханты-Мансийского автономного округа –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Югры от 18.07.2007 № 84-оз «О региональном нормативе обеспеченности населения Ханты-Мансийского автономного округа – Югры дошкольными образовательными организациями»;</w:t>
            </w:r>
          </w:p>
        </w:tc>
      </w:tr>
      <w:tr w:rsidR="00002C7E" w:rsidRPr="00002C7E" w:rsidTr="00B3736A">
        <w:trPr>
          <w:trHeight w:val="54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3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– норматив утвержден постановлением Правительства Ханты-Мансийского автономного округа – Югры от 29.12.2014 № 534-п «Об утвер</w:t>
            </w: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ждении региональных нормативов градостроительного проектирования Ханты-Мансийского автономного округа – Югры»;</w:t>
            </w:r>
          </w:p>
        </w:tc>
      </w:tr>
      <w:tr w:rsidR="00002C7E" w:rsidRPr="00002C7E" w:rsidTr="00B3736A">
        <w:trPr>
          <w:trHeight w:val="54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4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– норматив утвержден распоряжением Министерства культуры Российской Федерации от 23.10.2023 № 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и норм оптимального размещения организаций культуры и обеспеченности населения услугами организаций культуры»;</w:t>
            </w:r>
          </w:p>
        </w:tc>
      </w:tr>
      <w:tr w:rsidR="00002C7E" w:rsidRPr="00002C7E" w:rsidTr="00B3736A">
        <w:trPr>
          <w:trHeight w:val="540"/>
        </w:trPr>
        <w:tc>
          <w:tcPr>
            <w:tcW w:w="978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46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 xml:space="preserve">5 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– норматив утвержден приказом Министерства спорта Российской Федерации от 21.03.2018 № 244 «Об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спорта».</w:t>
            </w:r>
          </w:p>
        </w:tc>
      </w:tr>
    </w:tbl>
    <w:p w:rsidR="00002C7E" w:rsidRPr="00002C7E" w:rsidRDefault="00002C7E" w:rsidP="00002C7E">
      <w:pPr>
        <w:jc w:val="center"/>
        <w:rPr>
          <w:rFonts w:eastAsia="Calibri"/>
          <w:szCs w:val="28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rFonts w:cs="Times New Roman"/>
          <w:bCs/>
          <w:color w:val="FF0000"/>
          <w:szCs w:val="28"/>
        </w:rPr>
      </w:pPr>
      <w:r w:rsidRPr="00002C7E">
        <w:rPr>
          <w:rFonts w:cs="Times New Roman"/>
          <w:bCs/>
          <w:color w:val="FF0000"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5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</w:t>
      </w:r>
      <w:r>
        <w:rPr>
          <w:rFonts w:cs="Times New Roman"/>
          <w:bCs/>
          <w:szCs w:val="28"/>
        </w:rPr>
        <w:t>___</w:t>
      </w:r>
      <w:r w:rsidRPr="00002C7E">
        <w:rPr>
          <w:rFonts w:cs="Times New Roman"/>
          <w:bCs/>
          <w:szCs w:val="28"/>
        </w:rPr>
        <w:t>______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</w:t>
      </w:r>
      <w:r>
        <w:rPr>
          <w:rFonts w:cs="Times New Roman"/>
          <w:bCs/>
          <w:szCs w:val="28"/>
        </w:rPr>
        <w:t>_</w:t>
      </w:r>
      <w:r w:rsidRPr="00002C7E">
        <w:rPr>
          <w:rFonts w:cs="Times New Roman"/>
          <w:bCs/>
          <w:szCs w:val="28"/>
        </w:rPr>
        <w:t>______</w:t>
      </w:r>
    </w:p>
    <w:p w:rsidR="00002C7E" w:rsidRDefault="00002C7E" w:rsidP="00002C7E">
      <w:pPr>
        <w:jc w:val="right"/>
        <w:rPr>
          <w:rFonts w:cs="Times New Roman"/>
          <w:szCs w:val="28"/>
        </w:rPr>
      </w:pPr>
    </w:p>
    <w:p w:rsidR="00002C7E" w:rsidRPr="00002C7E" w:rsidRDefault="00002C7E" w:rsidP="00002C7E">
      <w:pPr>
        <w:jc w:val="right"/>
        <w:rPr>
          <w:rFonts w:cs="Times New Roman"/>
          <w:szCs w:val="28"/>
        </w:rPr>
      </w:pPr>
    </w:p>
    <w:p w:rsidR="00002C7E" w:rsidRPr="00002C7E" w:rsidRDefault="00002C7E" w:rsidP="00002C7E">
      <w:pPr>
        <w:jc w:val="right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Таблица 10</w:t>
      </w:r>
    </w:p>
    <w:p w:rsidR="00002C7E" w:rsidRPr="00002C7E" w:rsidRDefault="00002C7E" w:rsidP="00002C7E">
      <w:pPr>
        <w:jc w:val="right"/>
        <w:rPr>
          <w:rFonts w:cs="Times New Roman"/>
          <w:sz w:val="16"/>
          <w:szCs w:val="16"/>
        </w:rPr>
      </w:pPr>
    </w:p>
    <w:p w:rsidR="00002C7E" w:rsidRDefault="00002C7E" w:rsidP="00002C7E">
      <w:pPr>
        <w:jc w:val="center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Показатели, </w:t>
      </w:r>
    </w:p>
    <w:p w:rsidR="00002C7E" w:rsidRPr="00002C7E" w:rsidRDefault="00002C7E" w:rsidP="00002C7E">
      <w:pPr>
        <w:jc w:val="center"/>
        <w:rPr>
          <w:rFonts w:eastAsia="Calibri"/>
          <w:szCs w:val="28"/>
        </w:rPr>
      </w:pPr>
      <w:r w:rsidRPr="00002C7E">
        <w:rPr>
          <w:rFonts w:eastAsia="Calibri"/>
          <w:szCs w:val="28"/>
        </w:rPr>
        <w:t xml:space="preserve">характеризующие развитие инфраструктуры </w:t>
      </w:r>
    </w:p>
    <w:p w:rsidR="00002C7E" w:rsidRPr="00002C7E" w:rsidRDefault="00002C7E" w:rsidP="00002C7E">
      <w:pPr>
        <w:jc w:val="center"/>
        <w:rPr>
          <w:rFonts w:eastAsia="Calibri"/>
          <w:szCs w:val="28"/>
        </w:rPr>
      </w:pPr>
      <w:r w:rsidRPr="00002C7E">
        <w:rPr>
          <w:rFonts w:eastAsia="Calibri"/>
          <w:szCs w:val="28"/>
        </w:rPr>
        <w:t>потребительского рынка</w:t>
      </w:r>
    </w:p>
    <w:p w:rsidR="00002C7E" w:rsidRPr="00002C7E" w:rsidRDefault="00002C7E" w:rsidP="00002C7E">
      <w:pPr>
        <w:jc w:val="center"/>
        <w:rPr>
          <w:rFonts w:eastAsia="Calibri"/>
          <w:szCs w:val="28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4480"/>
        <w:gridCol w:w="1460"/>
        <w:gridCol w:w="1360"/>
        <w:gridCol w:w="1360"/>
        <w:gridCol w:w="974"/>
      </w:tblGrid>
      <w:tr w:rsidR="00002C7E" w:rsidRPr="00002C7E" w:rsidTr="00002C7E">
        <w:trPr>
          <w:trHeight w:val="437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31.12.2023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Н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а 31.12.2024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+ (-)</w:t>
            </w:r>
          </w:p>
        </w:tc>
      </w:tr>
      <w:tr w:rsidR="00002C7E" w:rsidRPr="00002C7E" w:rsidTr="00002C7E">
        <w:trPr>
          <w:trHeight w:val="22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1. Объекты розничной торговли</w:t>
            </w:r>
          </w:p>
        </w:tc>
      </w:tr>
      <w:tr w:rsidR="00002C7E" w:rsidRPr="00002C7E" w:rsidTr="00002C7E">
        <w:trPr>
          <w:trHeight w:val="252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стационарных объектов розничной торговли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1 334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1 351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17,0</w:t>
            </w:r>
          </w:p>
        </w:tc>
      </w:tr>
      <w:tr w:rsidR="00002C7E" w:rsidRPr="00002C7E" w:rsidTr="00B3736A">
        <w:trPr>
          <w:trHeight w:val="459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 стационарных объектов розничной торговли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732 498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737 794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5296,1</w:t>
            </w:r>
          </w:p>
        </w:tc>
      </w:tr>
      <w:tr w:rsidR="00002C7E" w:rsidRPr="00002C7E" w:rsidTr="00002C7E">
        <w:trPr>
          <w:trHeight w:val="307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торговой площадью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(на 1 тыс. человек)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кв. м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1 742,6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1 704,4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-38,2</w:t>
            </w:r>
          </w:p>
        </w:tc>
      </w:tr>
      <w:tr w:rsidR="00002C7E" w:rsidRPr="00002C7E" w:rsidTr="00002C7E">
        <w:trPr>
          <w:trHeight w:val="55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торговой площадью в процентах от норматива (280 кв. м торговой площади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на 1 тыс. человек)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622,4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608,7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-13,6</w:t>
            </w:r>
          </w:p>
        </w:tc>
      </w:tr>
      <w:tr w:rsidR="00002C7E" w:rsidRPr="00002C7E" w:rsidTr="00B3736A">
        <w:trPr>
          <w:trHeight w:val="683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стационарными торговыми объектами в процентах от норматива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(1 136 единиц на город)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117,4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118,9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1,5</w:t>
            </w:r>
          </w:p>
        </w:tc>
      </w:tr>
      <w:tr w:rsidR="00002C7E" w:rsidRPr="00002C7E" w:rsidTr="00B3736A">
        <w:trPr>
          <w:trHeight w:val="278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магазинов продовольственных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13,0</w:t>
            </w:r>
          </w:p>
        </w:tc>
      </w:tr>
      <w:tr w:rsidR="00002C7E" w:rsidRPr="00002C7E" w:rsidTr="00B3736A">
        <w:trPr>
          <w:trHeight w:val="759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стационарными торговыми объектами, в которых реализуются продовольственные товары, в процентах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от норматива (509 единиц на город)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132,4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135,0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2,6</w:t>
            </w:r>
          </w:p>
        </w:tc>
      </w:tr>
      <w:tr w:rsidR="00002C7E" w:rsidRPr="00002C7E" w:rsidTr="00B3736A">
        <w:trPr>
          <w:trHeight w:val="537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Количество объектов нестационарной торговли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в соответствии со схемой размещения нестационарных объектов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-1,0</w:t>
            </w:r>
          </w:p>
        </w:tc>
      </w:tr>
      <w:tr w:rsidR="00002C7E" w:rsidRPr="00002C7E" w:rsidTr="00B3736A">
        <w:trPr>
          <w:trHeight w:val="689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 xml:space="preserve">Обеспеченность нестационарными торговыми объектами в процентах от норматива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(235 единиц на город)</w:t>
            </w:r>
            <w:r w:rsidRPr="00002C7E">
              <w:rPr>
                <w:rFonts w:eastAsia="Times New Roman" w:cs="Times New Roman"/>
                <w:color w:val="000000"/>
                <w:sz w:val="20"/>
                <w:szCs w:val="20"/>
                <w:vertAlign w:val="superscript"/>
                <w:lang w:eastAsia="ru-R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53,2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-0,4</w:t>
            </w:r>
          </w:p>
        </w:tc>
      </w:tr>
      <w:tr w:rsidR="00002C7E" w:rsidRPr="00002C7E" w:rsidTr="00002C7E">
        <w:trPr>
          <w:trHeight w:val="216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рыночных комплексов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12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 рыночных комплексов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166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Проведено ярмарок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51,0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Приняли в них участие (участников)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544,0</w:t>
            </w:r>
          </w:p>
        </w:tc>
      </w:tr>
      <w:tr w:rsidR="00002C7E" w:rsidRPr="00002C7E" w:rsidTr="00B3736A">
        <w:trPr>
          <w:trHeight w:val="447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>В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том числе проведено сельскохозяйственных ярмарок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-16,0</w:t>
            </w:r>
          </w:p>
        </w:tc>
      </w:tr>
      <w:tr w:rsidR="00002C7E" w:rsidRPr="00002C7E" w:rsidTr="00E306F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Приняли в них участие (участников)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-406,0</w:t>
            </w:r>
          </w:p>
        </w:tc>
      </w:tr>
      <w:tr w:rsidR="00002C7E" w:rsidRPr="00002C7E" w:rsidTr="00002C7E">
        <w:trPr>
          <w:trHeight w:val="7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2. Объекты общественного питания</w:t>
            </w:r>
          </w:p>
        </w:tc>
      </w:tr>
      <w:tr w:rsidR="00002C7E" w:rsidRPr="00002C7E" w:rsidTr="00B3736A">
        <w:trPr>
          <w:trHeight w:val="208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объектов общественного питания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16,0</w:t>
            </w:r>
          </w:p>
        </w:tc>
      </w:tr>
      <w:tr w:rsidR="00002C7E" w:rsidRPr="00002C7E" w:rsidTr="00B3736A">
        <w:trPr>
          <w:trHeight w:val="253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 объектов общественного питания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посадочное 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45 839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46 725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886,0</w:t>
            </w:r>
          </w:p>
        </w:tc>
      </w:tr>
      <w:tr w:rsidR="00002C7E" w:rsidRPr="00002C7E" w:rsidTr="00B3736A">
        <w:trPr>
          <w:trHeight w:val="34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объектов общественного питания общедоступной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16,0</w:t>
            </w:r>
          </w:p>
        </w:tc>
      </w:tr>
      <w:tr w:rsidR="00002C7E" w:rsidRPr="00002C7E" w:rsidTr="00B3736A">
        <w:trPr>
          <w:trHeight w:val="451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 объектов общественного питания общедоступной сети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посадочное 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24 535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25 421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886,0</w:t>
            </w:r>
          </w:p>
        </w:tc>
      </w:tr>
      <w:tr w:rsidR="00002C7E" w:rsidRPr="00002C7E" w:rsidTr="00002C7E">
        <w:trPr>
          <w:trHeight w:val="346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объектами общественного питания общедоступной сети (на 1 тыс. человек)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посещение в смену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58,4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58,7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0,4</w:t>
            </w:r>
          </w:p>
        </w:tc>
      </w:tr>
      <w:tr w:rsidR="00002C7E" w:rsidRPr="00002C7E" w:rsidTr="00002C7E">
        <w:trPr>
          <w:trHeight w:val="713"/>
        </w:trPr>
        <w:tc>
          <w:tcPr>
            <w:tcW w:w="4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объектами общепита общедоступной сети в процентах от норматива (40 посадочных мест на 1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145,9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146,8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0,9</w:t>
            </w:r>
          </w:p>
        </w:tc>
      </w:tr>
      <w:tr w:rsidR="00002C7E" w:rsidRPr="00002C7E" w:rsidTr="00002C7E">
        <w:trPr>
          <w:trHeight w:val="7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3. Объекты бытового обслуживания населения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Количество объектов бытового обслуживания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1365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1367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  <w:tr w:rsidR="00002C7E" w:rsidRPr="00002C7E" w:rsidTr="00B3736A">
        <w:trPr>
          <w:trHeight w:val="233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Мощность объектов бытового обслуживания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рабочее 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3964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3982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18,0</w:t>
            </w:r>
          </w:p>
        </w:tc>
      </w:tr>
      <w:tr w:rsidR="00002C7E" w:rsidRPr="00002C7E" w:rsidTr="00002C7E">
        <w:trPr>
          <w:trHeight w:val="26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объектами бытового обслуживания (на 1 тыс. человек)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рабочее 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9,2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-0,2</w:t>
            </w:r>
          </w:p>
        </w:tc>
      </w:tr>
      <w:tr w:rsidR="00002C7E" w:rsidRPr="00002C7E" w:rsidTr="00B3736A">
        <w:trPr>
          <w:trHeight w:val="718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объектами бытового обслуживания в процентах от норматива </w:t>
            </w:r>
          </w:p>
          <w:p w:rsidR="00002C7E" w:rsidRPr="00002C7E" w:rsidRDefault="00002C7E" w:rsidP="00E306F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(9 рабочих мест на 1 тыс. человек)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104,8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102,2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-2,6</w:t>
            </w:r>
          </w:p>
        </w:tc>
      </w:tr>
      <w:tr w:rsidR="00002C7E" w:rsidRPr="00002C7E" w:rsidTr="00002C7E">
        <w:trPr>
          <w:trHeight w:val="197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Структура объектов бытового обслуживания в разрезе видов (по количеству объектов):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бани, сауны, душевые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002C7E" w:rsidRPr="00002C7E" w:rsidTr="00002C7E">
        <w:trPr>
          <w:trHeight w:val="77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прачечные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1,8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11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химчистки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156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парикмахерские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27,9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202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фотографии, фотолаборатории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6,4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248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мастерские по ремонту обуви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5,2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197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мастерские, ателье по ремонту и пошиву одежды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10,5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1094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мастерские, ателье по ремонту и техобслужи</w:t>
            </w:r>
            <w:r w:rsidR="00002C7E">
              <w:rPr>
                <w:rFonts w:eastAsia="Times New Roman" w:cs="Times New Roman"/>
                <w:sz w:val="20"/>
                <w:szCs w:val="20"/>
                <w:lang w:eastAsia="ru-RU"/>
              </w:rPr>
              <w:t>-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ванию бытовой радиоэлектронной аппаратуры, бытовых машин и приборов, часов, изготовлению металлоизделий, ремонту ювелирных изделий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14,9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B3736A">
        <w:trPr>
          <w:trHeight w:val="359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мастерские по ремонту и техобслуживанию транспортных средств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21,2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ритуальные предприятия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E306F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- </w:t>
            </w:r>
            <w:r w:rsidR="00002C7E"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предприятия проката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3,4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0,0</w:t>
            </w:r>
          </w:p>
        </w:tc>
      </w:tr>
      <w:tr w:rsidR="00002C7E" w:rsidRPr="00002C7E" w:rsidTr="00002C7E">
        <w:trPr>
          <w:trHeight w:val="7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4. Гостиницы</w:t>
            </w:r>
          </w:p>
        </w:tc>
      </w:tr>
      <w:tr w:rsidR="00002C7E" w:rsidRPr="00002C7E" w:rsidTr="00002C7E">
        <w:trPr>
          <w:trHeight w:val="16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Количество гостиниц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единица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-4,0</w:t>
            </w:r>
          </w:p>
        </w:tc>
      </w:tr>
      <w:tr w:rsidR="00002C7E" w:rsidRPr="00002C7E" w:rsidTr="00002C7E">
        <w:trPr>
          <w:trHeight w:val="70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Мощность гостиниц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4446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4380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-66,0</w:t>
            </w:r>
          </w:p>
        </w:tc>
      </w:tr>
      <w:tr w:rsidR="00002C7E" w:rsidRPr="00002C7E" w:rsidTr="00B3736A">
        <w:trPr>
          <w:trHeight w:val="175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Обеспеченность гостиницами (на 1 тыс. человек)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место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10,6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10,1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-0,5</w:t>
            </w:r>
          </w:p>
        </w:tc>
      </w:tr>
      <w:tr w:rsidR="00002C7E" w:rsidRPr="00002C7E" w:rsidTr="00002C7E">
        <w:trPr>
          <w:trHeight w:val="439"/>
        </w:trPr>
        <w:tc>
          <w:tcPr>
            <w:tcW w:w="4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Обеспеченность гостиницами в процентах </w:t>
            </w:r>
          </w:p>
          <w:p w:rsidR="00002C7E" w:rsidRPr="00002C7E" w:rsidRDefault="00002C7E" w:rsidP="00002C7E">
            <w:pPr>
              <w:jc w:val="left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от норматива (6 мест на 1 тыс. человек) </w:t>
            </w:r>
            <w:r w:rsidRPr="00002C7E">
              <w:rPr>
                <w:rFonts w:eastAsia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176,3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168,6</w:t>
            </w:r>
          </w:p>
        </w:tc>
        <w:tc>
          <w:tcPr>
            <w:tcW w:w="9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2C7E" w:rsidRPr="00002C7E" w:rsidRDefault="00002C7E" w:rsidP="00002C7E">
            <w:pPr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-7,6</w:t>
            </w:r>
          </w:p>
        </w:tc>
      </w:tr>
      <w:tr w:rsidR="00002C7E" w:rsidRPr="00002C7E" w:rsidTr="00B3736A">
        <w:trPr>
          <w:trHeight w:val="255"/>
        </w:trPr>
        <w:tc>
          <w:tcPr>
            <w:tcW w:w="4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31"/>
              <w:rPr>
                <w:rFonts w:eastAsia="Times New Roman" w:cs="Times New Roman"/>
                <w:szCs w:val="28"/>
                <w:lang w:eastAsia="ru-RU"/>
              </w:rPr>
            </w:pPr>
          </w:p>
          <w:p w:rsidR="00002C7E" w:rsidRPr="00002C7E" w:rsidRDefault="00002C7E" w:rsidP="00002C7E">
            <w:pPr>
              <w:ind w:firstLine="731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lang w:eastAsia="ru-RU"/>
              </w:rPr>
              <w:t>Примечание: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002C7E" w:rsidRPr="00002C7E" w:rsidRDefault="00002C7E" w:rsidP="00002C7E">
            <w:pPr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  <w:tr w:rsidR="00002C7E" w:rsidRPr="00002C7E" w:rsidTr="00B3736A">
        <w:trPr>
          <w:trHeight w:val="1155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31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1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– норматив утвержден постановлением Правительства Ханты-Мансийского автономного округа – Югры от 05.08.2016 № 291-п «О норма</w:t>
            </w:r>
            <w:r>
              <w:rPr>
                <w:rFonts w:eastAsia="Times New Roman" w:cs="Times New Roman"/>
                <w:szCs w:val="28"/>
                <w:lang w:eastAsia="ru-RU"/>
              </w:rPr>
              <w:t>-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тивах минимальной обеспеченности населения площадью стационарных торговых объектов, нестационарных торговых объектов, торговых мест, используемых для осуществления деятельности по продаже товаров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на ярмарках и розничных рынках в Ханты-Мансийском автономном округе – Югре»;</w:t>
            </w:r>
          </w:p>
        </w:tc>
      </w:tr>
      <w:tr w:rsidR="00002C7E" w:rsidRPr="00002C7E" w:rsidTr="00B3736A">
        <w:trPr>
          <w:trHeight w:val="840"/>
        </w:trPr>
        <w:tc>
          <w:tcPr>
            <w:tcW w:w="96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02C7E" w:rsidRPr="00002C7E" w:rsidRDefault="00002C7E" w:rsidP="00002C7E">
            <w:pPr>
              <w:ind w:firstLine="731"/>
              <w:rPr>
                <w:rFonts w:eastAsia="Times New Roman" w:cs="Times New Roman"/>
                <w:szCs w:val="28"/>
                <w:lang w:eastAsia="ru-RU"/>
              </w:rPr>
            </w:pPr>
            <w:r w:rsidRPr="00002C7E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2</w:t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 – норматив утвержден приказом Министерства строительства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 xml:space="preserve">и жилищно-коммунального хозяйства Российской Федерации от 30.12.2016 </w:t>
            </w:r>
            <w:r>
              <w:rPr>
                <w:rFonts w:eastAsia="Times New Roman" w:cs="Times New Roman"/>
                <w:szCs w:val="28"/>
                <w:lang w:eastAsia="ru-RU"/>
              </w:rPr>
              <w:br/>
            </w:r>
            <w:r w:rsidRPr="00002C7E">
              <w:rPr>
                <w:rFonts w:eastAsia="Times New Roman" w:cs="Times New Roman"/>
                <w:szCs w:val="28"/>
                <w:lang w:eastAsia="ru-RU"/>
              </w:rPr>
              <w:t>№ 1034/пр «Свод правил СП 42.13330.2016 «Градостроительство. Планировка и застройка городских и сельских поселений» Актуализированная редакция СНиП 2.07.01-89*».</w:t>
            </w:r>
          </w:p>
        </w:tc>
      </w:tr>
    </w:tbl>
    <w:p w:rsidR="00002C7E" w:rsidRPr="00002C7E" w:rsidRDefault="00002C7E" w:rsidP="00002C7E">
      <w:pPr>
        <w:spacing w:after="160" w:line="259" w:lineRule="auto"/>
        <w:jc w:val="left"/>
        <w:rPr>
          <w:rFonts w:cs="Times New Roman"/>
          <w:bCs/>
          <w:color w:val="FF0000"/>
          <w:szCs w:val="28"/>
        </w:rPr>
      </w:pPr>
      <w:r w:rsidRPr="00002C7E">
        <w:rPr>
          <w:rFonts w:cs="Times New Roman"/>
          <w:bCs/>
          <w:color w:val="FF0000"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6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>____</w:t>
      </w:r>
      <w:r w:rsidRPr="00002C7E">
        <w:rPr>
          <w:rFonts w:cs="Times New Roman"/>
          <w:bCs/>
          <w:szCs w:val="28"/>
        </w:rPr>
        <w:t>____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______</w:t>
      </w:r>
      <w:r>
        <w:rPr>
          <w:rFonts w:cs="Times New Roman"/>
          <w:bCs/>
          <w:szCs w:val="28"/>
        </w:rPr>
        <w:t>_</w:t>
      </w:r>
      <w:r w:rsidRPr="00002C7E">
        <w:rPr>
          <w:rFonts w:cs="Times New Roman"/>
          <w:bCs/>
          <w:szCs w:val="28"/>
        </w:rPr>
        <w:t>_</w:t>
      </w:r>
    </w:p>
    <w:p w:rsidR="00002C7E" w:rsidRDefault="00002C7E" w:rsidP="00002C7E">
      <w:pPr>
        <w:jc w:val="right"/>
        <w:rPr>
          <w:rFonts w:cs="Times New Roman"/>
          <w:szCs w:val="28"/>
        </w:rPr>
      </w:pPr>
    </w:p>
    <w:p w:rsidR="00002C7E" w:rsidRPr="00002C7E" w:rsidRDefault="00002C7E" w:rsidP="00002C7E">
      <w:pPr>
        <w:jc w:val="right"/>
        <w:rPr>
          <w:rFonts w:cs="Times New Roman"/>
          <w:szCs w:val="28"/>
        </w:rPr>
      </w:pPr>
    </w:p>
    <w:p w:rsidR="00002C7E" w:rsidRPr="00002C7E" w:rsidRDefault="00002C7E" w:rsidP="00002C7E">
      <w:pPr>
        <w:jc w:val="right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Таблица 1</w:t>
      </w:r>
      <w:r w:rsidR="00E306FE">
        <w:rPr>
          <w:rFonts w:cs="Times New Roman"/>
          <w:szCs w:val="28"/>
        </w:rPr>
        <w:t>4</w:t>
      </w:r>
    </w:p>
    <w:p w:rsidR="00002C7E" w:rsidRPr="00002C7E" w:rsidRDefault="00002C7E" w:rsidP="00002C7E">
      <w:pPr>
        <w:jc w:val="left"/>
        <w:rPr>
          <w:rFonts w:cs="Times New Roman"/>
          <w:bCs/>
          <w:szCs w:val="28"/>
        </w:rPr>
      </w:pP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Позиции города в рейтингах 2024 года</w:t>
      </w:r>
    </w:p>
    <w:p w:rsidR="00002C7E" w:rsidRPr="00002C7E" w:rsidRDefault="00002C7E" w:rsidP="00002C7E">
      <w:pPr>
        <w:jc w:val="left"/>
        <w:rPr>
          <w:szCs w:val="28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7"/>
      </w:tblGrid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1. В 2024 году Сургут стал победителем конкурса лучших практик межмуниципального взаимодействия </w:t>
            </w:r>
            <w:r w:rsidRPr="00002C7E">
              <w:rPr>
                <w:rFonts w:cs="Times New Roman"/>
                <w:sz w:val="20"/>
                <w:szCs w:val="20"/>
              </w:rPr>
              <w:br/>
              <w:t>в номинации «Градостроительная политика, ЖКХ, экология» в рамках VIII Общероссийского форума стратегического развития «Города России: локомотивы роста», финал которого состоялся 14.11.2024 в городе Екатеринбурге. Город представил муниципальную практику «Развитие агломерации»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>2. По итогам 2024 года Сургут занял 1 место по итогам рейтинга городов по уровню развития государственно-частного партнерства, проводимого Национальным центром государственно-частного партнерства и ВЭБ.РФ, среди 208 городов России. Высоко оценен управленческий опыт муниципальной команды в сфере ГЧП, а также институциональные условия, созданные для привлечения частных инвестиций в городскую инфраструктуру. Рейтинг проводится два раза в год, с 2021 года Сургут входит в тройку лидеров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>3. В 2024 году Сургут стал победителем регионального этапа Всероссийского конкурса «Лучшая муниципальная практика» в двух номинациях:</w:t>
            </w:r>
          </w:p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- «Обеспечение эффективной «обратной связи» с жителями муниципальных образований, развитие территориального общественного самоуправления и привлечение граждан к осуществлению (участию </w:t>
            </w:r>
            <w:r w:rsidRPr="00002C7E">
              <w:rPr>
                <w:rFonts w:cs="Times New Roman"/>
                <w:sz w:val="20"/>
                <w:szCs w:val="20"/>
              </w:rPr>
              <w:br/>
              <w:t xml:space="preserve">в осуществлении) местного самоуправления в иных формах». </w:t>
            </w:r>
          </w:p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- «Укрепление межнационального мира и согласия, реализация иных мероприятий в сфере национальной политики на муниципальном уровне». </w:t>
            </w:r>
          </w:p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На общем собрании Совета муниципальных образований Югры Дипломы вручили Главе города Максиму </w:t>
            </w:r>
            <w:r w:rsidR="00E306FE">
              <w:rPr>
                <w:rFonts w:cs="Times New Roman"/>
                <w:sz w:val="20"/>
                <w:szCs w:val="20"/>
              </w:rPr>
              <w:t xml:space="preserve">Николаевичу </w:t>
            </w:r>
            <w:r w:rsidRPr="00002C7E">
              <w:rPr>
                <w:rFonts w:cs="Times New Roman"/>
                <w:sz w:val="20"/>
                <w:szCs w:val="20"/>
              </w:rPr>
              <w:t>Слепову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4. </w:t>
            </w:r>
            <w:r w:rsidRPr="00002C7E">
              <w:rPr>
                <w:sz w:val="20"/>
                <w:szCs w:val="20"/>
              </w:rPr>
              <w:t xml:space="preserve">Сургут по итогам 2024 года стал победителем в номинации «За лучшую организацию работы в области инициативного бюджетирования» XVIII Всероссийского конкурса «Лучшее муниципальное образование </w:t>
            </w:r>
            <w:r>
              <w:rPr>
                <w:sz w:val="20"/>
                <w:szCs w:val="20"/>
              </w:rPr>
              <w:br/>
            </w:r>
            <w:r w:rsidRPr="00002C7E">
              <w:rPr>
                <w:sz w:val="20"/>
                <w:szCs w:val="20"/>
              </w:rPr>
              <w:t>в сфере управления общественными финансами».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 xml:space="preserve">Инициативное бюджетирование в городе реализуется на протяжении уже более 10 лет, что позволяет жителям активно участвовать в процессе формирования и распределения бюджетных средств. 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 xml:space="preserve">Практика Сургута уникальна и имеет ряд особенностей, которые отличают ее от аналогичных, реализуемых </w:t>
            </w:r>
            <w:r w:rsidR="00E306FE">
              <w:rPr>
                <w:sz w:val="20"/>
                <w:szCs w:val="20"/>
              </w:rPr>
              <w:br/>
            </w:r>
            <w:r w:rsidRPr="00002C7E">
              <w:rPr>
                <w:sz w:val="20"/>
                <w:szCs w:val="20"/>
              </w:rPr>
              <w:t>на муниципальном уровне: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>- инициативные проекты принимаются в течении всего года (ежемесячно в последние два рабочих дня);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>- деление проектов на два типа – локальные и общегородские в зависимости от количества благополучателей, что облегчает процедуры выявления мнения граждан при внесении локального проекта и позволяет увеличивать суммы финансирования для общегородских проектов;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>- для объективной оценки внесенных в Администрацию города инициативных проектов создан специальный коллегиальный орган, состоящий преимущественно из представителей Думы города и общественности;</w:t>
            </w:r>
          </w:p>
          <w:p w:rsidR="00002C7E" w:rsidRPr="00002C7E" w:rsidRDefault="00002C7E" w:rsidP="00002C7E">
            <w:pPr>
              <w:rPr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>- создан центр поддержки на базе МКУ «Наш город», оказывающий консультационное и информационное сопровождение инициаторов проектов до момента внесения в Администрацию города;</w:t>
            </w:r>
          </w:p>
          <w:p w:rsidR="00002C7E" w:rsidRPr="00002C7E" w:rsidRDefault="00002C7E" w:rsidP="00002C7E">
            <w:pPr>
              <w:tabs>
                <w:tab w:val="left" w:pos="4962"/>
              </w:tabs>
              <w:rPr>
                <w:rFonts w:cs="Times New Roman"/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 xml:space="preserve">- разработаны критерии независимого конкурсного отбора проектов, исключающие субъективность оценки </w:t>
            </w:r>
            <w:r>
              <w:rPr>
                <w:sz w:val="20"/>
                <w:szCs w:val="20"/>
              </w:rPr>
              <w:br/>
            </w:r>
            <w:r w:rsidRPr="00002C7E">
              <w:rPr>
                <w:sz w:val="20"/>
                <w:szCs w:val="20"/>
              </w:rPr>
              <w:t>и гарантирующие применение единого подхода при проведении конкурса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tabs>
                <w:tab w:val="left" w:pos="4962"/>
              </w:tabs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5. По итогам 2024 года Сургут занял первое место в рейтинге по уровню открытости бюджетных данных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002C7E">
              <w:rPr>
                <w:rFonts w:cs="Times New Roman"/>
                <w:sz w:val="20"/>
                <w:szCs w:val="20"/>
              </w:rPr>
              <w:t xml:space="preserve">и участия граждан в бюджетном процессе среди городских округов и муниципальных районов Югры. Открытость бюджета — важный показатель прозрачности работы местных властей. Жители Сургута могут легко получить доступ к информации о параметрах городского бюджета, его структуре и текущей динамике исполнения. Вся необходимая информация размещена на официальном портале Администрации города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002C7E">
              <w:rPr>
                <w:rFonts w:cs="Times New Roman"/>
                <w:sz w:val="20"/>
                <w:szCs w:val="20"/>
              </w:rPr>
              <w:t xml:space="preserve">в разделе «Открытый бюджет», а также на специализированном информационном портале «Бюджет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002C7E">
              <w:rPr>
                <w:rFonts w:cs="Times New Roman"/>
                <w:sz w:val="20"/>
                <w:szCs w:val="20"/>
              </w:rPr>
              <w:t>для граждан». Город второй год подряд получает высшую оценку и занимает лидирующую позицию в рейтинге муниципалитетов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tabs>
                <w:tab w:val="left" w:pos="4962"/>
              </w:tabs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6. Сургут занял первое место в рейтинге качества проведения оценки регулирующего воздействия (ОРВ) </w:t>
            </w:r>
            <w:r w:rsidRPr="00002C7E">
              <w:rPr>
                <w:rFonts w:cs="Times New Roman"/>
                <w:sz w:val="20"/>
                <w:szCs w:val="20"/>
              </w:rPr>
              <w:br/>
              <w:t xml:space="preserve">и экспертизы за 2024 год, войдя в группу с «Высшим уровнем» и набрав 100 баллов из 100 возможных. Региональный рейтинг ведется с 2017 года, и по его результатам с 2018 года Сургут – лидер рейтинга,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002C7E">
              <w:rPr>
                <w:rFonts w:cs="Times New Roman"/>
                <w:sz w:val="20"/>
                <w:szCs w:val="20"/>
              </w:rPr>
              <w:t>его сформировал Департамент экономического развития ХМАО — Югры</w:t>
            </w:r>
          </w:p>
          <w:p w:rsidR="00002C7E" w:rsidRPr="00002C7E" w:rsidRDefault="00002C7E" w:rsidP="00002C7E">
            <w:pPr>
              <w:tabs>
                <w:tab w:val="left" w:pos="4962"/>
              </w:tabs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Оценка регулирующего воздействия (ОРВ) – обязанность органов власти выявлять замечания и предложения предпринимателей по проектам нормативных правовых актов и через дискуссии устранять разногласия. ОРВ проводится для того, чтобы найти оптимальный вариант решения задачи, лежащей в основе разработки акта, исключить избыточные административные нагрузки на бизнес и предотвратить возникновение необоснованных расходов. Процедура оценки регулирующего воздействия помогает изменить само отношение к процессу создания нормативных правовых актов. Изменяется культура нормотворчества, органы власти более ответственно подходят к созданию нормативных актов, открыты к диалогу и поиску компромиссов. На этом строится доверие между бизнесом и властью и, как следствие, эффективная система регулирования </w:t>
            </w:r>
            <w:r w:rsidRPr="00002C7E">
              <w:rPr>
                <w:rFonts w:cs="Times New Roman"/>
                <w:sz w:val="20"/>
                <w:szCs w:val="20"/>
              </w:rPr>
              <w:br/>
              <w:t>и муниципального управления в целом.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>7. В 2024 году Сургут занял второе место в национальном рейтинге прозрачности государственных закупок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. </w:t>
            </w:r>
            <w:r w:rsidR="00E306FE">
              <w:rPr>
                <w:rFonts w:eastAsia="Times New Roman" w:cs="Times New Roman"/>
                <w:sz w:val="20"/>
                <w:szCs w:val="20"/>
                <w:lang w:eastAsia="ru-RU"/>
              </w:rPr>
              <w:br/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По итогам комплексного экономического и правового анализа город набрал 6 018 баллов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br/>
              <w:t>и стал вторым среди 87 крупнейших муниципальных образований. Торжественное награждение лидеров рейтинга состоялось 05.12.2024 в Торгово-промышленной палате Российской Федерации. Сургут занимает лидирующие позиции в рейтинге уже 11 лет подряд, стабильно получая призовые места в номинации «Муниципальные заказчики».</w:t>
            </w:r>
            <w:r w:rsidRPr="00002C7E">
              <w:rPr>
                <w:rFonts w:cs="Times New Roman"/>
                <w:sz w:val="20"/>
                <w:szCs w:val="20"/>
              </w:rPr>
              <w:t xml:space="preserve"> </w:t>
            </w:r>
            <w:r w:rsidRPr="00002C7E">
              <w:rPr>
                <w:rFonts w:eastAsia="Times New Roman" w:cs="Times New Roman"/>
                <w:sz w:val="20"/>
                <w:szCs w:val="20"/>
                <w:lang w:eastAsia="ru-RU"/>
              </w:rPr>
              <w:t>Проект «Национальный рейтинг прозрачности закупок» является независимым негосударственным исследовательским аналитическим центром, специализирующимся в области экономического и правового анализа российского рынка государственных и корпоративных закупок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t xml:space="preserve">8. По итогам 2024 года Сургут на 2 месте по Индексу качества городской среды среди крупных и больших городов, находящихся в условно дискомфортном климате (рейтинг подводит Министерство строительства </w:t>
            </w:r>
            <w:r w:rsidRPr="00002C7E">
              <w:rPr>
                <w:rFonts w:eastAsia="Times New Roman" w:cs="Times New Roman"/>
                <w:bCs/>
                <w:sz w:val="20"/>
                <w:szCs w:val="20"/>
                <w:lang w:eastAsia="ru-RU"/>
              </w:rPr>
              <w:br/>
              <w:t>и жилищно-коммунального хозяйства Российской Федерации (2024 год – 256 баллов, 2023 год – 228 баллов, 2022 год – 217 баллов, 2021 год – 204 балла, 2020 год – 200 баллов, 2019 год – 180 баллов)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>9. В 2024 году Сургут вошел в ТОП-20 городов ESG-индекса ВЭБ и «Сбера».</w:t>
            </w:r>
          </w:p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Рейтинг составлен «Сбером» и ВЭБ.РФ и выявил лидеров среди 250 городов и 85 субъектов России. В основе расчета лежат данные «Индекса качества жизни в городах России» ВЭБ.РФ, а также </w:t>
            </w:r>
            <w:r w:rsidRPr="00002C7E">
              <w:rPr>
                <w:rFonts w:cs="Times New Roman"/>
                <w:sz w:val="20"/>
                <w:szCs w:val="20"/>
              </w:rPr>
              <w:br/>
              <w:t>ESG-рэнкинга субъектов Российской Федерации «Сбера». Индекс включает показатели по 16 комплексным факторам, объединенным в три блока: «Окружающая среда», «Общество» и «Управление». Город Сургут отмечен в качестве лидера по цифровизации, набрав 100 баллов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rFonts w:cs="Times New Roman"/>
                <w:sz w:val="20"/>
                <w:szCs w:val="20"/>
              </w:rPr>
              <w:t xml:space="preserve">10. В 2024 году Сургут стал финалистом федерального конкурса объектов социальной инфраструктуры «МАРТ». В финале отметили проект по созданию школы на 1 500 ученических мест </w:t>
            </w:r>
            <w:r w:rsidRPr="00002C7E">
              <w:rPr>
                <w:rFonts w:cs="Times New Roman"/>
                <w:sz w:val="20"/>
                <w:szCs w:val="20"/>
              </w:rPr>
              <w:br/>
              <w:t xml:space="preserve">в 20А микрорайоне. Строительство ведется в рамках государственной программы Ханты-Мансийского автономного округа – Югры «Строительство» и национального проекта «Образование» (федеральный проект «Современная Школа»). Конкурс «МАРТ» организован Комитетом Государственной думы Федерального Собрания Российской Федерации по региональной политике и местному самоуправлению </w:t>
            </w:r>
            <w:r>
              <w:rPr>
                <w:rFonts w:cs="Times New Roman"/>
                <w:sz w:val="20"/>
                <w:szCs w:val="20"/>
              </w:rPr>
              <w:br/>
            </w:r>
            <w:r w:rsidRPr="00002C7E">
              <w:rPr>
                <w:rFonts w:cs="Times New Roman"/>
                <w:sz w:val="20"/>
                <w:szCs w:val="20"/>
              </w:rPr>
              <w:t>и Негосударственным институтом развития «ТРАНСПРОЕКТ». Организаторы отбирают лучшие практики создания объектов социальной инфраструктуры на основе государственно-частного и муниципально-частного партнерства, направленных на сохранение и укрепление российских духовно-нравственных ценностей</w:t>
            </w:r>
          </w:p>
        </w:tc>
      </w:tr>
      <w:tr w:rsidR="00002C7E" w:rsidRPr="00002C7E" w:rsidTr="00B3736A">
        <w:tc>
          <w:tcPr>
            <w:tcW w:w="974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02C7E" w:rsidRPr="00002C7E" w:rsidRDefault="00002C7E" w:rsidP="00002C7E">
            <w:pPr>
              <w:rPr>
                <w:rFonts w:cs="Times New Roman"/>
                <w:sz w:val="20"/>
                <w:szCs w:val="20"/>
              </w:rPr>
            </w:pPr>
            <w:r w:rsidRPr="00002C7E">
              <w:rPr>
                <w:sz w:val="20"/>
                <w:szCs w:val="20"/>
              </w:rPr>
              <w:t xml:space="preserve">11. По итогам мониторинга, проведенного Департаментом финансов ХМАО – Югры, город занял 3 место </w:t>
            </w:r>
            <w:r>
              <w:rPr>
                <w:sz w:val="20"/>
                <w:szCs w:val="20"/>
              </w:rPr>
              <w:br/>
            </w:r>
            <w:r w:rsidRPr="00002C7E">
              <w:rPr>
                <w:sz w:val="20"/>
                <w:szCs w:val="20"/>
              </w:rPr>
              <w:t>в рейтинге городских округов</w:t>
            </w:r>
            <w:r w:rsidRPr="00002C7E">
              <w:rPr>
                <w:bCs/>
                <w:sz w:val="20"/>
                <w:szCs w:val="20"/>
              </w:rPr>
              <w:t xml:space="preserve"> по качеству бюджетного процесса в 2024 году</w:t>
            </w:r>
            <w:r w:rsidRPr="00002C7E">
              <w:rPr>
                <w:sz w:val="20"/>
                <w:szCs w:val="20"/>
              </w:rPr>
              <w:t>, набрав 90 баллов из 100 возможных. Участники мониторинга оценивались комплексно по нескольким направлениям реализуемой бюджетной политики, включая планирование и исполнение бюджета, долговую политику и открытость бюджетного процесса. Высокая оценка свидетельствует об эффективности проводимых Администрацией города мероприятиях в области управления муниципальными финансами. Грант более 8 млн. рублей</w:t>
            </w:r>
          </w:p>
        </w:tc>
      </w:tr>
    </w:tbl>
    <w:p w:rsidR="00002C7E" w:rsidRPr="00002C7E" w:rsidRDefault="00002C7E" w:rsidP="00002C7E">
      <w:pPr>
        <w:spacing w:after="160" w:line="259" w:lineRule="auto"/>
        <w:jc w:val="left"/>
        <w:rPr>
          <w:szCs w:val="28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szCs w:val="28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szCs w:val="28"/>
        </w:rPr>
      </w:pPr>
    </w:p>
    <w:p w:rsidR="00002C7E" w:rsidRPr="00002C7E" w:rsidRDefault="00002C7E" w:rsidP="00002C7E">
      <w:pPr>
        <w:spacing w:after="160" w:line="259" w:lineRule="auto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br w:type="page"/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>Приложение 7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к распоряжению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 w:rsidRPr="00002C7E">
        <w:rPr>
          <w:rFonts w:cs="Times New Roman"/>
          <w:bCs/>
          <w:szCs w:val="28"/>
        </w:rPr>
        <w:t xml:space="preserve">Администрации города </w:t>
      </w:r>
    </w:p>
    <w:p w:rsidR="00002C7E" w:rsidRPr="00002C7E" w:rsidRDefault="00002C7E" w:rsidP="00002C7E">
      <w:pPr>
        <w:ind w:firstLine="5954"/>
        <w:jc w:val="left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о</w:t>
      </w:r>
      <w:r w:rsidRPr="00002C7E">
        <w:rPr>
          <w:rFonts w:cs="Times New Roman"/>
          <w:bCs/>
          <w:szCs w:val="28"/>
        </w:rPr>
        <w:t>т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</w:t>
      </w:r>
      <w:r>
        <w:rPr>
          <w:rFonts w:cs="Times New Roman"/>
          <w:bCs/>
          <w:szCs w:val="28"/>
        </w:rPr>
        <w:t>___</w:t>
      </w:r>
      <w:r w:rsidRPr="00002C7E">
        <w:rPr>
          <w:rFonts w:cs="Times New Roman"/>
          <w:bCs/>
          <w:szCs w:val="28"/>
        </w:rPr>
        <w:t>_____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№</w:t>
      </w:r>
      <w:r>
        <w:rPr>
          <w:rFonts w:cs="Times New Roman"/>
          <w:bCs/>
          <w:szCs w:val="28"/>
        </w:rPr>
        <w:t xml:space="preserve"> </w:t>
      </w:r>
      <w:r w:rsidRPr="00002C7E">
        <w:rPr>
          <w:rFonts w:cs="Times New Roman"/>
          <w:bCs/>
          <w:szCs w:val="28"/>
        </w:rPr>
        <w:t>____</w:t>
      </w:r>
      <w:r>
        <w:rPr>
          <w:rFonts w:cs="Times New Roman"/>
          <w:bCs/>
          <w:szCs w:val="28"/>
        </w:rPr>
        <w:t>__</w:t>
      </w:r>
      <w:r w:rsidRPr="00002C7E">
        <w:rPr>
          <w:rFonts w:cs="Times New Roman"/>
          <w:bCs/>
          <w:szCs w:val="28"/>
        </w:rPr>
        <w:t>___</w:t>
      </w:r>
    </w:p>
    <w:p w:rsidR="00002C7E" w:rsidRPr="00002C7E" w:rsidRDefault="00002C7E" w:rsidP="00002C7E">
      <w:pPr>
        <w:ind w:firstLine="6663"/>
        <w:jc w:val="left"/>
        <w:rPr>
          <w:rFonts w:cs="Times New Roman"/>
          <w:bCs/>
          <w:szCs w:val="28"/>
        </w:rPr>
      </w:pPr>
    </w:p>
    <w:tbl>
      <w:tblPr>
        <w:tblStyle w:val="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4612"/>
      </w:tblGrid>
      <w:tr w:rsidR="00002C7E" w:rsidRPr="00002C7E" w:rsidTr="00B3736A">
        <w:tc>
          <w:tcPr>
            <w:tcW w:w="4905" w:type="dxa"/>
            <w:shd w:val="clear" w:color="auto" w:fill="auto"/>
          </w:tcPr>
          <w:p w:rsidR="00002C7E" w:rsidRPr="00002C7E" w:rsidRDefault="00002C7E" w:rsidP="00002C7E">
            <w:pPr>
              <w:jc w:val="left"/>
              <w:rPr>
                <w:szCs w:val="28"/>
              </w:rPr>
            </w:pPr>
            <w:r w:rsidRPr="00002C7E">
              <w:rPr>
                <w:noProof/>
                <w:szCs w:val="28"/>
              </w:rPr>
              <w:drawing>
                <wp:inline distT="0" distB="0" distL="0" distR="0" wp14:anchorId="419466DF" wp14:editId="753B52C6">
                  <wp:extent cx="3054350" cy="17145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791" cy="1732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3" w:type="dxa"/>
          </w:tcPr>
          <w:p w:rsidR="00002C7E" w:rsidRPr="00002C7E" w:rsidRDefault="00002C7E" w:rsidP="00002C7E">
            <w:pPr>
              <w:jc w:val="left"/>
              <w:rPr>
                <w:szCs w:val="28"/>
              </w:rPr>
            </w:pPr>
            <w:r w:rsidRPr="00002C7E">
              <w:rPr>
                <w:noProof/>
                <w:szCs w:val="28"/>
              </w:rPr>
              <w:drawing>
                <wp:inline distT="0" distB="0" distL="0" distR="0" wp14:anchorId="7FE366FE" wp14:editId="51F32239">
                  <wp:extent cx="2710180" cy="1714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188" cy="17220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2C7E" w:rsidRPr="00002C7E" w:rsidRDefault="00002C7E" w:rsidP="00002C7E">
      <w:pPr>
        <w:jc w:val="center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Рисунок 2. Структура населения по состоянию на 31.12.2024 и коэффициент демографической нагрузки на 1 000 человек трудоспособного возраста</w:t>
      </w:r>
    </w:p>
    <w:p w:rsidR="00002C7E" w:rsidRPr="00002C7E" w:rsidRDefault="00002C7E" w:rsidP="00002C7E">
      <w:pPr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774B999" wp14:editId="54011B11">
            <wp:extent cx="6075045" cy="2638283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395" cy="2651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jc w:val="center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Рисунок 3. Структура денежных доходов населения (2024 год, %)</w:t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49783803" wp14:editId="2409A6F4">
            <wp:extent cx="6018419" cy="242824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350" cy="24435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cs="Times New Roman"/>
          <w:szCs w:val="28"/>
        </w:rPr>
        <w:t xml:space="preserve">Рисунок 6. </w:t>
      </w:r>
      <w:r w:rsidRPr="00002C7E">
        <w:rPr>
          <w:bCs/>
          <w:szCs w:val="28"/>
        </w:rPr>
        <w:t xml:space="preserve">Покупательная способность доходов населения </w:t>
      </w:r>
      <w:r w:rsidRPr="00002C7E">
        <w:rPr>
          <w:rFonts w:cs="Times New Roman"/>
          <w:bCs/>
          <w:szCs w:val="28"/>
        </w:rPr>
        <w:t>и потребительские расходы</w:t>
      </w:r>
    </w:p>
    <w:p w:rsidR="00002C7E" w:rsidRPr="00002C7E" w:rsidRDefault="00002C7E" w:rsidP="00002C7E">
      <w:pPr>
        <w:jc w:val="center"/>
        <w:rPr>
          <w:rFonts w:cs="Times New Roman"/>
          <w:szCs w:val="28"/>
        </w:rPr>
      </w:pPr>
      <w:r w:rsidRPr="00002C7E">
        <w:rPr>
          <w:rFonts w:cs="Times New Roman"/>
          <w:noProof/>
          <w:szCs w:val="28"/>
          <w:lang w:eastAsia="ru-RU"/>
        </w:rPr>
        <w:drawing>
          <wp:inline distT="0" distB="0" distL="0" distR="0" wp14:anchorId="2156ACA5" wp14:editId="1529ECCB">
            <wp:extent cx="5987512" cy="28860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507" cy="2888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Рисунок 9. Структура занятых в экономике на территории города (2024 год, %)</w:t>
      </w:r>
    </w:p>
    <w:p w:rsidR="00002C7E" w:rsidRPr="00002C7E" w:rsidRDefault="00002C7E" w:rsidP="00002C7E">
      <w:pPr>
        <w:jc w:val="center"/>
        <w:rPr>
          <w:szCs w:val="28"/>
        </w:rPr>
      </w:pPr>
      <w:r w:rsidRPr="00002C7E">
        <w:rPr>
          <w:noProof/>
          <w:szCs w:val="28"/>
          <w:lang w:eastAsia="ru-RU"/>
        </w:rPr>
        <w:drawing>
          <wp:inline distT="0" distB="0" distL="0" distR="0" wp14:anchorId="046DD9BA" wp14:editId="05466DF8">
            <wp:extent cx="6015990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510" cy="2575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/>
          <w:szCs w:val="28"/>
        </w:rPr>
      </w:pPr>
      <w:r w:rsidRPr="00002C7E">
        <w:rPr>
          <w:rFonts w:eastAsia="Calibri"/>
          <w:szCs w:val="28"/>
        </w:rPr>
        <w:t>Рисунок 11. Протяженность муниципальных коммунальных сетей</w:t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79F57BD0" wp14:editId="599BC7A8">
            <wp:extent cx="6000115" cy="27432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969" cy="27499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noProof/>
          <w:lang w:eastAsia="ru-RU"/>
        </w:rPr>
      </w:pPr>
      <w:r w:rsidRPr="00002C7E">
        <w:rPr>
          <w:rFonts w:eastAsia="Calibri" w:cs="Times New Roman"/>
          <w:szCs w:val="28"/>
        </w:rPr>
        <w:t xml:space="preserve">Рисунок 13. </w:t>
      </w:r>
      <w:r w:rsidRPr="00002C7E">
        <w:rPr>
          <w:rFonts w:eastAsia="Calibri"/>
          <w:szCs w:val="28"/>
        </w:rPr>
        <w:t>Обеспеченность образовательными учреждениями</w:t>
      </w:r>
      <w:r w:rsidRPr="00002C7E">
        <w:rPr>
          <w:noProof/>
          <w:lang w:eastAsia="ru-RU"/>
        </w:rPr>
        <w:t xml:space="preserve"> </w:t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noProof/>
          <w:lang w:eastAsia="ru-RU"/>
        </w:rPr>
      </w:pP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/>
          <w:sz w:val="22"/>
          <w:shd w:val="clear" w:color="auto" w:fill="FFFFFF"/>
        </w:rPr>
      </w:pPr>
      <w:r w:rsidRPr="00002C7E">
        <w:rPr>
          <w:rFonts w:eastAsia="Calibri"/>
          <w:noProof/>
          <w:sz w:val="22"/>
          <w:shd w:val="clear" w:color="auto" w:fill="FFFFFF"/>
          <w:lang w:eastAsia="ru-RU"/>
        </w:rPr>
        <w:drawing>
          <wp:inline distT="0" distB="0" distL="0" distR="0" wp14:anchorId="484763DA" wp14:editId="75CE8AA4">
            <wp:extent cx="5799960" cy="28765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761" cy="28883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/>
          <w:szCs w:val="28"/>
          <w:shd w:val="clear" w:color="auto" w:fill="FFFFFF"/>
        </w:rPr>
      </w:pPr>
      <w:r w:rsidRPr="00002C7E">
        <w:rPr>
          <w:rFonts w:eastAsia="Calibri"/>
          <w:szCs w:val="28"/>
        </w:rPr>
        <w:t xml:space="preserve">Рисунок 15. Обеспеченность </w:t>
      </w:r>
      <w:r w:rsidRPr="00002C7E">
        <w:rPr>
          <w:rFonts w:eastAsia="Calibri"/>
          <w:szCs w:val="28"/>
          <w:shd w:val="clear" w:color="auto" w:fill="FFFFFF"/>
        </w:rPr>
        <w:t>населения города учреждениями физической культуры и спорта</w:t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0FA9BDBA" wp14:editId="7DE03DB1">
            <wp:extent cx="5610225" cy="256353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344" cy="25731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2C7E">
        <w:rPr>
          <w:rFonts w:eastAsia="Calibri" w:cs="Times New Roman"/>
          <w:szCs w:val="28"/>
        </w:rPr>
        <w:t>Рисунок 19. Структура занятости субъектов МСП в разрезе видов экономической деятельности (2024 год, %)</w:t>
      </w:r>
    </w:p>
    <w:p w:rsidR="00002C7E" w:rsidRPr="00002C7E" w:rsidRDefault="00002C7E" w:rsidP="00002C7E">
      <w:pPr>
        <w:jc w:val="left"/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1EABA730" wp14:editId="3A39A7E4">
            <wp:extent cx="5961380" cy="2333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jc w:val="center"/>
        <w:rPr>
          <w:rFonts w:eastAsia="Calibri" w:cs="Times New Roman"/>
          <w:szCs w:val="28"/>
        </w:rPr>
      </w:pPr>
      <w:r w:rsidRPr="00002C7E">
        <w:rPr>
          <w:rFonts w:eastAsia="Calibri" w:cs="Times New Roman"/>
          <w:szCs w:val="28"/>
        </w:rPr>
        <w:t>Рисунок 20. Объем потребительского рынка города</w:t>
      </w:r>
    </w:p>
    <w:p w:rsidR="00002C7E" w:rsidRPr="00002C7E" w:rsidRDefault="00002C7E" w:rsidP="00002C7E">
      <w:pPr>
        <w:jc w:val="left"/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50EAAC4B" wp14:editId="55E0AA9D">
            <wp:extent cx="5810250" cy="2352675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jc w:val="center"/>
        <w:rPr>
          <w:rFonts w:cs="Times New Roman"/>
          <w:szCs w:val="28"/>
        </w:rPr>
      </w:pPr>
      <w:r w:rsidRPr="00002C7E">
        <w:rPr>
          <w:rFonts w:cs="Times New Roman"/>
          <w:szCs w:val="28"/>
        </w:rPr>
        <w:t>Рисунок 21. Структура оборота потребительского рынка города (2024 год, %)</w:t>
      </w:r>
    </w:p>
    <w:p w:rsidR="00002C7E" w:rsidRPr="00002C7E" w:rsidRDefault="00002C7E" w:rsidP="00002C7E">
      <w:pPr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26FE1C0F" wp14:editId="7D8728D0">
            <wp:extent cx="5822315" cy="333502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/>
          <w:szCs w:val="28"/>
          <w:shd w:val="clear" w:color="auto" w:fill="FFFFFF"/>
        </w:rPr>
      </w:pPr>
      <w:r w:rsidRPr="00002C7E">
        <w:rPr>
          <w:rFonts w:eastAsia="Calibri"/>
          <w:szCs w:val="28"/>
        </w:rPr>
        <w:t xml:space="preserve">Рисунок 22. Обеспеченность </w:t>
      </w:r>
      <w:r w:rsidRPr="00002C7E">
        <w:rPr>
          <w:rFonts w:eastAsia="Calibri"/>
          <w:szCs w:val="28"/>
          <w:shd w:val="clear" w:color="auto" w:fill="FFFFFF"/>
        </w:rPr>
        <w:t>населения города объектами потребительского рынка в процентах от норматива</w:t>
      </w:r>
    </w:p>
    <w:p w:rsidR="00002C7E" w:rsidRPr="00002C7E" w:rsidRDefault="00002C7E" w:rsidP="00002C7E">
      <w:pPr>
        <w:rPr>
          <w:rFonts w:eastAsia="Calibri" w:cs="Times New Roman"/>
          <w:szCs w:val="28"/>
        </w:rPr>
      </w:pPr>
      <w:r w:rsidRPr="00002C7E">
        <w:rPr>
          <w:rFonts w:eastAsia="Calibri" w:cs="Times New Roman"/>
          <w:noProof/>
          <w:szCs w:val="28"/>
          <w:lang w:eastAsia="ru-RU"/>
        </w:rPr>
        <w:drawing>
          <wp:inline distT="0" distB="0" distL="0" distR="0" wp14:anchorId="4535AAB3" wp14:editId="36E267AD">
            <wp:extent cx="5897675" cy="2076450"/>
            <wp:effectExtent l="0" t="0" r="825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91" cy="2081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02C7E" w:rsidRPr="00002C7E" w:rsidRDefault="00002C7E" w:rsidP="00002C7E">
      <w:pPr>
        <w:overflowPunct w:val="0"/>
        <w:autoSpaceDE w:val="0"/>
        <w:autoSpaceDN w:val="0"/>
        <w:jc w:val="center"/>
        <w:textAlignment w:val="baseline"/>
        <w:rPr>
          <w:rFonts w:eastAsia="Calibri"/>
          <w:szCs w:val="28"/>
        </w:rPr>
      </w:pPr>
      <w:r w:rsidRPr="00002C7E">
        <w:rPr>
          <w:rFonts w:eastAsia="Calibri"/>
          <w:szCs w:val="28"/>
        </w:rPr>
        <w:t>Рисунок 23. Объем инвестиций в основной капитал</w:t>
      </w:r>
    </w:p>
    <w:p w:rsidR="00AA7956" w:rsidRPr="00002C7E" w:rsidRDefault="00AA7956" w:rsidP="00002C7E"/>
    <w:sectPr w:rsidR="00AA7956" w:rsidRPr="00002C7E" w:rsidSect="00C420B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6F2E" w:rsidRDefault="00516F2E">
      <w:r>
        <w:separator/>
      </w:r>
    </w:p>
  </w:endnote>
  <w:endnote w:type="continuationSeparator" w:id="0">
    <w:p w:rsidR="00516F2E" w:rsidRDefault="00516F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BC" w:rsidRDefault="0051001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BC" w:rsidRDefault="00510016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BC" w:rsidRDefault="005100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6F2E" w:rsidRDefault="00516F2E">
      <w:r>
        <w:separator/>
      </w:r>
    </w:p>
  </w:footnote>
  <w:footnote w:type="continuationSeparator" w:id="0">
    <w:p w:rsidR="00516F2E" w:rsidRDefault="00516F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BC" w:rsidRDefault="00510016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55534981"/>
      <w:docPartObj>
        <w:docPartGallery w:val="Page Numbers (Top of Page)"/>
        <w:docPartUnique/>
      </w:docPartObj>
    </w:sdtPr>
    <w:sdtEndPr/>
    <w:sdtContent>
      <w:p w:rsidR="006E704F" w:rsidRPr="006E704F" w:rsidRDefault="00C420B6" w:rsidP="006E704F">
        <w:pPr>
          <w:pStyle w:val="a3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7"/>
            <w:sz w:val="20"/>
          </w:rPr>
          <w:fldChar w:fldCharType="begin"/>
        </w:r>
        <w:r w:rsidRPr="004A12EB">
          <w:rPr>
            <w:rStyle w:val="a7"/>
            <w:sz w:val="20"/>
          </w:rPr>
          <w:instrText xml:space="preserve"> NUMPAGES </w:instrText>
        </w:r>
        <w:r w:rsidRPr="004A12EB">
          <w:rPr>
            <w:rStyle w:val="a7"/>
            <w:sz w:val="20"/>
          </w:rPr>
          <w:fldChar w:fldCharType="separate"/>
        </w:r>
        <w:r w:rsidR="00F92994">
          <w:rPr>
            <w:rStyle w:val="a7"/>
            <w:noProof/>
            <w:sz w:val="20"/>
          </w:rPr>
          <w:instrText>28</w:instrText>
        </w:r>
        <w:r w:rsidRPr="004A12EB">
          <w:rPr>
            <w:rStyle w:val="a7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92994">
          <w:rPr>
            <w:noProof/>
            <w:sz w:val="20"/>
            <w:lang w:val="en-US"/>
          </w:rPr>
          <w:instrText>21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F92994">
          <w:rPr>
            <w:noProof/>
            <w:sz w:val="20"/>
            <w:lang w:val="en-US"/>
          </w:rPr>
          <w:instrText>21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F92994">
          <w:rPr>
            <w:noProof/>
            <w:sz w:val="20"/>
            <w:lang w:val="en-US"/>
          </w:rPr>
          <w:instrText>21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separate"/>
        </w:r>
        <w:r w:rsidR="00F92994">
          <w:rPr>
            <w:noProof/>
            <w:sz w:val="20"/>
            <w:lang w:val="en-US"/>
          </w:rPr>
          <w:t>21</w:t>
        </w:r>
        <w:r w:rsidRPr="004A12EB">
          <w:rPr>
            <w:sz w:val="20"/>
          </w:rPr>
          <w:fldChar w:fldCharType="end"/>
        </w:r>
      </w:p>
    </w:sdtContent>
  </w:sdt>
  <w:p w:rsidR="006E704F" w:rsidRDefault="00510016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6BBC" w:rsidRDefault="0051001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C7E"/>
    <w:rsid w:val="00002C7E"/>
    <w:rsid w:val="001C51BE"/>
    <w:rsid w:val="002336D4"/>
    <w:rsid w:val="00337298"/>
    <w:rsid w:val="004645D6"/>
    <w:rsid w:val="00485451"/>
    <w:rsid w:val="00510016"/>
    <w:rsid w:val="00516F2E"/>
    <w:rsid w:val="005A3A6A"/>
    <w:rsid w:val="00617A64"/>
    <w:rsid w:val="00646B76"/>
    <w:rsid w:val="0070735D"/>
    <w:rsid w:val="0087034E"/>
    <w:rsid w:val="00AA7956"/>
    <w:rsid w:val="00BE3A75"/>
    <w:rsid w:val="00C420B6"/>
    <w:rsid w:val="00C5646A"/>
    <w:rsid w:val="00C8636C"/>
    <w:rsid w:val="00CF0487"/>
    <w:rsid w:val="00D11F14"/>
    <w:rsid w:val="00E306FE"/>
    <w:rsid w:val="00ED4799"/>
    <w:rsid w:val="00F92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360354A9-25EE-453C-9F3B-89F1F7A9F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636C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002C7E"/>
    <w:pPr>
      <w:keepNext/>
      <w:keepLines/>
      <w:spacing w:before="24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002C7E"/>
    <w:pPr>
      <w:keepNext/>
      <w:keepLines/>
      <w:spacing w:before="200"/>
      <w:jc w:val="left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002C7E"/>
    <w:pPr>
      <w:keepNext/>
      <w:spacing w:before="240" w:after="60"/>
      <w:jc w:val="left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002C7E"/>
    <w:pPr>
      <w:keepNext/>
      <w:widowControl w:val="0"/>
      <w:adjustRightInd w:val="0"/>
      <w:spacing w:line="360" w:lineRule="auto"/>
      <w:ind w:firstLine="720"/>
      <w:jc w:val="center"/>
      <w:textAlignment w:val="baseline"/>
      <w:outlineLvl w:val="3"/>
    </w:pPr>
    <w:rPr>
      <w:rFonts w:eastAsia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20B6"/>
    <w:pPr>
      <w:tabs>
        <w:tab w:val="center" w:pos="4677"/>
        <w:tab w:val="right" w:pos="9355"/>
      </w:tabs>
      <w:jc w:val="left"/>
    </w:pPr>
  </w:style>
  <w:style w:type="character" w:customStyle="1" w:styleId="a4">
    <w:name w:val="Верхний колонтитул Знак"/>
    <w:basedOn w:val="a0"/>
    <w:link w:val="a3"/>
    <w:uiPriority w:val="99"/>
    <w:rsid w:val="00C420B6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C420B6"/>
    <w:pPr>
      <w:tabs>
        <w:tab w:val="center" w:pos="4677"/>
        <w:tab w:val="right" w:pos="9355"/>
      </w:tabs>
      <w:jc w:val="left"/>
    </w:pPr>
  </w:style>
  <w:style w:type="character" w:customStyle="1" w:styleId="a6">
    <w:name w:val="Нижний колонтитул Знак"/>
    <w:basedOn w:val="a0"/>
    <w:link w:val="a5"/>
    <w:uiPriority w:val="99"/>
    <w:rsid w:val="00C420B6"/>
    <w:rPr>
      <w:rFonts w:ascii="Times New Roman" w:hAnsi="Times New Roman"/>
      <w:sz w:val="28"/>
    </w:rPr>
  </w:style>
  <w:style w:type="character" w:styleId="a7">
    <w:name w:val="page number"/>
    <w:basedOn w:val="a0"/>
    <w:rsid w:val="00C420B6"/>
  </w:style>
  <w:style w:type="table" w:styleId="a8">
    <w:name w:val="Table Grid"/>
    <w:basedOn w:val="a1"/>
    <w:uiPriority w:val="39"/>
    <w:rsid w:val="00002C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002C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rsid w:val="00002C7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002C7E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02C7E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02C7E"/>
  </w:style>
  <w:style w:type="table" w:customStyle="1" w:styleId="12">
    <w:name w:val="Сетка таблицы1"/>
    <w:basedOn w:val="a1"/>
    <w:next w:val="a8"/>
    <w:rsid w:val="00002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nhideWhenUsed/>
    <w:rsid w:val="00002C7E"/>
    <w:pPr>
      <w:jc w:val="left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rsid w:val="00002C7E"/>
    <w:rPr>
      <w:rFonts w:ascii="Segoe UI" w:hAnsi="Segoe UI" w:cs="Segoe UI"/>
      <w:sz w:val="18"/>
      <w:szCs w:val="18"/>
    </w:rPr>
  </w:style>
  <w:style w:type="numbering" w:customStyle="1" w:styleId="110">
    <w:name w:val="Нет списка11"/>
    <w:next w:val="a2"/>
    <w:uiPriority w:val="99"/>
    <w:semiHidden/>
    <w:unhideWhenUsed/>
    <w:rsid w:val="00002C7E"/>
  </w:style>
  <w:style w:type="paragraph" w:customStyle="1" w:styleId="ConsPlusNormal">
    <w:name w:val="ConsPlusNormal"/>
    <w:link w:val="ConsPlusNormal0"/>
    <w:rsid w:val="00002C7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annotation reference"/>
    <w:uiPriority w:val="99"/>
    <w:semiHidden/>
    <w:unhideWhenUsed/>
    <w:rsid w:val="00002C7E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002C7E"/>
    <w:pPr>
      <w:spacing w:after="200"/>
      <w:jc w:val="left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d">
    <w:name w:val="Текст примечания Знак"/>
    <w:basedOn w:val="a0"/>
    <w:link w:val="ac"/>
    <w:uiPriority w:val="99"/>
    <w:rsid w:val="00002C7E"/>
    <w:rPr>
      <w:rFonts w:ascii="Calibri" w:eastAsia="Times New Roman" w:hAnsi="Calibri" w:cs="Times New Roman"/>
      <w:sz w:val="20"/>
      <w:szCs w:val="20"/>
      <w:lang w:eastAsia="ru-RU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002C7E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002C7E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0">
    <w:name w:val="List Paragraph"/>
    <w:basedOn w:val="a"/>
    <w:link w:val="af1"/>
    <w:uiPriority w:val="34"/>
    <w:qFormat/>
    <w:rsid w:val="00002C7E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  <w:lang w:eastAsia="ru-RU"/>
    </w:rPr>
  </w:style>
  <w:style w:type="character" w:styleId="af2">
    <w:name w:val="Hyperlink"/>
    <w:uiPriority w:val="99"/>
    <w:unhideWhenUsed/>
    <w:rsid w:val="00002C7E"/>
    <w:rPr>
      <w:color w:val="0000FF"/>
      <w:u w:val="single"/>
    </w:rPr>
  </w:style>
  <w:style w:type="paragraph" w:styleId="af3">
    <w:name w:val="Body Text"/>
    <w:aliases w:val="bt,Òàáë òåêñò"/>
    <w:basedOn w:val="a"/>
    <w:link w:val="13"/>
    <w:rsid w:val="00002C7E"/>
    <w:pPr>
      <w:spacing w:after="120"/>
      <w:jc w:val="left"/>
    </w:pPr>
    <w:rPr>
      <w:rFonts w:eastAsia="Times New Roman" w:cs="Times New Roman"/>
      <w:sz w:val="24"/>
      <w:szCs w:val="24"/>
    </w:rPr>
  </w:style>
  <w:style w:type="character" w:customStyle="1" w:styleId="af4">
    <w:name w:val="Основной текст Знак"/>
    <w:aliases w:val="bt Знак1,Òàáë òåêñò Знак1"/>
    <w:basedOn w:val="a0"/>
    <w:rsid w:val="00002C7E"/>
    <w:rPr>
      <w:rFonts w:ascii="Times New Roman" w:hAnsi="Times New Roman"/>
      <w:sz w:val="28"/>
    </w:rPr>
  </w:style>
  <w:style w:type="character" w:customStyle="1" w:styleId="13">
    <w:name w:val="Основной текст Знак1"/>
    <w:aliases w:val="bt Знак,Òàáë òåêñò Знак"/>
    <w:link w:val="af3"/>
    <w:rsid w:val="00002C7E"/>
    <w:rPr>
      <w:rFonts w:ascii="Times New Roman" w:eastAsia="Times New Roman" w:hAnsi="Times New Roman" w:cs="Times New Roman"/>
      <w:sz w:val="24"/>
      <w:szCs w:val="24"/>
    </w:rPr>
  </w:style>
  <w:style w:type="paragraph" w:styleId="af5">
    <w:name w:val="footnote text"/>
    <w:basedOn w:val="a"/>
    <w:link w:val="af6"/>
    <w:uiPriority w:val="99"/>
    <w:semiHidden/>
    <w:unhideWhenUsed/>
    <w:rsid w:val="00002C7E"/>
    <w:pPr>
      <w:widowControl w:val="0"/>
      <w:jc w:val="left"/>
    </w:pPr>
    <w:rPr>
      <w:rFonts w:eastAsia="Times New Roman" w:cs="Times New Roman"/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002C7E"/>
    <w:rPr>
      <w:rFonts w:ascii="Times New Roman" w:eastAsia="Times New Roman" w:hAnsi="Times New Roman" w:cs="Times New Roman"/>
      <w:sz w:val="20"/>
      <w:szCs w:val="20"/>
    </w:rPr>
  </w:style>
  <w:style w:type="character" w:styleId="af7">
    <w:name w:val="footnote reference"/>
    <w:unhideWhenUsed/>
    <w:rsid w:val="00002C7E"/>
    <w:rPr>
      <w:vertAlign w:val="superscript"/>
    </w:rPr>
  </w:style>
  <w:style w:type="paragraph" w:styleId="21">
    <w:name w:val="Body Text 2"/>
    <w:basedOn w:val="a"/>
    <w:link w:val="22"/>
    <w:uiPriority w:val="99"/>
    <w:unhideWhenUsed/>
    <w:rsid w:val="00002C7E"/>
    <w:pPr>
      <w:widowControl w:val="0"/>
      <w:spacing w:after="120" w:line="48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002C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aliases w:val=" Знак Знак Знак, Знак,Знак Знак Знак,Знак"/>
    <w:basedOn w:val="a"/>
    <w:link w:val="32"/>
    <w:uiPriority w:val="99"/>
    <w:unhideWhenUsed/>
    <w:rsid w:val="00002C7E"/>
    <w:pPr>
      <w:widowControl w:val="0"/>
      <w:spacing w:after="120"/>
      <w:ind w:left="283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aliases w:val=" Знак Знак Знак Знак, Знак Знак,Знак Знак Знак Знак1,Знак Знак"/>
    <w:basedOn w:val="a0"/>
    <w:link w:val="31"/>
    <w:uiPriority w:val="99"/>
    <w:rsid w:val="00002C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002C7E"/>
    <w:pPr>
      <w:widowControl w:val="0"/>
      <w:spacing w:after="120" w:line="480" w:lineRule="auto"/>
      <w:ind w:left="283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002C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8">
    <w:name w:val="Title"/>
    <w:basedOn w:val="a"/>
    <w:link w:val="af9"/>
    <w:uiPriority w:val="10"/>
    <w:qFormat/>
    <w:rsid w:val="00002C7E"/>
    <w:pPr>
      <w:jc w:val="center"/>
    </w:pPr>
    <w:rPr>
      <w:rFonts w:eastAsia="Times New Roman" w:cs="Times New Roman"/>
      <w:b/>
      <w:szCs w:val="20"/>
      <w:lang w:eastAsia="ru-RU"/>
    </w:rPr>
  </w:style>
  <w:style w:type="character" w:customStyle="1" w:styleId="af9">
    <w:name w:val="Заголовок Знак"/>
    <w:basedOn w:val="a0"/>
    <w:link w:val="af8"/>
    <w:uiPriority w:val="10"/>
    <w:rsid w:val="00002C7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fa">
    <w:name w:val="Normal (Web)"/>
    <w:basedOn w:val="a"/>
    <w:uiPriority w:val="99"/>
    <w:unhideWhenUsed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afb">
    <w:name w:val="endnote text"/>
    <w:basedOn w:val="a"/>
    <w:link w:val="afc"/>
    <w:uiPriority w:val="99"/>
    <w:semiHidden/>
    <w:unhideWhenUsed/>
    <w:rsid w:val="00002C7E"/>
    <w:pPr>
      <w:jc w:val="left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002C7E"/>
    <w:rPr>
      <w:rFonts w:ascii="Times New Roman" w:hAnsi="Times New Roman"/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002C7E"/>
    <w:rPr>
      <w:vertAlign w:val="superscript"/>
    </w:rPr>
  </w:style>
  <w:style w:type="paragraph" w:customStyle="1" w:styleId="Default">
    <w:name w:val="Default"/>
    <w:rsid w:val="00002C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b-articletext">
    <w:name w:val="b-article__text"/>
    <w:basedOn w:val="a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uiPriority w:val="99"/>
    <w:rsid w:val="00002C7E"/>
    <w:pPr>
      <w:ind w:firstLine="720"/>
    </w:pPr>
    <w:rPr>
      <w:rFonts w:eastAsia="Times New Roman" w:cs="Times New Roman"/>
      <w:sz w:val="24"/>
      <w:szCs w:val="20"/>
      <w:lang w:eastAsia="ru-RU"/>
    </w:rPr>
  </w:style>
  <w:style w:type="character" w:customStyle="1" w:styleId="af1">
    <w:name w:val="Абзац списка Знак"/>
    <w:link w:val="af0"/>
    <w:uiPriority w:val="34"/>
    <w:locked/>
    <w:rsid w:val="00002C7E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uiPriority w:val="99"/>
    <w:rsid w:val="00002C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e">
    <w:name w:val="No Spacing"/>
    <w:link w:val="aff"/>
    <w:uiPriority w:val="1"/>
    <w:qFormat/>
    <w:rsid w:val="00002C7E"/>
    <w:pPr>
      <w:widowControl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">
    <w:name w:val="Без интервала Знак"/>
    <w:link w:val="afe"/>
    <w:uiPriority w:val="1"/>
    <w:locked/>
    <w:rsid w:val="00002C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basedOn w:val="a0"/>
    <w:uiPriority w:val="99"/>
    <w:rsid w:val="00002C7E"/>
    <w:rPr>
      <w:rFonts w:cs="Times New Roman"/>
      <w:b w:val="0"/>
      <w:color w:val="106BBE"/>
    </w:rPr>
  </w:style>
  <w:style w:type="character" w:styleId="aff1">
    <w:name w:val="FollowedHyperlink"/>
    <w:basedOn w:val="a0"/>
    <w:uiPriority w:val="99"/>
    <w:semiHidden/>
    <w:unhideWhenUsed/>
    <w:rsid w:val="00002C7E"/>
    <w:rPr>
      <w:color w:val="954F72"/>
      <w:u w:val="single"/>
    </w:rPr>
  </w:style>
  <w:style w:type="paragraph" w:customStyle="1" w:styleId="msonormal0">
    <w:name w:val="msonormal"/>
    <w:basedOn w:val="a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uiPriority w:val="99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uiPriority w:val="99"/>
    <w:rsid w:val="00002C7E"/>
    <w:pPr>
      <w:spacing w:before="100" w:beforeAutospacing="1" w:after="100" w:afterAutospacing="1"/>
      <w:jc w:val="left"/>
    </w:pPr>
    <w:rPr>
      <w:rFonts w:eastAsia="Times New Roman" w:cs="Times New Roman"/>
      <w:color w:val="002060"/>
      <w:sz w:val="24"/>
      <w:szCs w:val="24"/>
      <w:lang w:eastAsia="ru-RU"/>
    </w:rPr>
  </w:style>
  <w:style w:type="paragraph" w:customStyle="1" w:styleId="xl68">
    <w:name w:val="xl6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69">
    <w:name w:val="xl69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70">
    <w:name w:val="xl70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74">
    <w:name w:val="xl74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5">
    <w:name w:val="xl75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77">
    <w:name w:val="xl77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78">
    <w:name w:val="xl78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79">
    <w:name w:val="xl79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0">
    <w:name w:val="xl80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1">
    <w:name w:val="xl81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2">
    <w:name w:val="xl82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6">
    <w:name w:val="xl86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7">
    <w:name w:val="xl87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88">
    <w:name w:val="xl88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89">
    <w:name w:val="xl89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90">
    <w:name w:val="xl90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2060"/>
      <w:sz w:val="18"/>
      <w:szCs w:val="18"/>
      <w:lang w:eastAsia="ru-RU"/>
    </w:rPr>
  </w:style>
  <w:style w:type="paragraph" w:customStyle="1" w:styleId="xl91">
    <w:name w:val="xl91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paragraphparagraph3qfe2">
    <w:name w:val="paragraph_paragraph__3qfe2"/>
    <w:basedOn w:val="a"/>
    <w:uiPriority w:val="99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textdesktop-18pt1gdst">
    <w:name w:val="text_desktop-18pt__1gdst"/>
    <w:basedOn w:val="a0"/>
    <w:rsid w:val="00002C7E"/>
  </w:style>
  <w:style w:type="paragraph" w:customStyle="1" w:styleId="51">
    <w:name w:val="Знак5 Знак Знак Знак Знак Знак Знак Знак Знак1 Знак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33">
    <w:name w:val="Body Text 3"/>
    <w:basedOn w:val="a"/>
    <w:link w:val="34"/>
    <w:uiPriority w:val="99"/>
    <w:unhideWhenUsed/>
    <w:rsid w:val="00002C7E"/>
    <w:pPr>
      <w:spacing w:after="120"/>
      <w:jc w:val="left"/>
    </w:pPr>
    <w:rPr>
      <w:rFonts w:eastAsia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uiPriority w:val="99"/>
    <w:rsid w:val="00002C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2">
    <w:name w:val="Body Text Indent"/>
    <w:aliases w:val="Основной текст 1"/>
    <w:basedOn w:val="a"/>
    <w:link w:val="aff3"/>
    <w:rsid w:val="00002C7E"/>
    <w:pPr>
      <w:spacing w:after="120"/>
      <w:ind w:left="283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Основной текст с отступом Знак"/>
    <w:aliases w:val="Основной текст 1 Знак"/>
    <w:basedOn w:val="a0"/>
    <w:link w:val="aff2"/>
    <w:rsid w:val="00002C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List Bullet"/>
    <w:aliases w:val="UL,Маркированный список 1,Маркированный список1,Маркированный список Знак Знак Знак Знак Знак Знак Знак Знак Знак Знак Знак Знак Знак Знак Знак Знак,List Bullet 1"/>
    <w:basedOn w:val="aff5"/>
    <w:autoRedefine/>
    <w:uiPriority w:val="99"/>
    <w:rsid w:val="00002C7E"/>
    <w:pPr>
      <w:ind w:left="0" w:firstLine="720"/>
      <w:jc w:val="both"/>
    </w:pPr>
    <w:rPr>
      <w:spacing w:val="-5"/>
      <w:sz w:val="28"/>
      <w:szCs w:val="28"/>
    </w:rPr>
  </w:style>
  <w:style w:type="paragraph" w:styleId="aff5">
    <w:name w:val="List"/>
    <w:basedOn w:val="a"/>
    <w:uiPriority w:val="99"/>
    <w:rsid w:val="00002C7E"/>
    <w:pPr>
      <w:ind w:left="283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styleId="25">
    <w:name w:val="List 2"/>
    <w:basedOn w:val="a"/>
    <w:uiPriority w:val="99"/>
    <w:rsid w:val="00002C7E"/>
    <w:pPr>
      <w:ind w:left="566" w:hanging="283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6">
    <w:name w:val="Нормальный.представление"/>
    <w:uiPriority w:val="99"/>
    <w:rsid w:val="00002C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BodyText21">
    <w:name w:val="Body Text 21"/>
    <w:basedOn w:val="a"/>
    <w:uiPriority w:val="99"/>
    <w:rsid w:val="00002C7E"/>
    <w:pPr>
      <w:widowControl w:val="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211">
    <w:name w:val="Основной текст с отступом 21"/>
    <w:basedOn w:val="a"/>
    <w:uiPriority w:val="99"/>
    <w:rsid w:val="00002C7E"/>
    <w:pPr>
      <w:widowControl w:val="0"/>
      <w:ind w:left="360"/>
      <w:jc w:val="left"/>
    </w:pPr>
    <w:rPr>
      <w:rFonts w:eastAsia="Times New Roman" w:cs="Times New Roman"/>
      <w:b/>
      <w:szCs w:val="20"/>
      <w:lang w:eastAsia="ru-RU"/>
    </w:rPr>
  </w:style>
  <w:style w:type="paragraph" w:customStyle="1" w:styleId="NoaiaaoiueHTML">
    <w:name w:val="Noaiaa?oiue HTML"/>
    <w:basedOn w:val="a"/>
    <w:uiPriority w:val="99"/>
    <w:rsid w:val="00002C7E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310">
    <w:name w:val="Основной текст с отступом 31"/>
    <w:basedOn w:val="a"/>
    <w:uiPriority w:val="99"/>
    <w:rsid w:val="00002C7E"/>
    <w:pPr>
      <w:widowControl w:val="0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xl24">
    <w:name w:val="xl24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25">
    <w:name w:val="xl25"/>
    <w:basedOn w:val="a"/>
    <w:uiPriority w:val="99"/>
    <w:rsid w:val="00002C7E"/>
    <w:pPr>
      <w:widowControl w:val="0"/>
      <w:pBdr>
        <w:top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26">
    <w:name w:val="xl26"/>
    <w:basedOn w:val="a"/>
    <w:uiPriority w:val="99"/>
    <w:rsid w:val="00002C7E"/>
    <w:pPr>
      <w:widowControl w:val="0"/>
      <w:pBdr>
        <w:top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27">
    <w:name w:val="xl27"/>
    <w:basedOn w:val="a"/>
    <w:uiPriority w:val="99"/>
    <w:rsid w:val="00002C7E"/>
    <w:pPr>
      <w:widowControl w:val="0"/>
      <w:pBdr>
        <w:left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28">
    <w:name w:val="xl28"/>
    <w:basedOn w:val="a"/>
    <w:uiPriority w:val="99"/>
    <w:rsid w:val="00002C7E"/>
    <w:pPr>
      <w:widowControl w:val="0"/>
      <w:pBdr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29">
    <w:name w:val="xl29"/>
    <w:basedOn w:val="a"/>
    <w:uiPriority w:val="99"/>
    <w:rsid w:val="00002C7E"/>
    <w:pPr>
      <w:widowControl w:val="0"/>
      <w:pBdr>
        <w:right w:val="single" w:sz="6" w:space="0" w:color="auto"/>
      </w:pBdr>
      <w:spacing w:before="100" w:after="100"/>
      <w:jc w:val="left"/>
    </w:pPr>
    <w:rPr>
      <w:rFonts w:eastAsia="Times New Roman" w:cs="Times New Roman"/>
      <w:sz w:val="16"/>
      <w:szCs w:val="20"/>
      <w:lang w:eastAsia="ru-RU"/>
    </w:rPr>
  </w:style>
  <w:style w:type="paragraph" w:customStyle="1" w:styleId="xl30">
    <w:name w:val="xl30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xl31">
    <w:name w:val="xl31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xl32">
    <w:name w:val="xl32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xl33">
    <w:name w:val="xl33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xl34">
    <w:name w:val="xl34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xl35">
    <w:name w:val="xl35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xl36">
    <w:name w:val="xl36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xl37">
    <w:name w:val="xl37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38">
    <w:name w:val="xl38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39">
    <w:name w:val="xl39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xl40">
    <w:name w:val="xl40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i/>
      <w:sz w:val="24"/>
      <w:szCs w:val="20"/>
      <w:lang w:eastAsia="ru-RU"/>
    </w:rPr>
  </w:style>
  <w:style w:type="paragraph" w:customStyle="1" w:styleId="xl41">
    <w:name w:val="xl41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i/>
      <w:color w:val="000000"/>
      <w:sz w:val="24"/>
      <w:szCs w:val="20"/>
      <w:lang w:eastAsia="ru-RU"/>
    </w:rPr>
  </w:style>
  <w:style w:type="paragraph" w:customStyle="1" w:styleId="xl42">
    <w:name w:val="xl42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BodyText23">
    <w:name w:val="Body Text 23"/>
    <w:basedOn w:val="a"/>
    <w:uiPriority w:val="99"/>
    <w:rsid w:val="00002C7E"/>
    <w:pPr>
      <w:widowControl w:val="0"/>
      <w:ind w:firstLine="708"/>
      <w:jc w:val="left"/>
    </w:pPr>
    <w:rPr>
      <w:rFonts w:eastAsia="Times New Roman" w:cs="Times New Roman"/>
      <w:szCs w:val="20"/>
      <w:lang w:eastAsia="ru-RU"/>
    </w:rPr>
  </w:style>
  <w:style w:type="paragraph" w:customStyle="1" w:styleId="BodyTextIndent21">
    <w:name w:val="Body Text Indent 21"/>
    <w:basedOn w:val="a"/>
    <w:uiPriority w:val="99"/>
    <w:rsid w:val="00002C7E"/>
    <w:pPr>
      <w:widowControl w:val="0"/>
      <w:ind w:firstLine="708"/>
    </w:pPr>
    <w:rPr>
      <w:rFonts w:eastAsia="Times New Roman" w:cs="Times New Roman"/>
      <w:szCs w:val="20"/>
      <w:lang w:eastAsia="ru-RU"/>
    </w:rPr>
  </w:style>
  <w:style w:type="paragraph" w:customStyle="1" w:styleId="BodyText22">
    <w:name w:val="Body Text 22"/>
    <w:basedOn w:val="a"/>
    <w:uiPriority w:val="99"/>
    <w:rsid w:val="00002C7E"/>
    <w:pPr>
      <w:widowControl w:val="0"/>
      <w:ind w:right="120"/>
    </w:pPr>
    <w:rPr>
      <w:rFonts w:eastAsia="Times New Roman" w:cs="Times New Roman"/>
      <w:sz w:val="24"/>
      <w:szCs w:val="20"/>
      <w:lang w:eastAsia="ru-RU"/>
    </w:rPr>
  </w:style>
  <w:style w:type="paragraph" w:customStyle="1" w:styleId="xl43">
    <w:name w:val="xl43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sz w:val="24"/>
      <w:szCs w:val="20"/>
      <w:lang w:eastAsia="ru-RU"/>
    </w:rPr>
  </w:style>
  <w:style w:type="paragraph" w:customStyle="1" w:styleId="xl44">
    <w:name w:val="xl44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i/>
      <w:sz w:val="24"/>
      <w:szCs w:val="20"/>
      <w:lang w:eastAsia="ru-RU"/>
    </w:rPr>
  </w:style>
  <w:style w:type="paragraph" w:customStyle="1" w:styleId="xl45">
    <w:name w:val="xl45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left"/>
    </w:pPr>
    <w:rPr>
      <w:rFonts w:eastAsia="Times New Roman" w:cs="Times New Roman"/>
      <w:i/>
      <w:sz w:val="24"/>
      <w:szCs w:val="20"/>
      <w:lang w:eastAsia="ru-RU"/>
    </w:rPr>
  </w:style>
  <w:style w:type="paragraph" w:customStyle="1" w:styleId="xl46">
    <w:name w:val="xl46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47">
    <w:name w:val="xl47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48">
    <w:name w:val="xl48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49">
    <w:name w:val="xl49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customStyle="1" w:styleId="xl50">
    <w:name w:val="xl50"/>
    <w:basedOn w:val="a"/>
    <w:uiPriority w:val="99"/>
    <w:rsid w:val="00002C7E"/>
    <w:pPr>
      <w:widowControl w:val="0"/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before="100" w:after="100"/>
      <w:jc w:val="center"/>
    </w:pPr>
    <w:rPr>
      <w:rFonts w:eastAsia="Times New Roman" w:cs="Times New Roman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002C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002C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4">
    <w:name w:val="Нижний колонтитул1"/>
    <w:basedOn w:val="a"/>
    <w:uiPriority w:val="99"/>
    <w:rsid w:val="00002C7E"/>
    <w:pPr>
      <w:widowControl w:val="0"/>
      <w:tabs>
        <w:tab w:val="center" w:pos="4153"/>
        <w:tab w:val="right" w:pos="8306"/>
      </w:tabs>
      <w:jc w:val="left"/>
    </w:pPr>
    <w:rPr>
      <w:rFonts w:eastAsia="Times New Roman" w:cs="Times New Roman"/>
      <w:sz w:val="20"/>
      <w:szCs w:val="20"/>
      <w:lang w:eastAsia="ru-RU"/>
    </w:rPr>
  </w:style>
  <w:style w:type="paragraph" w:customStyle="1" w:styleId="aff7">
    <w:name w:val="Мой стиль"/>
    <w:basedOn w:val="a"/>
    <w:uiPriority w:val="99"/>
    <w:rsid w:val="00002C7E"/>
    <w:pPr>
      <w:widowControl w:val="0"/>
      <w:adjustRightInd w:val="0"/>
      <w:spacing w:after="120" w:line="288" w:lineRule="auto"/>
      <w:ind w:left="2268"/>
      <w:textAlignment w:val="baseline"/>
    </w:pPr>
    <w:rPr>
      <w:rFonts w:ascii="Georgia" w:eastAsia="Times New Roman" w:hAnsi="Georgia" w:cs="Times New Roman"/>
      <w:sz w:val="22"/>
      <w:szCs w:val="20"/>
      <w:lang w:eastAsia="ru-RU"/>
    </w:rPr>
  </w:style>
  <w:style w:type="paragraph" w:styleId="15">
    <w:name w:val="toc 1"/>
    <w:basedOn w:val="a"/>
    <w:next w:val="a"/>
    <w:autoRedefine/>
    <w:uiPriority w:val="99"/>
    <w:semiHidden/>
    <w:rsid w:val="00002C7E"/>
    <w:pPr>
      <w:jc w:val="left"/>
    </w:pPr>
    <w:rPr>
      <w:rFonts w:eastAsia="Times New Roman" w:cs="Times New Roman"/>
      <w:sz w:val="24"/>
      <w:szCs w:val="24"/>
      <w:lang w:eastAsia="ru-RU"/>
    </w:rPr>
  </w:style>
  <w:style w:type="paragraph" w:styleId="26">
    <w:name w:val="toc 2"/>
    <w:basedOn w:val="a"/>
    <w:next w:val="a"/>
    <w:autoRedefine/>
    <w:uiPriority w:val="99"/>
    <w:semiHidden/>
    <w:rsid w:val="00002C7E"/>
    <w:pPr>
      <w:ind w:left="240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5">
    <w:name w:val="Знак5 Знак Знак Знак Знак Знак"/>
    <w:basedOn w:val="a"/>
    <w:uiPriority w:val="99"/>
    <w:rsid w:val="00002C7E"/>
    <w:pPr>
      <w:widowControl w:val="0"/>
      <w:adjustRightInd w:val="0"/>
      <w:spacing w:after="160" w:line="240" w:lineRule="exact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0">
    <w:name w:val="Знак5 Знак Знак Знак Знак Знак Знак Знак Знак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2">
    <w:name w:val="Знак5 Знак Знак Знак Знак Знак Знак Знак Знак Знак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3">
    <w:name w:val="Знак5 Знак Знак Знак Знак Знак Знак"/>
    <w:basedOn w:val="a"/>
    <w:uiPriority w:val="99"/>
    <w:rsid w:val="00002C7E"/>
    <w:pPr>
      <w:widowControl w:val="0"/>
      <w:adjustRightInd w:val="0"/>
      <w:spacing w:after="160" w:line="240" w:lineRule="exact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40">
    <w:name w:val="Обычный + 14 пт"/>
    <w:basedOn w:val="a"/>
    <w:uiPriority w:val="99"/>
    <w:rsid w:val="00002C7E"/>
    <w:pPr>
      <w:jc w:val="left"/>
    </w:pPr>
    <w:rPr>
      <w:rFonts w:eastAsia="Times New Roman" w:cs="Times New Roman"/>
      <w:szCs w:val="28"/>
      <w:lang w:eastAsia="ru-RU"/>
    </w:rPr>
  </w:style>
  <w:style w:type="character" w:customStyle="1" w:styleId="aff8">
    <w:name w:val="Знак Знак Знак Знак"/>
    <w:aliases w:val=" Знак Знак Знак1"/>
    <w:rsid w:val="00002C7E"/>
    <w:rPr>
      <w:sz w:val="16"/>
      <w:szCs w:val="16"/>
      <w:lang w:val="ru-RU" w:eastAsia="ru-RU" w:bidi="ar-SA"/>
    </w:rPr>
  </w:style>
  <w:style w:type="paragraph" w:styleId="aff9">
    <w:name w:val="Plain Text"/>
    <w:basedOn w:val="a"/>
    <w:link w:val="affa"/>
    <w:uiPriority w:val="99"/>
    <w:rsid w:val="00002C7E"/>
    <w:pPr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0"/>
    <w:link w:val="aff9"/>
    <w:uiPriority w:val="99"/>
    <w:rsid w:val="00002C7E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6">
    <w:name w:val="Стиль1"/>
    <w:basedOn w:val="26"/>
    <w:uiPriority w:val="99"/>
    <w:rsid w:val="00002C7E"/>
    <w:pPr>
      <w:tabs>
        <w:tab w:val="right" w:leader="dot" w:pos="9571"/>
      </w:tabs>
      <w:spacing w:line="360" w:lineRule="auto"/>
    </w:pPr>
    <w:rPr>
      <w:bCs/>
      <w:noProof/>
      <w:sz w:val="26"/>
      <w:szCs w:val="26"/>
    </w:rPr>
  </w:style>
  <w:style w:type="character" w:styleId="affb">
    <w:name w:val="line number"/>
    <w:basedOn w:val="a0"/>
    <w:rsid w:val="00002C7E"/>
  </w:style>
  <w:style w:type="paragraph" w:customStyle="1" w:styleId="affc">
    <w:name w:val="Основной"/>
    <w:basedOn w:val="a"/>
    <w:link w:val="affd"/>
    <w:uiPriority w:val="99"/>
    <w:qFormat/>
    <w:rsid w:val="00002C7E"/>
    <w:pPr>
      <w:spacing w:before="120"/>
      <w:ind w:firstLine="720"/>
    </w:pPr>
    <w:rPr>
      <w:rFonts w:eastAsia="Times New Roman" w:cs="Times New Roman"/>
      <w:szCs w:val="20"/>
      <w:lang w:eastAsia="ru-RU"/>
    </w:rPr>
  </w:style>
  <w:style w:type="character" w:styleId="affe">
    <w:name w:val="Emphasis"/>
    <w:uiPriority w:val="20"/>
    <w:qFormat/>
    <w:rsid w:val="00002C7E"/>
    <w:rPr>
      <w:i/>
      <w:iCs/>
    </w:rPr>
  </w:style>
  <w:style w:type="paragraph" w:customStyle="1" w:styleId="510">
    <w:name w:val="Знак5 Знак Знак Знак Знак Знак Знак Знак Знак1 Знак Знак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ff">
    <w:name w:val="Body Text First Indent"/>
    <w:basedOn w:val="af3"/>
    <w:link w:val="afff0"/>
    <w:uiPriority w:val="99"/>
    <w:unhideWhenUsed/>
    <w:rsid w:val="00002C7E"/>
    <w:pPr>
      <w:ind w:firstLine="210"/>
    </w:pPr>
    <w:rPr>
      <w:lang w:eastAsia="ru-RU"/>
    </w:rPr>
  </w:style>
  <w:style w:type="character" w:customStyle="1" w:styleId="afff0">
    <w:name w:val="Красная строка Знак"/>
    <w:basedOn w:val="af4"/>
    <w:link w:val="afff"/>
    <w:uiPriority w:val="99"/>
    <w:rsid w:val="00002C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t">
    <w:name w:val="bt Знак Знак"/>
    <w:rsid w:val="00002C7E"/>
    <w:rPr>
      <w:sz w:val="24"/>
      <w:szCs w:val="24"/>
      <w:lang w:val="ru-RU" w:eastAsia="ru-RU" w:bidi="ar-SA"/>
    </w:rPr>
  </w:style>
  <w:style w:type="character" w:customStyle="1" w:styleId="35">
    <w:name w:val="Знак Знак3"/>
    <w:locked/>
    <w:rsid w:val="00002C7E"/>
    <w:rPr>
      <w:sz w:val="16"/>
      <w:szCs w:val="16"/>
      <w:lang w:val="ru-RU" w:eastAsia="ru-RU" w:bidi="ar-SA"/>
    </w:rPr>
  </w:style>
  <w:style w:type="paragraph" w:customStyle="1" w:styleId="17">
    <w:name w:val="Обычный1"/>
    <w:basedOn w:val="a"/>
    <w:uiPriority w:val="99"/>
    <w:rsid w:val="00002C7E"/>
    <w:pPr>
      <w:spacing w:before="100" w:beforeAutospacing="1" w:after="100" w:afterAutospacing="1"/>
      <w:ind w:left="480" w:right="240"/>
    </w:pPr>
    <w:rPr>
      <w:rFonts w:ascii="Verdana" w:eastAsia="Times New Roman" w:hAnsi="Verdana" w:cs="Times New Roman"/>
      <w:color w:val="000000"/>
      <w:sz w:val="16"/>
      <w:szCs w:val="16"/>
      <w:lang w:eastAsia="ru-RU"/>
    </w:rPr>
  </w:style>
  <w:style w:type="paragraph" w:customStyle="1" w:styleId="320">
    <w:name w:val="Основной текст 32"/>
    <w:basedOn w:val="a"/>
    <w:uiPriority w:val="99"/>
    <w:rsid w:val="00002C7E"/>
    <w:pPr>
      <w:jc w:val="left"/>
    </w:pPr>
    <w:rPr>
      <w:rFonts w:eastAsia="Calibri" w:cs="Times New Roman"/>
      <w:szCs w:val="24"/>
      <w:lang w:eastAsia="ru-RU"/>
    </w:rPr>
  </w:style>
  <w:style w:type="character" w:styleId="afff1">
    <w:name w:val="Strong"/>
    <w:uiPriority w:val="22"/>
    <w:qFormat/>
    <w:rsid w:val="00002C7E"/>
    <w:rPr>
      <w:b/>
      <w:bCs/>
    </w:rPr>
  </w:style>
  <w:style w:type="paragraph" w:customStyle="1" w:styleId="18">
    <w:name w:val="Без интервала1"/>
    <w:uiPriority w:val="99"/>
    <w:rsid w:val="00002C7E"/>
    <w:pPr>
      <w:widowControl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passport-text-paragraph">
    <w:name w:val="passport-text-paragraph"/>
    <w:basedOn w:val="a"/>
    <w:uiPriority w:val="99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9">
    <w:name w:val="Абзац списка1"/>
    <w:basedOn w:val="a"/>
    <w:uiPriority w:val="99"/>
    <w:rsid w:val="00002C7E"/>
    <w:pPr>
      <w:ind w:left="720"/>
      <w:jc w:val="left"/>
    </w:pPr>
    <w:rPr>
      <w:rFonts w:eastAsia="Calibri" w:cs="Times New Roman"/>
      <w:sz w:val="20"/>
      <w:szCs w:val="20"/>
      <w:lang w:eastAsia="ru-RU"/>
    </w:rPr>
  </w:style>
  <w:style w:type="paragraph" w:customStyle="1" w:styleId="xl92">
    <w:name w:val="xl92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3">
    <w:name w:val="xl93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95">
    <w:name w:val="xl95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96">
    <w:name w:val="xl96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99">
    <w:name w:val="xl99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1">
    <w:name w:val="xl101"/>
    <w:basedOn w:val="a"/>
    <w:rsid w:val="00002C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2">
    <w:name w:val="xl102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3">
    <w:name w:val="xl103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4">
    <w:name w:val="xl104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05">
    <w:name w:val="xl105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09">
    <w:name w:val="xl109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10">
    <w:name w:val="xl110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12">
    <w:name w:val="xl112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15">
    <w:name w:val="xl11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20"/>
      <w:szCs w:val="20"/>
      <w:lang w:eastAsia="ru-RU"/>
    </w:rPr>
  </w:style>
  <w:style w:type="paragraph" w:customStyle="1" w:styleId="xl117">
    <w:name w:val="xl11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uiPriority w:val="99"/>
    <w:rsid w:val="00002C7E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3">
    <w:name w:val="xl12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6"/>
      <w:szCs w:val="16"/>
      <w:lang w:eastAsia="ru-RU"/>
    </w:rPr>
  </w:style>
  <w:style w:type="paragraph" w:customStyle="1" w:styleId="xl126">
    <w:name w:val="xl12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28">
    <w:name w:val="xl12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30">
    <w:name w:val="xl130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31">
    <w:name w:val="xl131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4"/>
      <w:szCs w:val="14"/>
      <w:lang w:eastAsia="ru-RU"/>
    </w:rPr>
  </w:style>
  <w:style w:type="paragraph" w:customStyle="1" w:styleId="xl132">
    <w:name w:val="xl132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33">
    <w:name w:val="xl133"/>
    <w:basedOn w:val="a"/>
    <w:uiPriority w:val="99"/>
    <w:rsid w:val="00002C7E"/>
    <w:pP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uiPriority w:val="99"/>
    <w:rsid w:val="00002C7E"/>
    <w:pPr>
      <w:spacing w:before="100" w:beforeAutospacing="1" w:after="100" w:afterAutospacing="1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35">
    <w:name w:val="xl13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36">
    <w:name w:val="xl13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uiPriority w:val="99"/>
    <w:rsid w:val="00002C7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uiPriority w:val="99"/>
    <w:rsid w:val="00002C7E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39">
    <w:name w:val="xl139"/>
    <w:basedOn w:val="a"/>
    <w:uiPriority w:val="99"/>
    <w:rsid w:val="00002C7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uiPriority w:val="99"/>
    <w:rsid w:val="00002C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uiPriority w:val="99"/>
    <w:rsid w:val="00002C7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2">
    <w:name w:val="xl142"/>
    <w:basedOn w:val="a"/>
    <w:uiPriority w:val="99"/>
    <w:rsid w:val="00002C7E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3">
    <w:name w:val="xl14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uiPriority w:val="99"/>
    <w:rsid w:val="00002C7E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5">
    <w:name w:val="xl14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47">
    <w:name w:val="xl14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48">
    <w:name w:val="xl14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8"/>
      <w:szCs w:val="18"/>
      <w:lang w:eastAsia="ru-RU"/>
    </w:rPr>
  </w:style>
  <w:style w:type="paragraph" w:customStyle="1" w:styleId="xl149">
    <w:name w:val="xl149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50">
    <w:name w:val="xl150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8"/>
      <w:szCs w:val="18"/>
      <w:lang w:eastAsia="ru-RU"/>
    </w:rPr>
  </w:style>
  <w:style w:type="paragraph" w:customStyle="1" w:styleId="xl151">
    <w:name w:val="xl151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color w:val="FF0000"/>
      <w:sz w:val="18"/>
      <w:szCs w:val="18"/>
      <w:lang w:eastAsia="ru-RU"/>
    </w:rPr>
  </w:style>
  <w:style w:type="paragraph" w:customStyle="1" w:styleId="xl152">
    <w:name w:val="xl152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155">
    <w:name w:val="xl15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Times New Roman" w:cs="Times New Roman"/>
      <w:sz w:val="20"/>
      <w:szCs w:val="20"/>
      <w:lang w:eastAsia="ru-RU"/>
    </w:rPr>
  </w:style>
  <w:style w:type="paragraph" w:customStyle="1" w:styleId="xl156">
    <w:name w:val="xl15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58">
    <w:name w:val="xl158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0"/>
      <w:szCs w:val="20"/>
      <w:lang w:eastAsia="ru-RU"/>
    </w:rPr>
  </w:style>
  <w:style w:type="paragraph" w:customStyle="1" w:styleId="xl159">
    <w:name w:val="xl159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60">
    <w:name w:val="xl160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61">
    <w:name w:val="xl161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62">
    <w:name w:val="xl162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63">
    <w:name w:val="xl16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64">
    <w:name w:val="xl164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color w:val="FF0000"/>
      <w:sz w:val="18"/>
      <w:szCs w:val="18"/>
      <w:lang w:eastAsia="ru-RU"/>
    </w:rPr>
  </w:style>
  <w:style w:type="paragraph" w:customStyle="1" w:styleId="xl165">
    <w:name w:val="xl16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Times New Roman" w:cs="Times New Roman"/>
      <w:color w:val="000000"/>
      <w:sz w:val="18"/>
      <w:szCs w:val="18"/>
      <w:lang w:eastAsia="ru-RU"/>
    </w:rPr>
  </w:style>
  <w:style w:type="paragraph" w:customStyle="1" w:styleId="xl166">
    <w:name w:val="xl166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67">
    <w:name w:val="xl167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4"/>
      <w:szCs w:val="14"/>
      <w:lang w:eastAsia="ru-RU"/>
    </w:rPr>
  </w:style>
  <w:style w:type="paragraph" w:customStyle="1" w:styleId="xl168">
    <w:name w:val="xl168"/>
    <w:basedOn w:val="a"/>
    <w:uiPriority w:val="99"/>
    <w:rsid w:val="00002C7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uiPriority w:val="99"/>
    <w:rsid w:val="00002C7E"/>
    <w:pPr>
      <w:spacing w:before="100" w:beforeAutospacing="1" w:after="100" w:afterAutospacing="1"/>
      <w:jc w:val="left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uiPriority w:val="99"/>
    <w:rsid w:val="00002C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uiPriority w:val="99"/>
    <w:rsid w:val="00002C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uiPriority w:val="99"/>
    <w:rsid w:val="00002C7E"/>
    <w:pPr>
      <w:spacing w:before="100" w:beforeAutospacing="1" w:after="100" w:afterAutospacing="1"/>
      <w:jc w:val="center"/>
      <w:textAlignment w:val="center"/>
    </w:pPr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uiPriority w:val="99"/>
    <w:rsid w:val="00002C7E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uiPriority w:val="99"/>
    <w:rsid w:val="00002C7E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24"/>
      <w:szCs w:val="24"/>
      <w:lang w:eastAsia="ru-RU"/>
    </w:rPr>
  </w:style>
  <w:style w:type="paragraph" w:customStyle="1" w:styleId="220">
    <w:name w:val="Основной текст 22"/>
    <w:basedOn w:val="a"/>
    <w:uiPriority w:val="99"/>
    <w:rsid w:val="00002C7E"/>
    <w:pPr>
      <w:widowControl w:val="0"/>
    </w:pPr>
    <w:rPr>
      <w:rFonts w:eastAsia="Times New Roman" w:cs="Times New Roman"/>
      <w:szCs w:val="20"/>
      <w:lang w:eastAsia="ru-RU"/>
    </w:rPr>
  </w:style>
  <w:style w:type="paragraph" w:customStyle="1" w:styleId="221">
    <w:name w:val="Основной текст с отступом 22"/>
    <w:basedOn w:val="a"/>
    <w:uiPriority w:val="99"/>
    <w:rsid w:val="00002C7E"/>
    <w:pPr>
      <w:widowControl w:val="0"/>
      <w:ind w:left="360"/>
      <w:jc w:val="left"/>
    </w:pPr>
    <w:rPr>
      <w:rFonts w:eastAsia="Times New Roman" w:cs="Times New Roman"/>
      <w:b/>
      <w:szCs w:val="20"/>
      <w:lang w:eastAsia="ru-RU"/>
    </w:rPr>
  </w:style>
  <w:style w:type="paragraph" w:customStyle="1" w:styleId="321">
    <w:name w:val="Основной текст с отступом 32"/>
    <w:basedOn w:val="a"/>
    <w:uiPriority w:val="99"/>
    <w:rsid w:val="00002C7E"/>
    <w:pPr>
      <w:widowControl w:val="0"/>
      <w:ind w:firstLine="720"/>
    </w:pPr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27">
    <w:name w:val="Без интервала2"/>
    <w:uiPriority w:val="99"/>
    <w:rsid w:val="00002C7E"/>
    <w:pPr>
      <w:widowControl w:val="0"/>
      <w:adjustRightInd w:val="0"/>
      <w:spacing w:after="0" w:line="240" w:lineRule="auto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28">
    <w:name w:val="Абзац списка2"/>
    <w:basedOn w:val="a"/>
    <w:uiPriority w:val="99"/>
    <w:rsid w:val="00002C7E"/>
    <w:pPr>
      <w:ind w:left="720"/>
      <w:jc w:val="left"/>
    </w:pPr>
    <w:rPr>
      <w:rFonts w:eastAsia="Calibri" w:cs="Times New Roman"/>
      <w:sz w:val="20"/>
      <w:szCs w:val="20"/>
      <w:lang w:eastAsia="ru-RU"/>
    </w:rPr>
  </w:style>
  <w:style w:type="paragraph" w:customStyle="1" w:styleId="xl65">
    <w:name w:val="xl65"/>
    <w:basedOn w:val="a"/>
    <w:uiPriority w:val="99"/>
    <w:rsid w:val="00002C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 w:cs="Times New Roman"/>
      <w:sz w:val="18"/>
      <w:szCs w:val="18"/>
      <w:lang w:eastAsia="ru-RU"/>
    </w:rPr>
  </w:style>
  <w:style w:type="paragraph" w:customStyle="1" w:styleId="afff2">
    <w:name w:val="Знак Знак Знак Знак Знак Знак Знак Знак Знак Знак"/>
    <w:basedOn w:val="a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fff3">
    <w:name w:val="Сравнение редакций. Удаленный фрагмент"/>
    <w:uiPriority w:val="99"/>
    <w:rsid w:val="00002C7E"/>
    <w:rPr>
      <w:color w:val="000000"/>
      <w:shd w:val="clear" w:color="auto" w:fill="C4C413"/>
    </w:rPr>
  </w:style>
  <w:style w:type="character" w:customStyle="1" w:styleId="afff4">
    <w:name w:val="Цветовое выделение"/>
    <w:uiPriority w:val="99"/>
    <w:rsid w:val="00002C7E"/>
    <w:rPr>
      <w:b/>
      <w:color w:val="26282F"/>
    </w:rPr>
  </w:style>
  <w:style w:type="paragraph" w:customStyle="1" w:styleId="afff5">
    <w:name w:val="Прижатый влево"/>
    <w:basedOn w:val="a"/>
    <w:next w:val="a"/>
    <w:uiPriority w:val="99"/>
    <w:rsid w:val="00002C7E"/>
    <w:pPr>
      <w:autoSpaceDE w:val="0"/>
      <w:autoSpaceDN w:val="0"/>
      <w:adjustRightInd w:val="0"/>
      <w:jc w:val="left"/>
    </w:pPr>
    <w:rPr>
      <w:rFonts w:ascii="Arial" w:hAnsi="Arial" w:cs="Arial"/>
      <w:sz w:val="24"/>
      <w:szCs w:val="24"/>
    </w:rPr>
  </w:style>
  <w:style w:type="paragraph" w:customStyle="1" w:styleId="230">
    <w:name w:val="Основной текст 23"/>
    <w:basedOn w:val="a"/>
    <w:uiPriority w:val="99"/>
    <w:rsid w:val="00002C7E"/>
    <w:pPr>
      <w:widowControl w:val="0"/>
    </w:pPr>
    <w:rPr>
      <w:rFonts w:eastAsia="Times New Roman" w:cs="Times New Roman"/>
      <w:szCs w:val="20"/>
      <w:lang w:eastAsia="ru-RU"/>
    </w:rPr>
  </w:style>
  <w:style w:type="paragraph" w:customStyle="1" w:styleId="ConsPlusCell">
    <w:name w:val="ConsPlusCell"/>
    <w:uiPriority w:val="99"/>
    <w:rsid w:val="00002C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0"/>
    <w:rsid w:val="00002C7E"/>
  </w:style>
  <w:style w:type="paragraph" w:customStyle="1" w:styleId="212">
    <w:name w:val="Заголовок 21"/>
    <w:basedOn w:val="a"/>
    <w:next w:val="a"/>
    <w:unhideWhenUsed/>
    <w:qFormat/>
    <w:rsid w:val="00002C7E"/>
    <w:pPr>
      <w:keepNext/>
      <w:keepLines/>
      <w:spacing w:before="20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002C7E"/>
    <w:rPr>
      <w:color w:val="800080"/>
      <w:u w:val="single"/>
    </w:rPr>
  </w:style>
  <w:style w:type="character" w:customStyle="1" w:styleId="1b">
    <w:name w:val="Основной текст с отступом Знак1"/>
    <w:aliases w:val="Основной текст 1 Знак1"/>
    <w:basedOn w:val="a0"/>
    <w:semiHidden/>
    <w:rsid w:val="00002C7E"/>
    <w:rPr>
      <w:rFonts w:ascii="Times New Roman" w:hAnsi="Times New Roman"/>
      <w:sz w:val="28"/>
    </w:rPr>
  </w:style>
  <w:style w:type="character" w:customStyle="1" w:styleId="311">
    <w:name w:val="Основной текст с отступом 3 Знак1"/>
    <w:aliases w:val="Знак Знак Знак Знак2,Знак Знак1, Знак Знак Знак Знак1, Знак Знак1"/>
    <w:basedOn w:val="a0"/>
    <w:uiPriority w:val="99"/>
    <w:rsid w:val="00002C7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512">
    <w:name w:val="Знак5 Знак Знак Знак Знак Знак Знак Знак Знак1 Знак2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20">
    <w:name w:val="Знак5 Знак Знак Знак Знак Знак Знак2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1">
    <w:name w:val="Знак5 Знак Знак Знак Знак Знак Знак Знак Знак1 Знак1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3">
    <w:name w:val="Знак5 Знак Знак Знак Знак Знак Знак Знак Знак1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4">
    <w:name w:val="Знак5 Знак Знак Знак Знак Знак Знак Знак Знак Знак1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5">
    <w:name w:val="Знак5 Знак Знак Знак Знак Знак Знак1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5110">
    <w:name w:val="Знак5 Знак Знак Знак Знак Знак Знак Знак Знак1 Знак Знак1"/>
    <w:basedOn w:val="a"/>
    <w:uiPriority w:val="99"/>
    <w:rsid w:val="00002C7E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312">
    <w:name w:val="Знак Знак31"/>
    <w:locked/>
    <w:rsid w:val="00002C7E"/>
    <w:rPr>
      <w:sz w:val="16"/>
      <w:szCs w:val="16"/>
      <w:lang w:val="ru-RU" w:eastAsia="ru-RU" w:bidi="ar-SA"/>
    </w:rPr>
  </w:style>
  <w:style w:type="character" w:customStyle="1" w:styleId="213">
    <w:name w:val="Заголовок 2 Знак1"/>
    <w:basedOn w:val="a0"/>
    <w:uiPriority w:val="9"/>
    <w:semiHidden/>
    <w:rsid w:val="00002C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w">
    <w:name w:val="w"/>
    <w:basedOn w:val="a0"/>
    <w:rsid w:val="00002C7E"/>
  </w:style>
  <w:style w:type="character" w:customStyle="1" w:styleId="extended-textshort">
    <w:name w:val="extended-text__short"/>
    <w:basedOn w:val="a0"/>
    <w:rsid w:val="00002C7E"/>
  </w:style>
  <w:style w:type="character" w:customStyle="1" w:styleId="ConsPlusNormal0">
    <w:name w:val="ConsPlusNormal Знак"/>
    <w:link w:val="ConsPlusNormal"/>
    <w:locked/>
    <w:rsid w:val="00002C7E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mw-headline">
    <w:name w:val="mw-headline"/>
    <w:basedOn w:val="a0"/>
    <w:rsid w:val="00002C7E"/>
  </w:style>
  <w:style w:type="paragraph" w:customStyle="1" w:styleId="box-paragraphtext">
    <w:name w:val="box-paragraph__text"/>
    <w:basedOn w:val="a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afff6">
    <w:name w:val="Текстовый блок"/>
    <w:rsid w:val="00002C7E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ru-RU"/>
    </w:rPr>
  </w:style>
  <w:style w:type="paragraph" w:customStyle="1" w:styleId="msonormalmailrucssattributepostfix">
    <w:name w:val="msonormal_mailru_css_attribute_postfix"/>
    <w:basedOn w:val="a"/>
    <w:rsid w:val="00002C7E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character" w:customStyle="1" w:styleId="extended-textfull">
    <w:name w:val="extended-text__full"/>
    <w:basedOn w:val="a0"/>
    <w:rsid w:val="00002C7E"/>
  </w:style>
  <w:style w:type="character" w:customStyle="1" w:styleId="affd">
    <w:name w:val="Основной Знак"/>
    <w:link w:val="affc"/>
    <w:uiPriority w:val="99"/>
    <w:rsid w:val="00002C7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7">
    <w:name w:val="Информация об изменениях"/>
    <w:basedOn w:val="a"/>
    <w:next w:val="a"/>
    <w:uiPriority w:val="99"/>
    <w:rsid w:val="00002C7E"/>
    <w:pPr>
      <w:widowControl w:val="0"/>
      <w:autoSpaceDE w:val="0"/>
      <w:autoSpaceDN w:val="0"/>
      <w:adjustRightInd w:val="0"/>
      <w:spacing w:before="180"/>
      <w:ind w:left="360" w:right="360"/>
    </w:pPr>
    <w:rPr>
      <w:rFonts w:ascii="Arial" w:eastAsiaTheme="minorEastAsia" w:hAnsi="Arial" w:cs="Arial"/>
      <w:color w:val="353842"/>
      <w:sz w:val="18"/>
      <w:szCs w:val="18"/>
      <w:shd w:val="clear" w:color="auto" w:fill="EAEFED"/>
      <w:lang w:eastAsia="ru-RU"/>
    </w:rPr>
  </w:style>
  <w:style w:type="paragraph" w:customStyle="1" w:styleId="afff8">
    <w:name w:val="Подзаголовок для информации об изменениях"/>
    <w:basedOn w:val="a"/>
    <w:next w:val="a"/>
    <w:uiPriority w:val="99"/>
    <w:rsid w:val="00002C7E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b/>
      <w:bCs/>
      <w:color w:val="353842"/>
      <w:sz w:val="18"/>
      <w:szCs w:val="18"/>
      <w:lang w:eastAsia="ru-RU"/>
    </w:rPr>
  </w:style>
  <w:style w:type="paragraph" w:customStyle="1" w:styleId="afff9">
    <w:name w:val="Нормальный (таблица)"/>
    <w:basedOn w:val="a"/>
    <w:next w:val="a"/>
    <w:uiPriority w:val="99"/>
    <w:rsid w:val="00002C7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fffa">
    <w:name w:val="Комментарий"/>
    <w:basedOn w:val="a"/>
    <w:next w:val="a"/>
    <w:uiPriority w:val="99"/>
    <w:rsid w:val="00002C7E"/>
    <w:pPr>
      <w:widowControl w:val="0"/>
      <w:autoSpaceDE w:val="0"/>
      <w:autoSpaceDN w:val="0"/>
      <w:adjustRightInd w:val="0"/>
      <w:spacing w:before="75"/>
      <w:ind w:left="170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fffb">
    <w:name w:val="Информация об изменениях документа"/>
    <w:basedOn w:val="afffa"/>
    <w:next w:val="a"/>
    <w:uiPriority w:val="99"/>
    <w:rsid w:val="00002C7E"/>
    <w:rPr>
      <w:i/>
      <w:iCs/>
    </w:rPr>
  </w:style>
  <w:style w:type="paragraph" w:customStyle="1" w:styleId="s16">
    <w:name w:val="s_16"/>
    <w:basedOn w:val="a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paragraph" w:customStyle="1" w:styleId="111">
    <w:name w:val="Заголовок 11"/>
    <w:basedOn w:val="a"/>
    <w:next w:val="a"/>
    <w:qFormat/>
    <w:rsid w:val="00002C7E"/>
    <w:pPr>
      <w:keepNext/>
      <w:keepLines/>
      <w:spacing w:before="240"/>
      <w:jc w:val="left"/>
      <w:outlineLvl w:val="0"/>
    </w:pPr>
    <w:rPr>
      <w:rFonts w:ascii="Calibri Light" w:eastAsia="Times New Roman" w:hAnsi="Calibri Light" w:cs="Times New Roman"/>
      <w:color w:val="2E74B5"/>
      <w:sz w:val="32"/>
      <w:szCs w:val="32"/>
    </w:rPr>
  </w:style>
  <w:style w:type="paragraph" w:customStyle="1" w:styleId="afffc">
    <w:name w:val="Заголовок статьи"/>
    <w:basedOn w:val="a"/>
    <w:next w:val="a"/>
    <w:uiPriority w:val="99"/>
    <w:rsid w:val="00002C7E"/>
    <w:pPr>
      <w:autoSpaceDE w:val="0"/>
      <w:autoSpaceDN w:val="0"/>
      <w:adjustRightInd w:val="0"/>
      <w:ind w:left="1612" w:hanging="892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paragraph">
    <w:name w:val="paragraph"/>
    <w:basedOn w:val="a"/>
    <w:rsid w:val="00002C7E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002C7E"/>
  </w:style>
  <w:style w:type="character" w:customStyle="1" w:styleId="eop">
    <w:name w:val="eop"/>
    <w:basedOn w:val="a0"/>
    <w:rsid w:val="00002C7E"/>
  </w:style>
  <w:style w:type="character" w:customStyle="1" w:styleId="spellingerror">
    <w:name w:val="spellingerror"/>
    <w:basedOn w:val="a0"/>
    <w:rsid w:val="00002C7E"/>
  </w:style>
  <w:style w:type="character" w:customStyle="1" w:styleId="112">
    <w:name w:val="Заголовок 1 Знак1"/>
    <w:basedOn w:val="a0"/>
    <w:uiPriority w:val="9"/>
    <w:rsid w:val="00002C7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2">
    <w:name w:val="Заголовок 2 Знак2"/>
    <w:basedOn w:val="a0"/>
    <w:uiPriority w:val="9"/>
    <w:semiHidden/>
    <w:rsid w:val="00002C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fffd">
    <w:name w:val="Revision"/>
    <w:hidden/>
    <w:uiPriority w:val="99"/>
    <w:semiHidden/>
    <w:rsid w:val="00002C7E"/>
    <w:pPr>
      <w:spacing w:after="0" w:line="240" w:lineRule="auto"/>
    </w:pPr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3.xml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8581</Words>
  <Characters>48918</Characters>
  <Application>Microsoft Office Word</Application>
  <DocSecurity>0</DocSecurity>
  <Lines>407</Lines>
  <Paragraphs>114</Paragraphs>
  <ScaleCrop>false</ScaleCrop>
  <Company/>
  <LinksUpToDate>false</LinksUpToDate>
  <CharactersWithSpaces>57385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Абубакирова Ольга Юрьевна</dc:creator>
  <cp:keywords/>
  <dc:description/>
  <cp:lastModifiedBy>Гордеев Сергей Викторович</cp:lastModifiedBy>
  <cp:revision>2</cp:revision>
  <cp:lastPrinted>2025-11-28T09:02:00Z</cp:lastPrinted>
  <dcterms:created xsi:type="dcterms:W3CDTF">2025-12-03T07:21:00Z</dcterms:created>
  <dcterms:modified xsi:type="dcterms:W3CDTF">2025-12-03T07:21:00Z</dcterms:modified>
</cp:coreProperties>
</file>