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0612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06127" w:rsidRDefault="00B0612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00992" r:id="rId7"/>
              </w:object>
            </w:r>
          </w:p>
          <w:p w:rsidR="00B06127" w:rsidRDefault="00B0612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06127" w:rsidRPr="005541F0" w:rsidRDefault="00B061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06127" w:rsidRDefault="00B061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06127" w:rsidRPr="005541F0" w:rsidRDefault="00B061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06127" w:rsidRPr="005649E4" w:rsidRDefault="00B0612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6127" w:rsidRPr="00656C1A" w:rsidRDefault="00B0612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06127" w:rsidRPr="005541F0" w:rsidRDefault="00B0612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06127" w:rsidRPr="005541F0" w:rsidRDefault="00B0612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06127" w:rsidRPr="00656C1A" w:rsidRDefault="00B0612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06127" w:rsidRDefault="00B0612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06127" w:rsidRPr="003262E3" w:rsidRDefault="00B0612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612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6127" w:rsidRPr="00F8214F" w:rsidRDefault="00B061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6127" w:rsidRPr="00F8214F" w:rsidRDefault="00AB66C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06127" w:rsidRPr="00F8214F" w:rsidRDefault="00B061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6127" w:rsidRPr="00F8214F" w:rsidRDefault="00AB66C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06127" w:rsidRPr="00A63FB0" w:rsidRDefault="00B0612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6127" w:rsidRPr="00A3761A" w:rsidRDefault="00AB66C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06127" w:rsidRPr="00F8214F" w:rsidRDefault="00B0612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06127" w:rsidRPr="00AB4194" w:rsidRDefault="00B061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06127" w:rsidRPr="00F8214F" w:rsidRDefault="00AB66C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7824</w:t>
            </w:r>
          </w:p>
        </w:tc>
      </w:tr>
    </w:tbl>
    <w:p w:rsidR="00B06127" w:rsidRDefault="00B06127" w:rsidP="009E222F"/>
    <w:p w:rsid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О внесении изменения </w:t>
      </w:r>
    </w:p>
    <w:p w:rsid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в постановление Администрации </w:t>
      </w:r>
    </w:p>
    <w:p w:rsid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города от 13.12.2024 № 6725 </w:t>
      </w:r>
    </w:p>
    <w:p w:rsidR="00B06127" w:rsidRP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«Об утверждении муниципальной </w:t>
      </w:r>
    </w:p>
    <w:p w:rsidR="00B06127" w:rsidRP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программы «Развитие гражданского </w:t>
      </w:r>
    </w:p>
    <w:p w:rsid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общества в городе Сургуте» </w:t>
      </w:r>
      <w:r w:rsidRPr="00B06127">
        <w:rPr>
          <w:rFonts w:eastAsia="Calibri" w:cs="Times New Roman"/>
          <w:szCs w:val="28"/>
        </w:rPr>
        <w:br/>
        <w:t xml:space="preserve">и признании утратившими </w:t>
      </w:r>
    </w:p>
    <w:p w:rsidR="00B06127" w:rsidRP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>силу</w:t>
      </w:r>
      <w:r>
        <w:rPr>
          <w:rFonts w:eastAsia="Calibri" w:cs="Times New Roman"/>
          <w:szCs w:val="28"/>
        </w:rPr>
        <w:t xml:space="preserve"> </w:t>
      </w:r>
      <w:r w:rsidRPr="00B06127">
        <w:rPr>
          <w:rFonts w:eastAsia="Calibri" w:cs="Times New Roman"/>
          <w:szCs w:val="28"/>
        </w:rPr>
        <w:t xml:space="preserve">некоторых муниципальных </w:t>
      </w:r>
    </w:p>
    <w:p w:rsidR="00B06127" w:rsidRP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>правовых актов»</w:t>
      </w:r>
    </w:p>
    <w:p w:rsidR="00B06127" w:rsidRPr="00B06127" w:rsidRDefault="00B06127" w:rsidP="00B06127">
      <w:pPr>
        <w:ind w:right="252"/>
        <w:jc w:val="left"/>
        <w:rPr>
          <w:rFonts w:eastAsia="Calibri" w:cs="Times New Roman"/>
          <w:szCs w:val="28"/>
        </w:rPr>
      </w:pPr>
    </w:p>
    <w:p w:rsidR="00B06127" w:rsidRPr="00B06127" w:rsidRDefault="00B06127" w:rsidP="00B06127">
      <w:pPr>
        <w:jc w:val="left"/>
        <w:rPr>
          <w:rFonts w:eastAsia="Calibri" w:cs="Times New Roman"/>
          <w:szCs w:val="28"/>
        </w:rPr>
      </w:pPr>
    </w:p>
    <w:p w:rsidR="00B06127" w:rsidRPr="00B06127" w:rsidRDefault="00B06127" w:rsidP="00B06127">
      <w:pPr>
        <w:ind w:firstLine="709"/>
        <w:rPr>
          <w:rFonts w:eastAsia="Times New Roman" w:cs="Times New Roman"/>
          <w:b/>
          <w:sz w:val="24"/>
          <w:szCs w:val="24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постановлением Администрации города от 08.08.2024 № 4121 «Об утверждении порядка принятия решений </w:t>
      </w:r>
      <w:r>
        <w:rPr>
          <w:rFonts w:eastAsia="Times New Roman" w:cs="Times New Roman"/>
          <w:szCs w:val="28"/>
          <w:lang w:eastAsia="ru-RU"/>
        </w:rPr>
        <w:br/>
      </w:r>
      <w:r w:rsidRPr="00B06127">
        <w:rPr>
          <w:rFonts w:eastAsia="Times New Roman" w:cs="Times New Roman"/>
          <w:szCs w:val="28"/>
          <w:lang w:eastAsia="ru-RU"/>
        </w:rPr>
        <w:t xml:space="preserve">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</w:t>
      </w:r>
      <w:r w:rsidRPr="00B06127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B06127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</w:t>
      </w:r>
      <w:r w:rsidRPr="00B06127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B06127" w:rsidRPr="00B06127" w:rsidRDefault="00B06127" w:rsidP="00B06127">
      <w:pPr>
        <w:ind w:firstLine="709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 xml:space="preserve">1. Внести в </w:t>
      </w:r>
      <w:r w:rsidRPr="00B06127">
        <w:rPr>
          <w:rFonts w:eastAsia="Calibri" w:cs="Times New Roman"/>
          <w:szCs w:val="28"/>
          <w:lang w:eastAsia="ru-RU"/>
        </w:rPr>
        <w:t>постановление</w:t>
      </w:r>
      <w:r w:rsidRPr="00B06127">
        <w:rPr>
          <w:rFonts w:eastAsia="Times New Roman" w:cs="Times New Roman"/>
          <w:szCs w:val="28"/>
          <w:lang w:eastAsia="ru-RU"/>
        </w:rPr>
        <w:t xml:space="preserve"> Администрации города от 13.12.2024 № 6725 </w:t>
      </w:r>
      <w:r w:rsidRPr="00B06127">
        <w:rPr>
          <w:rFonts w:eastAsia="Times New Roman" w:cs="Times New Roman"/>
          <w:szCs w:val="28"/>
          <w:lang w:eastAsia="ru-RU"/>
        </w:rPr>
        <w:br/>
        <w:t xml:space="preserve">«Об утверждении муниципальной программы «Развитие гражданского общества в городе Сургуте» и признании утратившими силу некоторых муниципальных правовых актов» (с изменениями от 29.05.2025 № 2586) изменение, изложив приложение к постановлению в новой редакции согласно приложению </w:t>
      </w:r>
      <w:r>
        <w:rPr>
          <w:rFonts w:eastAsia="Times New Roman" w:cs="Times New Roman"/>
          <w:szCs w:val="28"/>
          <w:lang w:eastAsia="ru-RU"/>
        </w:rPr>
        <w:br/>
      </w:r>
      <w:r w:rsidRPr="00B06127">
        <w:rPr>
          <w:rFonts w:eastAsia="Times New Roman" w:cs="Times New Roman"/>
          <w:szCs w:val="28"/>
          <w:lang w:eastAsia="ru-RU"/>
        </w:rPr>
        <w:t>к настоящему постановлению.</w:t>
      </w:r>
    </w:p>
    <w:p w:rsidR="00B06127" w:rsidRDefault="00B06127" w:rsidP="00B06127">
      <w:pPr>
        <w:widowControl w:val="0"/>
        <w:autoSpaceDE w:val="0"/>
        <w:autoSpaceDN w:val="0"/>
        <w:adjustRightInd w:val="0"/>
        <w:ind w:firstLine="698"/>
        <w:rPr>
          <w:rFonts w:eastAsia="Times New Roman" w:cs="Times New Roman"/>
          <w:szCs w:val="28"/>
          <w:lang w:eastAsia="ru-RU"/>
        </w:rPr>
      </w:pPr>
    </w:p>
    <w:p w:rsidR="00B06127" w:rsidRPr="00B06127" w:rsidRDefault="00B06127" w:rsidP="00B06127">
      <w:pPr>
        <w:widowControl w:val="0"/>
        <w:autoSpaceDE w:val="0"/>
        <w:autoSpaceDN w:val="0"/>
        <w:adjustRightInd w:val="0"/>
        <w:ind w:firstLine="698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06127" w:rsidRPr="00B06127" w:rsidRDefault="00B06127" w:rsidP="00B06127">
      <w:pPr>
        <w:tabs>
          <w:tab w:val="left" w:pos="426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06127" w:rsidRPr="00B06127" w:rsidRDefault="00B06127" w:rsidP="00B06127">
      <w:pPr>
        <w:widowControl w:val="0"/>
        <w:autoSpaceDE w:val="0"/>
        <w:autoSpaceDN w:val="0"/>
        <w:adjustRightInd w:val="0"/>
        <w:ind w:firstLine="698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B06127" w:rsidRPr="00B06127" w:rsidRDefault="00B06127" w:rsidP="00B06127">
      <w:pPr>
        <w:keepNext/>
        <w:snapToGrid w:val="0"/>
        <w:ind w:firstLine="709"/>
        <w:outlineLvl w:val="1"/>
        <w:rPr>
          <w:rFonts w:eastAsia="Calibri" w:cs="Times New Roman"/>
          <w:szCs w:val="28"/>
        </w:rPr>
      </w:pPr>
      <w:r w:rsidRPr="00B06127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внутренней и молодёжной политики. </w:t>
      </w:r>
    </w:p>
    <w:p w:rsidR="00B06127" w:rsidRPr="00B06127" w:rsidRDefault="00B06127" w:rsidP="00B06127">
      <w:pPr>
        <w:tabs>
          <w:tab w:val="left" w:pos="7680"/>
        </w:tabs>
        <w:jc w:val="left"/>
        <w:rPr>
          <w:rFonts w:eastAsia="Calibri" w:cs="Times New Roman"/>
          <w:szCs w:val="28"/>
        </w:rPr>
      </w:pPr>
    </w:p>
    <w:p w:rsidR="00B06127" w:rsidRPr="00B06127" w:rsidRDefault="00B06127" w:rsidP="00B06127">
      <w:pPr>
        <w:ind w:firstLine="709"/>
        <w:rPr>
          <w:rFonts w:eastAsia="Calibri" w:cs="Times New Roman"/>
          <w:szCs w:val="28"/>
        </w:rPr>
      </w:pPr>
    </w:p>
    <w:p w:rsidR="00B06127" w:rsidRPr="00B06127" w:rsidRDefault="00B06127" w:rsidP="00B06127">
      <w:pPr>
        <w:ind w:firstLine="709"/>
        <w:rPr>
          <w:rFonts w:eastAsia="Calibri" w:cs="Times New Roman"/>
          <w:szCs w:val="28"/>
        </w:rPr>
      </w:pPr>
    </w:p>
    <w:p w:rsidR="00B06127" w:rsidRPr="00B06127" w:rsidRDefault="00B06127" w:rsidP="00B06127">
      <w:pPr>
        <w:tabs>
          <w:tab w:val="left" w:pos="5245"/>
        </w:tabs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Временно исполняющий </w:t>
      </w:r>
    </w:p>
    <w:p w:rsidR="00B06127" w:rsidRPr="00B06127" w:rsidRDefault="00B06127" w:rsidP="00B06127">
      <w:pPr>
        <w:tabs>
          <w:tab w:val="left" w:pos="5245"/>
        </w:tabs>
        <w:rPr>
          <w:rFonts w:eastAsia="Calibri" w:cs="Times New Roman"/>
          <w:szCs w:val="28"/>
        </w:rPr>
      </w:pPr>
      <w:r w:rsidRPr="00B06127">
        <w:rPr>
          <w:rFonts w:eastAsia="Calibri" w:cs="Times New Roman"/>
          <w:szCs w:val="28"/>
        </w:rPr>
        <w:t xml:space="preserve">полномочия Главы города                                   </w:t>
      </w:r>
      <w:r>
        <w:rPr>
          <w:rFonts w:eastAsia="Calibri" w:cs="Times New Roman"/>
          <w:szCs w:val="28"/>
        </w:rPr>
        <w:t xml:space="preserve">  </w:t>
      </w:r>
      <w:r w:rsidRPr="00B06127">
        <w:rPr>
          <w:rFonts w:eastAsia="Calibri" w:cs="Times New Roman"/>
          <w:szCs w:val="28"/>
        </w:rPr>
        <w:t xml:space="preserve">                                     И.В. Пустовая </w:t>
      </w:r>
    </w:p>
    <w:p w:rsidR="00B06127" w:rsidRPr="00B06127" w:rsidRDefault="00B06127" w:rsidP="00B06127">
      <w:pPr>
        <w:jc w:val="left"/>
        <w:rPr>
          <w:rFonts w:eastAsia="Times New Roman" w:cs="Times New Roman"/>
          <w:szCs w:val="28"/>
          <w:lang w:eastAsia="ru-RU"/>
        </w:rPr>
        <w:sectPr w:rsidR="00B06127" w:rsidRPr="00B06127" w:rsidSect="00B06127">
          <w:headerReference w:type="default" r:id="rId8"/>
          <w:pgSz w:w="11907" w:h="16840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06127" w:rsidRPr="00B06127" w:rsidRDefault="00B06127" w:rsidP="00B06127">
      <w:pPr>
        <w:ind w:left="10915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B06127" w:rsidRPr="00B06127" w:rsidRDefault="00B06127" w:rsidP="00B06127">
      <w:pPr>
        <w:ind w:left="10915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к постановлению</w:t>
      </w:r>
    </w:p>
    <w:p w:rsidR="00B06127" w:rsidRPr="00B06127" w:rsidRDefault="00B06127" w:rsidP="00B06127">
      <w:pPr>
        <w:ind w:left="10915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06127" w:rsidRPr="00B06127" w:rsidRDefault="00B06127" w:rsidP="00B06127">
      <w:pPr>
        <w:ind w:left="1091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B06127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127">
        <w:rPr>
          <w:rFonts w:eastAsia="Times New Roman" w:cs="Times New Roman"/>
          <w:szCs w:val="28"/>
          <w:lang w:eastAsia="ru-RU"/>
        </w:rPr>
        <w:t>______</w:t>
      </w:r>
      <w:r>
        <w:rPr>
          <w:rFonts w:eastAsia="Times New Roman" w:cs="Times New Roman"/>
          <w:szCs w:val="28"/>
          <w:lang w:eastAsia="ru-RU"/>
        </w:rPr>
        <w:t>___</w:t>
      </w:r>
      <w:r w:rsidRPr="00B06127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127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127">
        <w:rPr>
          <w:rFonts w:eastAsia="Times New Roman" w:cs="Times New Roman"/>
          <w:szCs w:val="28"/>
          <w:lang w:eastAsia="ru-RU"/>
        </w:rPr>
        <w:t>_________</w:t>
      </w:r>
    </w:p>
    <w:p w:rsidR="00B06127" w:rsidRPr="00B06127" w:rsidRDefault="00B06127" w:rsidP="00B06127">
      <w:pPr>
        <w:ind w:left="18408"/>
        <w:rPr>
          <w:rFonts w:eastAsia="Times New Roman" w:cs="Times New Roman"/>
          <w:szCs w:val="28"/>
          <w:lang w:eastAsia="ru-RU"/>
        </w:rPr>
      </w:pPr>
    </w:p>
    <w:p w:rsidR="00B06127" w:rsidRPr="00B06127" w:rsidRDefault="00B06127" w:rsidP="00B0612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B06127" w:rsidRPr="00B06127" w:rsidRDefault="00B06127" w:rsidP="00B06127">
      <w:pPr>
        <w:jc w:val="center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Муниципальная программа</w:t>
      </w:r>
    </w:p>
    <w:p w:rsidR="00B06127" w:rsidRPr="00B06127" w:rsidRDefault="00B06127" w:rsidP="00B06127">
      <w:pPr>
        <w:jc w:val="center"/>
        <w:rPr>
          <w:rFonts w:eastAsia="Times New Roman" w:cs="Times New Roman"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«Развитие гражданского общества в городе Сургуте»</w:t>
      </w:r>
    </w:p>
    <w:p w:rsidR="00B06127" w:rsidRPr="00B06127" w:rsidRDefault="00B06127" w:rsidP="00B06127">
      <w:pPr>
        <w:jc w:val="center"/>
        <w:rPr>
          <w:rFonts w:eastAsia="Times New Roman" w:cs="Times New Roman"/>
          <w:szCs w:val="28"/>
          <w:lang w:eastAsia="ru-RU"/>
        </w:rPr>
      </w:pPr>
    </w:p>
    <w:p w:rsidR="00B06127" w:rsidRPr="00B06127" w:rsidRDefault="00B06127" w:rsidP="00B06127">
      <w:pPr>
        <w:jc w:val="left"/>
        <w:rPr>
          <w:rFonts w:eastAsia="Times New Roman" w:cs="Times New Roman"/>
          <w:szCs w:val="28"/>
          <w:lang w:eastAsia="ru-RU"/>
        </w:rPr>
      </w:pPr>
    </w:p>
    <w:p w:rsidR="00B06127" w:rsidRDefault="00B06127" w:rsidP="00B06127">
      <w:pPr>
        <w:ind w:firstLine="709"/>
        <w:jc w:val="left"/>
        <w:rPr>
          <w:rFonts w:eastAsia="Times New Roman" w:cs="Times New Roman"/>
          <w:bCs/>
          <w:szCs w:val="28"/>
          <w:lang w:eastAsia="ru-RU"/>
        </w:rPr>
      </w:pPr>
      <w:r w:rsidRPr="00B06127">
        <w:rPr>
          <w:rFonts w:eastAsia="Times New Roman" w:cs="Times New Roman"/>
          <w:bCs/>
          <w:szCs w:val="28"/>
          <w:lang w:eastAsia="ru-RU"/>
        </w:rPr>
        <w:t>1. Основные положения.</w:t>
      </w:r>
    </w:p>
    <w:p w:rsidR="00B06127" w:rsidRPr="00B06127" w:rsidRDefault="00B06127" w:rsidP="00B06127">
      <w:pPr>
        <w:ind w:firstLine="709"/>
        <w:jc w:val="left"/>
        <w:rPr>
          <w:rFonts w:eastAsia="Times New Roman" w:cs="Times New Roman"/>
          <w:bCs/>
          <w:sz w:val="20"/>
          <w:szCs w:val="20"/>
          <w:lang w:eastAsia="ru-RU"/>
        </w:rPr>
      </w:pPr>
    </w:p>
    <w:p w:rsidR="00B06127" w:rsidRPr="00B06127" w:rsidRDefault="00B06127" w:rsidP="00B06127">
      <w:pPr>
        <w:jc w:val="center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9072"/>
      </w:tblGrid>
      <w:tr w:rsidR="00B06127" w:rsidRPr="00B06127" w:rsidTr="00B06127">
        <w:trPr>
          <w:trHeight w:val="338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Малыхин Виталий Викторович, заместитель Главы города</w:t>
            </w:r>
          </w:p>
        </w:tc>
      </w:tr>
      <w:tr w:rsidR="00B06127" w:rsidRPr="00B06127" w:rsidTr="00B06127">
        <w:trPr>
          <w:trHeight w:val="338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Муниципальное казенное учреждение «Наш город» (далее – МКУ «Наш город»)</w:t>
            </w:r>
          </w:p>
        </w:tc>
      </w:tr>
      <w:tr w:rsidR="00B06127" w:rsidRPr="00B06127" w:rsidTr="00B06127">
        <w:trPr>
          <w:trHeight w:val="713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этап I: 01.01.2025 – 31.12.2026;</w:t>
            </w:r>
            <w:r w:rsidRPr="00B06127">
              <w:rPr>
                <w:rFonts w:eastAsia="Calibri" w:cs="Times New Roman"/>
                <w:bCs/>
                <w:sz w:val="26"/>
                <w:szCs w:val="26"/>
              </w:rPr>
              <w:br/>
              <w:t>этап II: 01.01.2027 – 31.12.2031;</w:t>
            </w:r>
            <w:r w:rsidRPr="00B06127">
              <w:rPr>
                <w:rFonts w:eastAsia="Calibri" w:cs="Times New Roman"/>
                <w:bCs/>
                <w:sz w:val="26"/>
                <w:szCs w:val="26"/>
              </w:rPr>
              <w:br/>
              <w:t>этап III: 01.01.2032 – 31.12.2036</w:t>
            </w:r>
          </w:p>
        </w:tc>
      </w:tr>
      <w:tr w:rsidR="00B06127" w:rsidRPr="00B06127" w:rsidTr="00B06127">
        <w:trPr>
          <w:trHeight w:val="715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1. Создание условий для развития гражданского общества и взаимодействия органов местного самоуправления с институтами гражданского общества </w:t>
            </w:r>
            <w:r>
              <w:rPr>
                <w:rFonts w:eastAsia="Calibri" w:cs="Times New Roman"/>
                <w:bCs/>
                <w:sz w:val="26"/>
                <w:szCs w:val="26"/>
              </w:rPr>
              <w:br/>
            </w: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в решении вопросов местного значения.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2. Обеспечение равного доступа граждан к социально значимой информации, вовлечение их</w:t>
            </w:r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r w:rsidRPr="00B06127">
              <w:rPr>
                <w:rFonts w:eastAsia="Calibri" w:cs="Times New Roman"/>
                <w:bCs/>
                <w:sz w:val="26"/>
                <w:szCs w:val="26"/>
              </w:rPr>
              <w:t>в</w:t>
            </w:r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r w:rsidRPr="00B06127">
              <w:rPr>
                <w:rFonts w:eastAsia="Calibri" w:cs="Times New Roman"/>
                <w:bCs/>
                <w:sz w:val="26"/>
                <w:szCs w:val="26"/>
              </w:rPr>
              <w:t>муниципальное управление.</w:t>
            </w:r>
          </w:p>
        </w:tc>
      </w:tr>
      <w:tr w:rsidR="00B06127" w:rsidRPr="00B06127" w:rsidTr="00B06127">
        <w:trPr>
          <w:trHeight w:val="649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  <w:highlight w:val="yellow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2 318 512 976,34 рублей</w:t>
            </w:r>
          </w:p>
        </w:tc>
      </w:tr>
      <w:tr w:rsidR="00B06127" w:rsidRPr="00B06127" w:rsidTr="00B06127">
        <w:trPr>
          <w:trHeight w:val="1110"/>
        </w:trPr>
        <w:tc>
          <w:tcPr>
            <w:tcW w:w="5665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Связь с национальными целями развития Российской Федерации/государственными программами Ханты-Мансийского автономного округа – Югры </w:t>
            </w:r>
          </w:p>
        </w:tc>
        <w:tc>
          <w:tcPr>
            <w:tcW w:w="9072" w:type="dxa"/>
            <w:hideMark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государственная программа Ханты-Мансийского автономного округа – Югры «Развитие гражданского общества» </w:t>
            </w:r>
          </w:p>
        </w:tc>
      </w:tr>
    </w:tbl>
    <w:p w:rsidR="00B06127" w:rsidRPr="00B06127" w:rsidRDefault="00B06127" w:rsidP="00B06127">
      <w:pPr>
        <w:jc w:val="center"/>
        <w:rPr>
          <w:rFonts w:eastAsia="Times New Roman" w:cs="Times New Roman"/>
          <w:bCs/>
          <w:sz w:val="2"/>
          <w:szCs w:val="2"/>
          <w:lang w:eastAsia="ru-RU"/>
        </w:rPr>
      </w:pPr>
    </w:p>
    <w:p w:rsidR="00B06127" w:rsidRDefault="00B06127" w:rsidP="00B06127">
      <w:pPr>
        <w:jc w:val="center"/>
        <w:rPr>
          <w:rFonts w:eastAsia="Times New Roman" w:cs="Times New Roman"/>
          <w:bCs/>
          <w:sz w:val="26"/>
          <w:szCs w:val="26"/>
          <w:lang w:eastAsia="ru-RU"/>
        </w:rPr>
        <w:sectPr w:rsidR="00B06127" w:rsidSect="00B061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701" w:right="1134" w:bottom="567" w:left="1134" w:header="709" w:footer="709" w:gutter="0"/>
          <w:cols w:space="708"/>
          <w:titlePg/>
          <w:docGrid w:linePitch="381"/>
        </w:sectPr>
      </w:pPr>
    </w:p>
    <w:p w:rsidR="00B06127" w:rsidRPr="00B06127" w:rsidRDefault="00B06127" w:rsidP="00B06127">
      <w:pPr>
        <w:ind w:firstLine="709"/>
        <w:jc w:val="left"/>
        <w:rPr>
          <w:rFonts w:eastAsia="Times New Roman" w:cs="Times New Roman"/>
          <w:bCs/>
          <w:szCs w:val="28"/>
          <w:lang w:eastAsia="ru-RU"/>
        </w:rPr>
      </w:pPr>
      <w:r w:rsidRPr="00B06127">
        <w:rPr>
          <w:rFonts w:eastAsia="Times New Roman" w:cs="Times New Roman"/>
          <w:bCs/>
          <w:szCs w:val="28"/>
          <w:lang w:eastAsia="ru-RU"/>
        </w:rPr>
        <w:t>2. Показатели муниципальной программы.</w:t>
      </w:r>
    </w:p>
    <w:p w:rsidR="00B06127" w:rsidRPr="00B06127" w:rsidRDefault="00B06127" w:rsidP="00B06127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W w:w="21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134"/>
        <w:gridCol w:w="1134"/>
        <w:gridCol w:w="709"/>
        <w:gridCol w:w="732"/>
        <w:gridCol w:w="732"/>
        <w:gridCol w:w="733"/>
        <w:gridCol w:w="732"/>
        <w:gridCol w:w="733"/>
        <w:gridCol w:w="732"/>
        <w:gridCol w:w="732"/>
        <w:gridCol w:w="733"/>
        <w:gridCol w:w="732"/>
        <w:gridCol w:w="733"/>
        <w:gridCol w:w="732"/>
        <w:gridCol w:w="733"/>
        <w:gridCol w:w="2126"/>
        <w:gridCol w:w="1843"/>
        <w:gridCol w:w="1700"/>
        <w:gridCol w:w="9"/>
      </w:tblGrid>
      <w:tr w:rsidR="00B06127" w:rsidRPr="00B06127" w:rsidTr="00B06127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B06127" w:rsidRPr="00B06127" w:rsidRDefault="00B06127" w:rsidP="00B06127">
            <w:pPr>
              <w:ind w:left="-104" w:right="-114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</w:rPr>
            </w:pPr>
            <w:r w:rsidRPr="00B06127">
              <w:rPr>
                <w:rFonts w:eastAsia="Calibri" w:cs="Times New Roman"/>
                <w:spacing w:val="-4"/>
                <w:sz w:val="24"/>
                <w:szCs w:val="24"/>
              </w:rPr>
              <w:t>Уровень показателя*</w:t>
            </w:r>
          </w:p>
        </w:tc>
        <w:tc>
          <w:tcPr>
            <w:tcW w:w="1134" w:type="dxa"/>
            <w:vMerge w:val="restart"/>
          </w:tcPr>
          <w:p w:rsidR="00B06127" w:rsidRPr="00B06127" w:rsidRDefault="00B06127" w:rsidP="00B06127">
            <w:pPr>
              <w:ind w:left="-104" w:right="-114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789" w:type="dxa"/>
            <w:gridSpan w:val="12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vMerge w:val="restart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Ответственный </w:t>
            </w:r>
            <w:r w:rsidRPr="00B06127">
              <w:rPr>
                <w:rFonts w:eastAsia="Calibri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700" w:type="dxa"/>
            <w:vMerge w:val="restart"/>
          </w:tcPr>
          <w:p w:rsidR="00B06127" w:rsidRPr="00B06127" w:rsidRDefault="00B06127" w:rsidP="00B06127">
            <w:pPr>
              <w:ind w:left="-110" w:right="-10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Связь </w:t>
            </w:r>
            <w:r w:rsidRPr="00B06127">
              <w:rPr>
                <w:rFonts w:eastAsia="Calibri" w:cs="Times New Roman"/>
                <w:sz w:val="24"/>
                <w:szCs w:val="24"/>
              </w:rPr>
              <w:br/>
              <w:t>с показателями национальных целей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6127" w:rsidRPr="00B06127" w:rsidRDefault="00B06127" w:rsidP="00B06127">
            <w:pPr>
              <w:ind w:left="-101" w:right="-102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733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33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2031</w:t>
            </w:r>
          </w:p>
        </w:tc>
        <w:tc>
          <w:tcPr>
            <w:tcW w:w="733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2032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2033</w:t>
            </w:r>
          </w:p>
        </w:tc>
        <w:tc>
          <w:tcPr>
            <w:tcW w:w="733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2034</w:t>
            </w:r>
          </w:p>
        </w:tc>
        <w:tc>
          <w:tcPr>
            <w:tcW w:w="732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2035</w:t>
            </w:r>
          </w:p>
        </w:tc>
        <w:tc>
          <w:tcPr>
            <w:tcW w:w="733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2036</w:t>
            </w:r>
          </w:p>
        </w:tc>
        <w:tc>
          <w:tcPr>
            <w:tcW w:w="2126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0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21</w:t>
            </w:r>
          </w:p>
        </w:tc>
      </w:tr>
      <w:tr w:rsidR="00B06127" w:rsidRPr="00B06127" w:rsidTr="00145A99">
        <w:tc>
          <w:tcPr>
            <w:tcW w:w="21413" w:type="dxa"/>
            <w:gridSpan w:val="22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Цель 1 «Создание условий для развития гражданского общества и взаимодействия органов местного самоуправления с институтами гражданского общества в решении вопросов местного значения»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Доля граждан, принявших участие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в различных мероприятиях посредством информационных технологийˡ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СЭР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41,2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43,5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46,5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50,5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50,5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решение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Думы города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от 08.06.2015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№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4"/>
              </w:rPr>
              <w:t xml:space="preserve">718-V ДГ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«О Стратегии социально-экономического развития города Сургута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до 2036 года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с целевыми ориентирами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до 2050 года»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МКУ 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Количество некоммерческих организаций, которым оказана консультационная и методическая поддержка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со стороны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органов местного самоуправления 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СЭР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117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120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121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122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124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126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127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128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129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130</w:t>
            </w:r>
          </w:p>
        </w:tc>
        <w:tc>
          <w:tcPr>
            <w:tcW w:w="2126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решение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Думы города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от 08.06.2015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№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4"/>
              </w:rPr>
              <w:t>718-V ДГ</w:t>
            </w:r>
            <w:r w:rsidRPr="00B06127">
              <w:rPr>
                <w:rFonts w:eastAsia="Calibri" w:cs="Times New Roman"/>
                <w:sz w:val="24"/>
                <w:szCs w:val="24"/>
              </w:rPr>
              <w:br/>
              <w:t xml:space="preserve">«О Стратегии социально-экономического развития города Сургута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до 2036 года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с целевыми ориентирами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до 2050 года»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КВиМП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06127" w:rsidRDefault="00B06127" w:rsidP="00951628">
            <w:pPr>
              <w:ind w:right="-114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Количество социально значимых проектов, реализуемых территориальными общественными самоуправлениями и социально </w:t>
            </w:r>
            <w:r w:rsidRPr="00951628">
              <w:rPr>
                <w:rFonts w:eastAsia="Calibri" w:cs="Times New Roman"/>
                <w:spacing w:val="-4"/>
                <w:sz w:val="24"/>
                <w:szCs w:val="28"/>
              </w:rPr>
              <w:t>ориентированными некоммерческими</w:t>
            </w:r>
            <w:r w:rsidRPr="00B06127">
              <w:rPr>
                <w:rFonts w:eastAsia="Calibri" w:cs="Times New Roman"/>
                <w:sz w:val="24"/>
                <w:szCs w:val="28"/>
              </w:rPr>
              <w:t xml:space="preserve"> организациями, получивших финансовую поддержку,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в том числе в виде грантов/субсидий 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32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30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32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32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34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34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35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Федеральный закон от 12.01.1996 </w:t>
            </w:r>
          </w:p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№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 xml:space="preserve">7-ФЗ </w:t>
            </w:r>
          </w:p>
          <w:p w:rsidR="00B06127" w:rsidRPr="00B06127" w:rsidRDefault="00B06127" w:rsidP="00B06127">
            <w:pPr>
              <w:ind w:right="-108"/>
              <w:jc w:val="left"/>
              <w:rPr>
                <w:rFonts w:eastAsia="Calibri" w:cs="Times New Roman"/>
                <w:spacing w:val="-6"/>
                <w:sz w:val="24"/>
                <w:szCs w:val="28"/>
              </w:rPr>
            </w:pPr>
            <w:r w:rsidRPr="00B06127">
              <w:rPr>
                <w:rFonts w:eastAsia="Calibri" w:cs="Times New Roman"/>
                <w:spacing w:val="-6"/>
                <w:sz w:val="24"/>
                <w:szCs w:val="28"/>
              </w:rPr>
              <w:t>«О некоммерческих организациях»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МКУ 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Количество случаев применения форм </w:t>
            </w:r>
            <w:r w:rsidRPr="00B06127">
              <w:rPr>
                <w:rFonts w:eastAsia="Calibri" w:cs="Times New Roman"/>
                <w:spacing w:val="-4"/>
                <w:sz w:val="24"/>
                <w:szCs w:val="28"/>
              </w:rPr>
              <w:t>непосредственного</w:t>
            </w:r>
            <w:r w:rsidRPr="00B06127">
              <w:rPr>
                <w:rFonts w:eastAsia="Calibri" w:cs="Times New Roman"/>
                <w:sz w:val="24"/>
                <w:szCs w:val="28"/>
              </w:rPr>
              <w:t xml:space="preserve"> осуществления местного самоуправления </w:t>
            </w:r>
            <w:r w:rsidRPr="00B06127">
              <w:rPr>
                <w:rFonts w:eastAsia="Calibri" w:cs="Times New Roman"/>
                <w:sz w:val="24"/>
                <w:szCs w:val="28"/>
              </w:rPr>
              <w:br/>
              <w:t xml:space="preserve">и участия населения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в осуществлении местного самоуправления </w:t>
            </w:r>
            <w:r w:rsidRPr="00B06127">
              <w:rPr>
                <w:rFonts w:eastAsia="Calibri" w:cs="Times New Roman"/>
                <w:sz w:val="24"/>
                <w:szCs w:val="28"/>
              </w:rPr>
              <w:br/>
              <w:t>в муниципальном образовании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107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108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109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110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111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112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114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116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117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118</w:t>
            </w:r>
          </w:p>
        </w:tc>
        <w:tc>
          <w:tcPr>
            <w:tcW w:w="2126" w:type="dxa"/>
            <w:shd w:val="clear" w:color="auto" w:fill="auto"/>
          </w:tcPr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>
              <w:rPr>
                <w:rFonts w:eastAsia="Calibri" w:cs="Times New Roman"/>
                <w:sz w:val="24"/>
                <w:szCs w:val="28"/>
              </w:rPr>
              <w:t>п</w:t>
            </w:r>
            <w:r w:rsidRPr="00B06127">
              <w:rPr>
                <w:rFonts w:eastAsia="Calibri" w:cs="Times New Roman"/>
                <w:sz w:val="24"/>
                <w:szCs w:val="28"/>
              </w:rPr>
              <w:t xml:space="preserve">остановление Правительства Ханты-Мансийского автономного округа – Югры </w:t>
            </w:r>
          </w:p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от 10.11.2023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</w:p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№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545-п</w:t>
            </w:r>
            <w:r w:rsidRPr="00B06127">
              <w:rPr>
                <w:rFonts w:eastAsia="Calibri" w:cs="Times New Roman"/>
                <w:sz w:val="24"/>
                <w:szCs w:val="28"/>
              </w:rPr>
              <w:br/>
              <w:t>«О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государст</w:t>
            </w:r>
            <w:r>
              <w:rPr>
                <w:rFonts w:eastAsia="Calibri" w:cs="Times New Roman"/>
                <w:sz w:val="24"/>
                <w:szCs w:val="28"/>
              </w:rPr>
              <w:t>-</w:t>
            </w:r>
            <w:r w:rsidRPr="00B06127">
              <w:rPr>
                <w:rFonts w:eastAsia="Calibri" w:cs="Times New Roman"/>
                <w:sz w:val="24"/>
                <w:szCs w:val="28"/>
              </w:rPr>
              <w:t>венной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</w:p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программе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</w:p>
          <w:p w:rsid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Ханты-Мансийского автономного округа – Югры «Государственная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национальная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политика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</w:p>
          <w:p w:rsidR="00B06127" w:rsidRPr="00B06127" w:rsidRDefault="00B06127" w:rsidP="00B06127">
            <w:pPr>
              <w:ind w:right="-108"/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и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профилактика</w:t>
            </w:r>
            <w:r>
              <w:rPr>
                <w:rFonts w:eastAsia="Calibri" w:cs="Times New Roman"/>
                <w:sz w:val="24"/>
                <w:szCs w:val="28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8"/>
              </w:rPr>
              <w:t>экстремизма»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МКУ 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B06127" w:rsidRPr="00B06127" w:rsidTr="00145A99">
        <w:trPr>
          <w:gridAfter w:val="1"/>
          <w:wAfter w:w="9" w:type="dxa"/>
        </w:trPr>
        <w:tc>
          <w:tcPr>
            <w:tcW w:w="21404" w:type="dxa"/>
            <w:gridSpan w:val="21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Цель 2 «Обеспечение равного доступа граждан к социально значимой информации, вовлечение их в муниципальное управление»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06127" w:rsidRPr="00B06127" w:rsidRDefault="00B06127" w:rsidP="00B06127">
            <w:pPr>
              <w:ind w:right="-11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pacing w:val="-4"/>
                <w:sz w:val="24"/>
                <w:szCs w:val="24"/>
              </w:rPr>
              <w:t>Удовлетворенность</w:t>
            </w:r>
            <w:r w:rsidRPr="00B06127">
              <w:rPr>
                <w:rFonts w:eastAsia="Calibri" w:cs="Times New Roman"/>
                <w:sz w:val="24"/>
                <w:szCs w:val="24"/>
              </w:rPr>
              <w:t xml:space="preserve"> населения деятельностью органов местного самоуправления²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СЭР, ОМСУ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highlight w:val="yellow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74,9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74,9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75,0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75,0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75,0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75,1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75,1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75,1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75,1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75,1</w:t>
            </w:r>
          </w:p>
        </w:tc>
        <w:tc>
          <w:tcPr>
            <w:tcW w:w="2126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решение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Думы города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от 08.06.2015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№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06127">
              <w:rPr>
                <w:rFonts w:eastAsia="Calibri" w:cs="Times New Roman"/>
                <w:sz w:val="24"/>
                <w:szCs w:val="24"/>
              </w:rPr>
              <w:t>718-V ДГ</w:t>
            </w:r>
            <w:r w:rsidRPr="00B06127">
              <w:rPr>
                <w:rFonts w:eastAsia="Calibri" w:cs="Times New Roman"/>
                <w:sz w:val="24"/>
                <w:szCs w:val="24"/>
              </w:rPr>
              <w:br/>
              <w:t xml:space="preserve">«О Стратегии социально-экономического развития города Сургута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до 2036 года </w:t>
            </w:r>
          </w:p>
          <w:p w:rsid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 xml:space="preserve">с целевыми ориентирами </w:t>
            </w:r>
          </w:p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4"/>
              </w:rPr>
              <w:t>до 2050 года»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МКУ 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B06127" w:rsidRPr="00B06127" w:rsidTr="00B06127">
        <w:trPr>
          <w:gridAfter w:val="1"/>
          <w:wAfter w:w="9" w:type="dxa"/>
        </w:trPr>
        <w:tc>
          <w:tcPr>
            <w:tcW w:w="567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06127" w:rsidRPr="00B06127" w:rsidRDefault="00B06127" w:rsidP="00B06127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 xml:space="preserve">Уровень доверия населения </w:t>
            </w:r>
            <w:r w:rsidRPr="00B06127">
              <w:rPr>
                <w:rFonts w:eastAsia="Calibri" w:cs="Times New Roman"/>
                <w:sz w:val="24"/>
                <w:szCs w:val="28"/>
              </w:rPr>
              <w:br/>
              <w:t>к основным источникам массовой информации муниципального образования³</w:t>
            </w:r>
          </w:p>
        </w:tc>
        <w:tc>
          <w:tcPr>
            <w:tcW w:w="127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81,8</w:t>
            </w:r>
          </w:p>
        </w:tc>
        <w:tc>
          <w:tcPr>
            <w:tcW w:w="709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2023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  <w:highlight w:val="yellow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81,8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81,8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81,8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82,5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82,5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83</w:t>
            </w:r>
          </w:p>
        </w:tc>
        <w:tc>
          <w:tcPr>
            <w:tcW w:w="732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83</w:t>
            </w:r>
          </w:p>
        </w:tc>
        <w:tc>
          <w:tcPr>
            <w:tcW w:w="73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83</w:t>
            </w:r>
          </w:p>
        </w:tc>
        <w:tc>
          <w:tcPr>
            <w:tcW w:w="2126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 xml:space="preserve">МКУ </w:t>
            </w:r>
          </w:p>
          <w:p w:rsidR="00B06127" w:rsidRPr="00B06127" w:rsidRDefault="00B06127" w:rsidP="00B06127">
            <w:pPr>
              <w:jc w:val="center"/>
              <w:rPr>
                <w:rFonts w:eastAsia="Calibri" w:cs="Times New Roman"/>
                <w:sz w:val="24"/>
                <w:szCs w:val="28"/>
              </w:rPr>
            </w:pPr>
            <w:r w:rsidRPr="00B06127">
              <w:rPr>
                <w:rFonts w:eastAsia="Calibri" w:cs="Times New Roman"/>
                <w:bCs/>
                <w:sz w:val="26"/>
                <w:szCs w:val="26"/>
              </w:rPr>
              <w:t>«Наш город»</w:t>
            </w:r>
          </w:p>
        </w:tc>
        <w:tc>
          <w:tcPr>
            <w:tcW w:w="1700" w:type="dxa"/>
          </w:tcPr>
          <w:p w:rsidR="00B06127" w:rsidRPr="00B06127" w:rsidRDefault="00B06127" w:rsidP="00B06127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6127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</w:tbl>
    <w:p w:rsidR="00B06127" w:rsidRPr="00B06127" w:rsidRDefault="00B06127" w:rsidP="00B06127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B06127" w:rsidRPr="00B06127" w:rsidRDefault="00B06127" w:rsidP="00B06127">
      <w:pPr>
        <w:ind w:firstLine="709"/>
        <w:jc w:val="left"/>
        <w:rPr>
          <w:rFonts w:eastAsia="Calibri" w:cs="Times New Roman"/>
          <w:sz w:val="24"/>
          <w:szCs w:val="24"/>
          <w:lang w:eastAsia="ru-RU"/>
        </w:rPr>
      </w:pPr>
      <w:r w:rsidRPr="00B06127">
        <w:rPr>
          <w:rFonts w:eastAsia="Calibri" w:cs="Times New Roman"/>
          <w:sz w:val="24"/>
          <w:szCs w:val="24"/>
          <w:lang w:eastAsia="ru-RU"/>
        </w:rPr>
        <w:t xml:space="preserve">Примечания: </w:t>
      </w:r>
    </w:p>
    <w:p w:rsidR="00B06127" w:rsidRPr="00B06127" w:rsidRDefault="00B06127" w:rsidP="00B06127">
      <w:pPr>
        <w:ind w:firstLine="709"/>
        <w:jc w:val="left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- СЭР – Стратегия социально-экономического развития города Сургута;</w:t>
      </w:r>
    </w:p>
    <w:p w:rsidR="00B06127" w:rsidRPr="00B06127" w:rsidRDefault="00B06127" w:rsidP="00B06127">
      <w:pPr>
        <w:ind w:firstLine="709"/>
        <w:jc w:val="left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- ОМСУ – оценка деятельности органов местного самоуправления;</w:t>
      </w:r>
    </w:p>
    <w:p w:rsidR="00B06127" w:rsidRPr="00B06127" w:rsidRDefault="00B06127" w:rsidP="00B06127">
      <w:pPr>
        <w:ind w:firstLine="709"/>
        <w:jc w:val="left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 xml:space="preserve">- МП – муниципальная программа; 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ˡ</w:t>
      </w:r>
      <w:r>
        <w:rPr>
          <w:rFonts w:eastAsia="Calibri" w:cs="Times New Roman"/>
          <w:sz w:val="24"/>
          <w:szCs w:val="24"/>
        </w:rPr>
        <w:t xml:space="preserve"> –</w:t>
      </w:r>
      <w:r w:rsidRPr="00B06127">
        <w:rPr>
          <w:rFonts w:eastAsia="Calibri" w:cs="Times New Roman"/>
          <w:sz w:val="24"/>
          <w:szCs w:val="24"/>
        </w:rPr>
        <w:t xml:space="preserve"> методика расчета целевого показателя установлена постановлением Администрации города от 21.03.2024 № 1293 «Об утверждении методики расчета целевых показателей реализации стратегии социально-экономического развития города Сургута до 2036 года с целевыми ориентирами до 2050 года»</w:t>
      </w:r>
      <w:r w:rsidR="009925BF">
        <w:rPr>
          <w:rFonts w:eastAsia="Calibri" w:cs="Times New Roman"/>
          <w:sz w:val="24"/>
          <w:szCs w:val="24"/>
        </w:rPr>
        <w:t>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 xml:space="preserve">² </w:t>
      </w:r>
      <w:r>
        <w:rPr>
          <w:rFonts w:eastAsia="Calibri" w:cs="Times New Roman"/>
          <w:sz w:val="24"/>
          <w:szCs w:val="24"/>
        </w:rPr>
        <w:t>–</w:t>
      </w:r>
      <w:r w:rsidRPr="00B06127">
        <w:rPr>
          <w:rFonts w:eastAsia="Calibri" w:cs="Times New Roman"/>
          <w:sz w:val="24"/>
          <w:szCs w:val="24"/>
        </w:rPr>
        <w:t xml:space="preserve"> рассчитывается по формуле: (УО+СУчН+УП) + (УО+СУчН+УП) + (УО+СУчН+УП)/3 = %, где: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УО –</w:t>
      </w:r>
      <w:r w:rsidRPr="00B06127">
        <w:rPr>
          <w:rFonts w:eastAsia="Calibri" w:cs="Times New Roman"/>
        </w:rPr>
        <w:t xml:space="preserve"> </w:t>
      </w:r>
      <w:r w:rsidRPr="00B06127">
        <w:rPr>
          <w:rFonts w:eastAsia="Calibri" w:cs="Times New Roman"/>
          <w:sz w:val="24"/>
          <w:szCs w:val="24"/>
        </w:rPr>
        <w:t>удовлетворен относительно (по каждой строке);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СУчН – скорее удовлетворен, чем не удовлетворен (по каждой строке);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УП – удовлетворен полностью (по каждой строке).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Расчет производится по итогам проведения социологического исследования на тему «Уровень социального самочувствия жителей муниципального образования». Уровень удовлетворенности рассчитывается на основании вопроса «Укажите, пожалуйста, уровень Вашей удовлетворенности деятельностью органов местного самоуправления г</w:t>
      </w:r>
      <w:r>
        <w:rPr>
          <w:rFonts w:eastAsia="Calibri" w:cs="Times New Roman"/>
          <w:sz w:val="24"/>
          <w:szCs w:val="24"/>
        </w:rPr>
        <w:t>орода</w:t>
      </w:r>
      <w:r w:rsidRPr="00B06127">
        <w:rPr>
          <w:rFonts w:eastAsia="Calibri" w:cs="Times New Roman"/>
          <w:sz w:val="24"/>
          <w:szCs w:val="24"/>
        </w:rPr>
        <w:t xml:space="preserve"> Сургута: Главы города, Администрации города, Думы города»</w:t>
      </w:r>
      <w:r w:rsidR="009925BF">
        <w:rPr>
          <w:rFonts w:eastAsia="Calibri" w:cs="Times New Roman"/>
          <w:sz w:val="24"/>
          <w:szCs w:val="24"/>
        </w:rPr>
        <w:t>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 xml:space="preserve">³ </w:t>
      </w:r>
      <w:r>
        <w:rPr>
          <w:rFonts w:eastAsia="Calibri" w:cs="Times New Roman"/>
          <w:sz w:val="24"/>
          <w:szCs w:val="24"/>
        </w:rPr>
        <w:t>–</w:t>
      </w:r>
      <w:r w:rsidRPr="00B06127">
        <w:rPr>
          <w:rFonts w:eastAsia="Calibri" w:cs="Times New Roman"/>
          <w:sz w:val="24"/>
          <w:szCs w:val="24"/>
        </w:rPr>
        <w:t xml:space="preserve"> рассчитывается по формуле: УО+СУчН+УП=%, где: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УО – удовлетворен относительно;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СУчН – скорее удовлетворен, чем не удовлетворен;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>УП – удовлетворен полностью.</w:t>
      </w:r>
    </w:p>
    <w:p w:rsidR="00B06127" w:rsidRPr="00B06127" w:rsidRDefault="00B06127" w:rsidP="00B06127">
      <w:pPr>
        <w:ind w:left="709"/>
        <w:rPr>
          <w:rFonts w:eastAsia="Calibri" w:cs="Times New Roman"/>
          <w:sz w:val="24"/>
          <w:szCs w:val="24"/>
        </w:rPr>
      </w:pPr>
      <w:r w:rsidRPr="00B06127">
        <w:rPr>
          <w:rFonts w:eastAsia="Calibri" w:cs="Times New Roman"/>
          <w:sz w:val="24"/>
          <w:szCs w:val="24"/>
        </w:rPr>
        <w:t xml:space="preserve">Расчет производится по итогам проведения социологического исследования на тему «Мониторинг информационного пространства города Сургута». Уровень удовлетворенности рассчитывается </w:t>
      </w:r>
      <w:r w:rsidRPr="00B06127">
        <w:rPr>
          <w:rFonts w:eastAsia="Calibri" w:cs="Times New Roman"/>
          <w:sz w:val="24"/>
          <w:szCs w:val="24"/>
        </w:rPr>
        <w:br/>
        <w:t>на основании вопроса «Укажите уровень Вашей удовлетворенности к основным источникам массовой информации муниципального образования».</w:t>
      </w:r>
    </w:p>
    <w:p w:rsidR="00B06127" w:rsidRPr="00B06127" w:rsidRDefault="00B06127" w:rsidP="00B06127">
      <w:pPr>
        <w:ind w:left="709"/>
        <w:jc w:val="left"/>
        <w:rPr>
          <w:rFonts w:eastAsia="Calibri" w:cs="Times New Roman"/>
          <w:sz w:val="24"/>
          <w:szCs w:val="24"/>
        </w:rPr>
      </w:pPr>
    </w:p>
    <w:p w:rsidR="00B06127" w:rsidRPr="00B06127" w:rsidRDefault="00B06127" w:rsidP="00B06127">
      <w:pPr>
        <w:ind w:firstLine="709"/>
        <w:jc w:val="left"/>
        <w:rPr>
          <w:rFonts w:eastAsia="Times New Roman" w:cs="Times New Roman"/>
          <w:bCs/>
          <w:szCs w:val="28"/>
          <w:lang w:eastAsia="ru-RU"/>
        </w:rPr>
      </w:pPr>
      <w:r w:rsidRPr="00B06127">
        <w:rPr>
          <w:rFonts w:eastAsia="Times New Roman" w:cs="Times New Roman"/>
          <w:szCs w:val="28"/>
          <w:lang w:eastAsia="ru-RU"/>
        </w:rPr>
        <w:t>3. Структура муниципальной программы.</w:t>
      </w:r>
    </w:p>
    <w:p w:rsidR="00B06127" w:rsidRPr="00B06127" w:rsidRDefault="00B06127" w:rsidP="00B06127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6803"/>
        <w:gridCol w:w="7513"/>
      </w:tblGrid>
      <w:tr w:rsidR="00B06127" w:rsidRPr="00B06127" w:rsidTr="00B06127">
        <w:trPr>
          <w:trHeight w:val="170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06127" w:rsidRPr="00B06127" w:rsidTr="00B06127">
        <w:trPr>
          <w:trHeight w:val="168"/>
        </w:trPr>
        <w:tc>
          <w:tcPr>
            <w:tcW w:w="7225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6127" w:rsidRPr="00B06127" w:rsidTr="00B06127">
        <w:trPr>
          <w:trHeight w:val="293"/>
        </w:trPr>
        <w:tc>
          <w:tcPr>
            <w:tcW w:w="21541" w:type="dxa"/>
            <w:gridSpan w:val="3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1.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B06127" w:rsidRPr="00B06127" w:rsidTr="00B06127">
        <w:trPr>
          <w:trHeight w:val="269"/>
        </w:trPr>
        <w:tc>
          <w:tcPr>
            <w:tcW w:w="7225" w:type="dxa"/>
            <w:shd w:val="clear" w:color="auto" w:fill="auto"/>
            <w:vAlign w:val="center"/>
            <w:hideMark/>
          </w:tcPr>
          <w:p w:rsidR="00B06127" w:rsidRPr="00B06127" w:rsidRDefault="00B06127" w:rsidP="00B06127">
            <w:pPr>
              <w:ind w:right="-249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B06127">
              <w:rPr>
                <w:rFonts w:eastAsia="Calibri"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316" w:type="dxa"/>
            <w:gridSpan w:val="2"/>
            <w:shd w:val="clear" w:color="auto" w:fill="auto"/>
            <w:vAlign w:val="center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6127" w:rsidRPr="00B06127" w:rsidTr="00B06127">
        <w:trPr>
          <w:trHeight w:val="557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выполнения функций и полномочий муниципального казенного учреждения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«Наш город»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B06127" w:rsidRPr="00B06127" w:rsidTr="00B06127">
        <w:trPr>
          <w:trHeight w:val="267"/>
        </w:trPr>
        <w:tc>
          <w:tcPr>
            <w:tcW w:w="21541" w:type="dxa"/>
            <w:gridSpan w:val="3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2. Комплекс процессных мероприятий «Развитие экосистемы поддержки гражданского общества»</w:t>
            </w:r>
          </w:p>
        </w:tc>
      </w:tr>
      <w:tr w:rsidR="00B06127" w:rsidRPr="00B06127" w:rsidTr="00B06127">
        <w:trPr>
          <w:trHeight w:val="272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B06127">
              <w:rPr>
                <w:rFonts w:eastAsia="Calibri"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316" w:type="dxa"/>
            <w:gridSpan w:val="2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6127" w:rsidRPr="00B06127" w:rsidTr="00B06127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2.1. Обеспечение функционирования системы популяризации деятельности общественных организаций и социально ориентированных некоммерческих организаций в муниципальном образовании, а также материально-технической базы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для вовлечения некоммерческих организаций и гражданских активистов муниципального образования в развитие гражданского общества путем предоставления субсидии/грантов некоммерческим организациям и территориальным общественным самоуправлениям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количества социально ориентированных некоммерческих организаций и реализованных социально значимых проектов территориальных общественных самоуправлений, зарегистрированных в муниципальном образовании, до 35 ед. к 2036 году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социально значимых проектов, реализуемых территориальными общественными самоуправлениями 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социально ориентированными некоммерческими организациями, получивших финансовую поддержку, в том числе в виде грантов/субсидий</w:t>
            </w:r>
          </w:p>
        </w:tc>
      </w:tr>
      <w:tr w:rsidR="00B06127" w:rsidRPr="00B06127" w:rsidTr="00B06127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2.2. Организация мероприятий по вовлечению жителей города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в решение задач местного значения путем инициативного бюджетирования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рост количества внесенных инициативных проектов (прирост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процентах к предыдущему этапу):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до 2026 года – не менее 5% (к 2023 году);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до 2031 года – не менее 6% (к предыдущему этапу);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до 2036 года – не менее 7% (к предыдущему этапу)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принявших участие в различных мероприятиях посредством информационных технологий</w:t>
            </w:r>
          </w:p>
        </w:tc>
      </w:tr>
      <w:tr w:rsidR="00B06127" w:rsidRPr="00B06127" w:rsidTr="00B06127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2.3. Организация мероприятий по информационной, консультационной и методической поддержке деятельности некоммерческих организаций и граждан города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городских мероприятий (семинаров, конференций, круглых столов, форумов) органами местного самоуправления с жителями города, при участии представителей некоммерческих организаций и территориальных общественных самоуправлений, не менее 130 ед. в год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к 2036 году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некоммерческих организаций, которым оказана консультационная и методическая поддержка со стороны органов местного самоуправления</w:t>
            </w:r>
          </w:p>
        </w:tc>
      </w:tr>
      <w:tr w:rsidR="00B06127" w:rsidRPr="00B06127" w:rsidTr="00B06127">
        <w:trPr>
          <w:trHeight w:val="680"/>
        </w:trPr>
        <w:tc>
          <w:tcPr>
            <w:tcW w:w="7225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2.4. Правовое просвещение и информирование жителей города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в сфере защиты прав потребителей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информационно-просветительских мероприятий, направленных на повышение правовой грамотности в сфере защиты прав потребителей, не менее 39 единиц в год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к 2036 году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</w:t>
            </w:r>
          </w:p>
        </w:tc>
      </w:tr>
      <w:tr w:rsidR="00B06127" w:rsidRPr="00B06127" w:rsidTr="00B06127">
        <w:trPr>
          <w:trHeight w:val="430"/>
        </w:trPr>
        <w:tc>
          <w:tcPr>
            <w:tcW w:w="7225" w:type="dxa"/>
            <w:shd w:val="clear" w:color="auto" w:fill="auto"/>
          </w:tcPr>
          <w:p w:rsidR="00B06127" w:rsidRPr="00B06127" w:rsidRDefault="00B06127" w:rsidP="00951628">
            <w:pPr>
              <w:ind w:right="-105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2.5. Организация мероприятий по развитию форм непосредственного осуществления населением местного самоуправления и участие населения в осуществлении местного самоуправления (за исключением предусмотренных статьями 43</w:t>
            </w:r>
            <w:r w:rsidR="0095162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44 Федерального закона от 20.03.2025 № 33-ФЗ «Об общих принципах организации местного самоуправления в единой системе публичной власти»)</w:t>
            </w:r>
          </w:p>
        </w:tc>
        <w:tc>
          <w:tcPr>
            <w:tcW w:w="6803" w:type="dxa"/>
            <w:shd w:val="clear" w:color="auto" w:fill="auto"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получение муниципальным образованием субсидии </w:t>
            </w:r>
          </w:p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местного самоуправления, ежегодно</w:t>
            </w:r>
          </w:p>
        </w:tc>
        <w:tc>
          <w:tcPr>
            <w:tcW w:w="7513" w:type="dxa"/>
            <w:shd w:val="clear" w:color="auto" w:fill="auto"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случаев применения форм непосредственного осуществления местного самоуправления и участия населения 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 осуществлении местного самоуправления в муниципальном образовании</w:t>
            </w:r>
          </w:p>
        </w:tc>
      </w:tr>
      <w:tr w:rsidR="00B06127" w:rsidRPr="00B06127" w:rsidTr="00B06127">
        <w:trPr>
          <w:trHeight w:val="278"/>
        </w:trPr>
        <w:tc>
          <w:tcPr>
            <w:tcW w:w="21541" w:type="dxa"/>
            <w:gridSpan w:val="3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3. Комплекс процессных мероприятий «Обеспечение открытости информации о деятельности органов власти»</w:t>
            </w:r>
          </w:p>
        </w:tc>
      </w:tr>
      <w:tr w:rsidR="00B06127" w:rsidRPr="00B06127" w:rsidTr="00B06127">
        <w:trPr>
          <w:trHeight w:val="330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B06127">
              <w:rPr>
                <w:rFonts w:eastAsia="Calibri" w:cs="Times New Roman"/>
                <w:bCs/>
                <w:sz w:val="24"/>
                <w:szCs w:val="24"/>
              </w:rPr>
              <w:t>комитет информационной политики Администрации города</w:t>
            </w:r>
          </w:p>
        </w:tc>
        <w:tc>
          <w:tcPr>
            <w:tcW w:w="14316" w:type="dxa"/>
            <w:gridSpan w:val="2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6127" w:rsidRPr="00B06127" w:rsidTr="00B06127">
        <w:trPr>
          <w:trHeight w:val="1443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Вовлечение граждан и организаций в развитие эффективного информационного взаимодействия власти и общества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доверия населения к основным источникам массовой информации муниципального образования до 83% к 2036 году;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размещение социальной рекламы; </w:t>
            </w:r>
          </w:p>
          <w:p w:rsid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предоставление теле- и радио эфирного времени, газетных полос в местных средствах массовой информации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для информирования граждан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доверия населения к основным источникам массовой информации муниципального образования</w:t>
            </w:r>
          </w:p>
        </w:tc>
      </w:tr>
      <w:tr w:rsidR="00B06127" w:rsidRPr="00B06127" w:rsidTr="00B06127">
        <w:trPr>
          <w:trHeight w:val="191"/>
        </w:trPr>
        <w:tc>
          <w:tcPr>
            <w:tcW w:w="21541" w:type="dxa"/>
            <w:gridSpan w:val="3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4. Комплекс процессных мероприятий «Организация социологических исследований на территории муниципального образования по социально значимым вопросам»</w:t>
            </w:r>
          </w:p>
        </w:tc>
      </w:tr>
      <w:tr w:rsidR="00B06127" w:rsidRPr="00B06127" w:rsidTr="00B06127">
        <w:trPr>
          <w:trHeight w:val="283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Pr="00B06127">
              <w:rPr>
                <w:rFonts w:eastAsia="Calibri" w:cs="Times New Roman"/>
                <w:bCs/>
                <w:sz w:val="24"/>
                <w:szCs w:val="24"/>
              </w:rPr>
              <w:t>МКУ «Наш город»</w:t>
            </w:r>
          </w:p>
        </w:tc>
        <w:tc>
          <w:tcPr>
            <w:tcW w:w="14316" w:type="dxa"/>
            <w:gridSpan w:val="2"/>
            <w:shd w:val="clear" w:color="auto" w:fill="auto"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6127" w:rsidRPr="00B06127" w:rsidTr="00B06127">
        <w:trPr>
          <w:trHeight w:val="840"/>
        </w:trPr>
        <w:tc>
          <w:tcPr>
            <w:tcW w:w="7225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Организация, проведение и подготовка результатов социологических исследований, проведенных на территории муниципального образования</w:t>
            </w:r>
          </w:p>
        </w:tc>
        <w:tc>
          <w:tcPr>
            <w:tcW w:w="680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ежегодная организация, проведение и подготовка результатов социологических исследований, не менее 13 социологических исследований</w:t>
            </w:r>
          </w:p>
        </w:tc>
        <w:tc>
          <w:tcPr>
            <w:tcW w:w="7513" w:type="dxa"/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t>удовлетворенность населения деятельностью органов местного самоуправления;</w:t>
            </w:r>
            <w:r w:rsidRPr="00B0612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уровень доверия населения к основным источникам массовой информации муниципального образования</w:t>
            </w:r>
          </w:p>
        </w:tc>
      </w:tr>
    </w:tbl>
    <w:p w:rsidR="00B06127" w:rsidRPr="00B06127" w:rsidRDefault="00B06127" w:rsidP="00B06127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W w:w="21546" w:type="dxa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701"/>
      </w:tblGrid>
      <w:tr w:rsidR="00B06127" w:rsidRPr="00B06127" w:rsidTr="00B06127">
        <w:trPr>
          <w:trHeight w:val="315"/>
        </w:trPr>
        <w:tc>
          <w:tcPr>
            <w:tcW w:w="215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127" w:rsidRPr="00B06127" w:rsidRDefault="00B06127" w:rsidP="00B06127">
            <w:pPr>
              <w:ind w:firstLine="709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06127">
              <w:rPr>
                <w:rFonts w:eastAsia="Times New Roman" w:cs="Times New Roman"/>
                <w:szCs w:val="28"/>
                <w:lang w:eastAsia="ru-RU"/>
              </w:rPr>
              <w:t>4. Финансовое обеспечение муниципальной программы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B06127" w:rsidRPr="00B06127" w:rsidTr="00B06127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127" w:rsidRPr="00B06127" w:rsidTr="00B06127">
        <w:trPr>
          <w:trHeight w:val="10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8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B06127" w:rsidRPr="00B06127" w:rsidTr="00B06127">
        <w:trPr>
          <w:trHeight w:val="93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B06127" w:rsidRPr="00B06127" w:rsidTr="00B06127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B06127" w:rsidRPr="00B06127" w:rsidTr="00B06127">
        <w:trPr>
          <w:trHeight w:val="6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гражданского общества в городе Сургуте»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(всего),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180 853 307,31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153 073 287,27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152 479 713,76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173 127 000,00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180 050 000,00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187 251 000,00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194 740 000,00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202 527 668,00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210 627 000,00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219 051 000,00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227 811 000,00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236 922 000,00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2 318 512 976,34</w:t>
            </w:r>
          </w:p>
        </w:tc>
      </w:tr>
      <w:tr w:rsidR="00B06127" w:rsidRPr="00B06127" w:rsidTr="00B06127">
        <w:trPr>
          <w:trHeight w:val="3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бюджет муниципального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образования,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180 853 307,31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153 073 287,27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152 479 713,76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173 127 000,00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180 050 000,00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187 251 000,00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194 740 000,00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202 527 668,00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210 627 000,00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219 051 000,00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227 811 000,00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236 922 000,00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2 318 512 976,34</w:t>
            </w:r>
          </w:p>
        </w:tc>
      </w:tr>
      <w:tr w:rsidR="00B06127" w:rsidRPr="00B06127" w:rsidTr="00B06127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402 500,00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834 000,00</w:t>
            </w:r>
          </w:p>
        </w:tc>
      </w:tr>
      <w:tr w:rsidR="00B06127" w:rsidRPr="00B06127" w:rsidTr="00B06127">
        <w:trPr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B06127" w:rsidRPr="00B06127" w:rsidTr="00B06127">
        <w:trPr>
          <w:trHeight w:val="43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180 467 307,31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152 670 787,27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152 417 213,76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173 090 000,00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180 013 000,00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187 214 000,00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194 703 000,00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202 490 668,00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210 590 000,00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219 014 000,00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227 774 000,00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236 885 000,00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2 317 328 976,34</w:t>
            </w:r>
          </w:p>
        </w:tc>
      </w:tr>
      <w:tr w:rsidR="00B06127" w:rsidRPr="00B06127" w:rsidTr="00B06127">
        <w:trPr>
          <w:trHeight w:val="2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11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«Обеспечение открытости информации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о деятельности органов власти» (всего),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71 487 666,94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51 673 467,47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51 336 971,47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67 094 800,00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70 856 300,00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74 456 800,00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78 201 300,00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82 095 100,00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86 144 800,00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90 356 800,00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94 736 800,00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99 292 300,00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917 733 105,88</w:t>
            </w:r>
          </w:p>
        </w:tc>
      </w:tr>
      <w:tr w:rsidR="00B06127" w:rsidRPr="00B06127" w:rsidTr="00B06127">
        <w:trPr>
          <w:trHeight w:val="38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71 487 666,94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51 673 467,47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51 336 971,47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67 094 800,00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70 856 300,00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74 456 800,00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78 201 300,00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82 095 100,00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86 144 800,00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90 356 800,00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94 736 800,00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99 292 300,00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917 733 105,88</w:t>
            </w:r>
          </w:p>
        </w:tc>
      </w:tr>
      <w:tr w:rsidR="00B06127" w:rsidRPr="00B06127" w:rsidTr="00B06127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402 500,00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834 000,00</w:t>
            </w:r>
          </w:p>
        </w:tc>
      </w:tr>
      <w:tr w:rsidR="00B06127" w:rsidRPr="00B06127" w:rsidTr="00B06127">
        <w:trPr>
          <w:trHeight w:val="5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3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71 451 666,94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51 270 967,47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51 274 471,47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67 057 800,00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70 819 300,00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74 419 800,00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78 164 300,00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82 058 100,00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86 107 800,00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90 319 800,00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94 699 800,00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99 255 300,00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916 899 105,88</w:t>
            </w:r>
          </w:p>
        </w:tc>
      </w:tr>
      <w:tr w:rsidR="00B06127" w:rsidRPr="00B06127" w:rsidTr="00B06127">
        <w:trPr>
          <w:trHeight w:val="14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9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экосистемы поддержки гражданского общества» (всего),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29 224 695,18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24 317 231,84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24 322 231,84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38 063 850,48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41 225 350,48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44 825 850,48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48 570 350,48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52 464 218,48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56 513 850,48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60 725 850,48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65 105 850,48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69 661 350,48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555 020 681,18</w:t>
            </w:r>
          </w:p>
        </w:tc>
      </w:tr>
      <w:tr w:rsidR="00B06127" w:rsidRPr="00B06127" w:rsidTr="00B06127">
        <w:trPr>
          <w:trHeight w:val="4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29 224 695,18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24 317 231,84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24 322 231,84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38 063 850,48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41 225 350,48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44 825 850,48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48 570 350,48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52 464 218,48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56 513 850,48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60 725 850,48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65 105 850,48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69 661 350,48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555 020 681,18</w:t>
            </w:r>
          </w:p>
        </w:tc>
      </w:tr>
      <w:tr w:rsidR="00B06127" w:rsidRPr="00B06127" w:rsidTr="00B06127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6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350 000,00</w:t>
            </w:r>
          </w:p>
        </w:tc>
      </w:tr>
      <w:tr w:rsidR="00B06127" w:rsidRPr="00B06127" w:rsidTr="00B06127">
        <w:trPr>
          <w:trHeight w:val="4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28 874 695,18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24 317 231,84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24 322 231,84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38 063 850,48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41 225 350,48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44 825 850,48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48 570 350,48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52 464 218,48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56 513 850,48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60 725 850,48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65 105 850,48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69 661 350,48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554 670 681,18</w:t>
            </w:r>
          </w:p>
        </w:tc>
      </w:tr>
      <w:tr w:rsidR="00B06127" w:rsidRPr="00B06127" w:rsidTr="00B06127">
        <w:trPr>
          <w:trHeight w:val="1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«Обеспечение деятельности структурных подразделений Администрации города, казенных учреждений» (всего),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77 260 945,19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76 362 587,96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76 100 510,45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834 959 189,28</w:t>
            </w:r>
          </w:p>
        </w:tc>
      </w:tr>
      <w:tr w:rsidR="00B06127" w:rsidRPr="00B06127" w:rsidTr="00B06127">
        <w:trPr>
          <w:trHeight w:val="4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77 260 945,19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76 362 587,96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76 100 510,45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834 959 189,28</w:t>
            </w:r>
          </w:p>
        </w:tc>
      </w:tr>
      <w:tr w:rsidR="00B06127" w:rsidRPr="00B06127" w:rsidTr="00B06127">
        <w:trPr>
          <w:trHeight w:val="6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6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3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77 260 945,19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76 362 587,96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76 100 510,45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67 248 349,52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834 959 189,28</w:t>
            </w:r>
          </w:p>
        </w:tc>
      </w:tr>
      <w:tr w:rsidR="00B06127" w:rsidRPr="00B06127" w:rsidTr="00B06127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18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«Организация социологических исследований на территории муниципального образования по социально значимым вопросам» (всего), </w:t>
            </w:r>
          </w:p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</w:tr>
      <w:tr w:rsidR="00B06127" w:rsidRPr="00B06127" w:rsidTr="00B06127">
        <w:trPr>
          <w:trHeight w:val="3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бюджет муниципального образования, из них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</w:tr>
      <w:tr w:rsidR="00B06127" w:rsidRPr="00B06127" w:rsidTr="00B06127">
        <w:trPr>
          <w:trHeight w:val="5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6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06127" w:rsidRPr="00B06127" w:rsidTr="00B06127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2 880 000,00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10 800 000,00</w:t>
            </w:r>
          </w:p>
        </w:tc>
      </w:tr>
      <w:tr w:rsidR="00B06127" w:rsidRPr="00B06127" w:rsidTr="00B06127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pacing w:val="-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27" w:rsidRPr="00B06127" w:rsidRDefault="00B06127" w:rsidP="00B0612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6127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AA7956" w:rsidRPr="00B06127" w:rsidRDefault="00AA7956" w:rsidP="00B06127">
      <w:pPr>
        <w:rPr>
          <w:rFonts w:cs="Times New Roman"/>
          <w:sz w:val="18"/>
          <w:szCs w:val="18"/>
        </w:rPr>
      </w:pPr>
    </w:p>
    <w:sectPr w:rsidR="00AA7956" w:rsidRPr="00B06127" w:rsidSect="00B06127"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DA" w:rsidRDefault="00167EDA">
      <w:r>
        <w:separator/>
      </w:r>
    </w:p>
  </w:endnote>
  <w:endnote w:type="continuationSeparator" w:id="0">
    <w:p w:rsidR="00167EDA" w:rsidRDefault="0016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B66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B66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B66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DA" w:rsidRDefault="00167EDA">
      <w:r>
        <w:separator/>
      </w:r>
    </w:p>
  </w:footnote>
  <w:footnote w:type="continuationSeparator" w:id="0">
    <w:p w:rsidR="00167EDA" w:rsidRDefault="0016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06127" w:rsidRPr="00C7424E" w:rsidRDefault="00B06127">
        <w:pPr>
          <w:pStyle w:val="a3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AB66C8">
          <w:rPr>
            <w:noProof/>
            <w:sz w:val="20"/>
            <w:szCs w:val="20"/>
          </w:rPr>
          <w:t>2</w:t>
        </w:r>
        <w:r w:rsidRPr="00C7424E">
          <w:rPr>
            <w:sz w:val="20"/>
            <w:szCs w:val="20"/>
          </w:rPr>
          <w:fldChar w:fldCharType="end"/>
        </w:r>
      </w:p>
    </w:sdtContent>
  </w:sdt>
  <w:p w:rsidR="00B06127" w:rsidRDefault="00B061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B66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457FF">
          <w:rPr>
            <w:rStyle w:val="a7"/>
            <w:noProof/>
            <w:sz w:val="20"/>
          </w:rPr>
          <w:instrText>8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57FF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57FF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457FF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4457FF">
          <w:rPr>
            <w:noProof/>
            <w:sz w:val="20"/>
            <w:lang w:val="en-US"/>
          </w:rPr>
          <w:t>8</w:t>
        </w:r>
        <w:r w:rsidRPr="004A12EB">
          <w:rPr>
            <w:sz w:val="20"/>
          </w:rPr>
          <w:fldChar w:fldCharType="end"/>
        </w:r>
      </w:p>
    </w:sdtContent>
  </w:sdt>
  <w:p w:rsidR="006E704F" w:rsidRDefault="00AB66C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9262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06127" w:rsidRPr="00B06127" w:rsidRDefault="00B06127">
        <w:pPr>
          <w:pStyle w:val="a3"/>
          <w:jc w:val="center"/>
          <w:rPr>
            <w:sz w:val="20"/>
            <w:szCs w:val="20"/>
          </w:rPr>
        </w:pPr>
        <w:r w:rsidRPr="00B06127">
          <w:rPr>
            <w:sz w:val="20"/>
            <w:szCs w:val="20"/>
          </w:rPr>
          <w:fldChar w:fldCharType="begin"/>
        </w:r>
        <w:r w:rsidRPr="00B06127">
          <w:rPr>
            <w:sz w:val="20"/>
            <w:szCs w:val="20"/>
          </w:rPr>
          <w:instrText>PAGE   \* MERGEFORMAT</w:instrText>
        </w:r>
        <w:r w:rsidRPr="00B06127">
          <w:rPr>
            <w:sz w:val="20"/>
            <w:szCs w:val="20"/>
          </w:rPr>
          <w:fldChar w:fldCharType="separate"/>
        </w:r>
        <w:r w:rsidR="004457FF">
          <w:rPr>
            <w:noProof/>
            <w:sz w:val="20"/>
            <w:szCs w:val="20"/>
          </w:rPr>
          <w:t>4</w:t>
        </w:r>
        <w:r w:rsidRPr="00B0612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27"/>
    <w:rsid w:val="000201D1"/>
    <w:rsid w:val="00167EDA"/>
    <w:rsid w:val="001C51BE"/>
    <w:rsid w:val="00220CD6"/>
    <w:rsid w:val="0032571F"/>
    <w:rsid w:val="00337298"/>
    <w:rsid w:val="00444A81"/>
    <w:rsid w:val="004457FF"/>
    <w:rsid w:val="004645D6"/>
    <w:rsid w:val="00942C82"/>
    <w:rsid w:val="00951628"/>
    <w:rsid w:val="00987E51"/>
    <w:rsid w:val="009925BF"/>
    <w:rsid w:val="009B17BE"/>
    <w:rsid w:val="00AA7956"/>
    <w:rsid w:val="00AB66C8"/>
    <w:rsid w:val="00B06127"/>
    <w:rsid w:val="00B134FA"/>
    <w:rsid w:val="00C420B6"/>
    <w:rsid w:val="00C5646A"/>
    <w:rsid w:val="00C8636C"/>
    <w:rsid w:val="00D11F14"/>
    <w:rsid w:val="00F2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8403A2-678E-4F06-B168-F9D06A97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0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0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2842</Words>
  <Characters>16203</Characters>
  <Application>Microsoft Office Word</Application>
  <DocSecurity>0</DocSecurity>
  <Lines>135</Lines>
  <Paragraphs>38</Paragraphs>
  <ScaleCrop>false</ScaleCrop>
  <Company/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2025-11-13T07:14:00Z</cp:lastPrinted>
  <dcterms:created xsi:type="dcterms:W3CDTF">2025-11-17T11:10:00Z</dcterms:created>
  <dcterms:modified xsi:type="dcterms:W3CDTF">2025-11-17T11:10:00Z</dcterms:modified>
</cp:coreProperties>
</file>