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pPr w:leftFromText="181" w:rightFromText="181" w:vertAnchor="page" w:tblpY="285"/>
        <w:tblOverlap w:val="never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1723F9" w:rsidTr="001723F9">
        <w:tc>
          <w:tcPr>
            <w:tcW w:w="9639" w:type="dxa"/>
            <w:gridSpan w:val="9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1723F9" w:rsidP="001723F9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object w:dxaOrig="1185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6.5pt" o:ole="">
                  <v:imagedata r:id="rId6" o:title="" gain="1.5625" blacklevel="3932f" grayscale="t"/>
                </v:shape>
                <o:OLEObject Type="Embed" ProgID="CorelDRAW.Graphic.11" ShapeID="_x0000_i1025" DrawAspect="Content" ObjectID="_1844511316" r:id="rId7"/>
              </w:objec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10"/>
                <w:szCs w:val="10"/>
                <w:lang w:eastAsia="ru-RU"/>
              </w:rPr>
            </w:pP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26"/>
                <w:szCs w:val="24"/>
                <w:lang w:eastAsia="ru-RU"/>
              </w:rPr>
            </w:pPr>
            <w:r>
              <w:rPr>
                <w:rFonts w:eastAsia="Calibri"/>
                <w:sz w:val="26"/>
                <w:szCs w:val="24"/>
                <w:lang w:eastAsia="ru-RU"/>
              </w:rPr>
              <w:t>МУНИЦИПАЛЬНОЕ ОБРАЗОВАНИЕ</w: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26"/>
                <w:szCs w:val="24"/>
                <w:lang w:eastAsia="ru-RU"/>
              </w:rPr>
            </w:pPr>
            <w:r>
              <w:rPr>
                <w:rFonts w:eastAsia="Calibri"/>
                <w:sz w:val="26"/>
                <w:szCs w:val="24"/>
                <w:lang w:eastAsia="ru-RU"/>
              </w:rPr>
              <w:t>ГОРОДСКОЙ ОКРУГ СУРГУТ</w: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26"/>
                <w:szCs w:val="24"/>
                <w:lang w:eastAsia="ru-RU"/>
              </w:rPr>
            </w:pPr>
            <w:r>
              <w:rPr>
                <w:rFonts w:eastAsia="Calibri"/>
                <w:sz w:val="26"/>
                <w:lang w:eastAsia="ru-RU"/>
              </w:rPr>
              <w:t>ХАНТЫ-МАНСИЙСКОГО АВТОНОМНОГО ОКРУГА – ЮГРЫ</w: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18"/>
                <w:szCs w:val="24"/>
                <w:lang w:eastAsia="ru-RU"/>
              </w:rPr>
            </w:pPr>
          </w:p>
          <w:p w:rsidR="001723F9" w:rsidRDefault="001723F9" w:rsidP="001723F9">
            <w:pPr>
              <w:jc w:val="center"/>
              <w:rPr>
                <w:rFonts w:eastAsia="Calibri"/>
                <w:b/>
                <w:sz w:val="26"/>
                <w:szCs w:val="26"/>
                <w:lang w:eastAsia="ru-RU"/>
              </w:rPr>
            </w:pPr>
            <w:r>
              <w:rPr>
                <w:rFonts w:eastAsia="Calibri"/>
                <w:b/>
                <w:sz w:val="26"/>
                <w:szCs w:val="26"/>
                <w:lang w:eastAsia="ru-RU"/>
              </w:rPr>
              <w:t>АДМИНИСТРАЦИЯ ГОРОДА</w: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18"/>
                <w:szCs w:val="24"/>
                <w:lang w:eastAsia="ru-RU"/>
              </w:rPr>
            </w:pP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20"/>
                <w:szCs w:val="24"/>
                <w:lang w:eastAsia="ru-RU"/>
              </w:rPr>
            </w:pPr>
          </w:p>
          <w:p w:rsidR="001723F9" w:rsidRDefault="001723F9" w:rsidP="001723F9">
            <w:pPr>
              <w:jc w:val="center"/>
              <w:rPr>
                <w:rFonts w:eastAsia="Calibri"/>
                <w:b/>
                <w:sz w:val="30"/>
                <w:szCs w:val="30"/>
                <w:lang w:eastAsia="ru-RU"/>
              </w:rPr>
            </w:pPr>
            <w:r>
              <w:rPr>
                <w:rFonts w:eastAsia="Calibri"/>
                <w:b/>
                <w:sz w:val="30"/>
                <w:szCs w:val="30"/>
                <w:lang w:eastAsia="ru-RU"/>
              </w:rPr>
              <w:t>ПОСТАНОВЛЕНИЕ</w:t>
            </w: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30"/>
                <w:szCs w:val="24"/>
                <w:lang w:eastAsia="ru-RU"/>
              </w:rPr>
            </w:pPr>
          </w:p>
          <w:p w:rsidR="001723F9" w:rsidRDefault="001723F9" w:rsidP="001723F9">
            <w:pPr>
              <w:spacing w:line="120" w:lineRule="atLeast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1723F9" w:rsidTr="001723F9">
        <w:tc>
          <w:tcPr>
            <w:tcW w:w="153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3F9" w:rsidRDefault="001723F9" w:rsidP="001723F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734E18" w:rsidP="001723F9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bookmarkStart w:id="0" w:name="dd"/>
            <w:bookmarkEnd w:id="0"/>
            <w:r>
              <w:rPr>
                <w:rFonts w:eastAsia="Calibri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3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3F9" w:rsidRDefault="001723F9" w:rsidP="001723F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734E18" w:rsidP="001723F9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bookmarkStart w:id="1" w:name="mm"/>
            <w:bookmarkEnd w:id="1"/>
            <w:r>
              <w:rPr>
                <w:rFonts w:eastAsia="Calibri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95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3F9" w:rsidRDefault="001723F9" w:rsidP="001723F9">
            <w:pPr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>
              <w:rPr>
                <w:rFonts w:eastAsia="Calibri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734E18" w:rsidP="001723F9">
            <w:pPr>
              <w:rPr>
                <w:rFonts w:eastAsia="Calibri"/>
                <w:sz w:val="24"/>
                <w:szCs w:val="24"/>
                <w:lang w:eastAsia="ru-RU"/>
              </w:rPr>
            </w:pPr>
            <w:bookmarkStart w:id="2" w:name="yy"/>
            <w:bookmarkEnd w:id="2"/>
            <w:r>
              <w:rPr>
                <w:rFonts w:eastAsia="Calibri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1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1723F9" w:rsidP="001723F9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3F9" w:rsidRDefault="001723F9" w:rsidP="001723F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723F9" w:rsidRDefault="00734E18" w:rsidP="001723F9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bookmarkStart w:id="3" w:name="NumDoc"/>
            <w:bookmarkEnd w:id="3"/>
            <w:r>
              <w:rPr>
                <w:rFonts w:eastAsia="Calibri"/>
                <w:sz w:val="24"/>
                <w:szCs w:val="24"/>
                <w:lang w:eastAsia="ru-RU"/>
              </w:rPr>
              <w:t>7005</w:t>
            </w:r>
            <w:bookmarkStart w:id="4" w:name="_GoBack"/>
            <w:bookmarkEnd w:id="4"/>
          </w:p>
        </w:tc>
      </w:tr>
    </w:tbl>
    <w:p w:rsidR="001723F9" w:rsidRDefault="001723F9" w:rsidP="001723F9">
      <w:pPr>
        <w:rPr>
          <w:rFonts w:eastAsia="Calibri"/>
        </w:rPr>
      </w:pPr>
    </w:p>
    <w:p w:rsidR="001723F9" w:rsidRDefault="001723F9" w:rsidP="001723F9">
      <w:pPr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Об утверждении внесения </w:t>
      </w:r>
    </w:p>
    <w:p w:rsidR="001723F9" w:rsidRDefault="001723F9" w:rsidP="001723F9">
      <w:pPr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изменений в проект планировки </w:t>
      </w:r>
    </w:p>
    <w:p w:rsidR="001723F9" w:rsidRDefault="001723F9" w:rsidP="001723F9">
      <w:pPr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«Планировка микрорайона № 30 </w:t>
      </w:r>
    </w:p>
    <w:p w:rsidR="001723F9" w:rsidRDefault="001723F9" w:rsidP="001723F9">
      <w:pPr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>города Сургута»</w:t>
      </w:r>
    </w:p>
    <w:p w:rsidR="001723F9" w:rsidRDefault="001723F9" w:rsidP="001723F9">
      <w:pPr>
        <w:rPr>
          <w:rFonts w:eastAsia="Calibri"/>
          <w:color w:val="000000"/>
          <w:szCs w:val="28"/>
        </w:rPr>
      </w:pPr>
    </w:p>
    <w:p w:rsidR="001723F9" w:rsidRDefault="001723F9" w:rsidP="001723F9">
      <w:pPr>
        <w:rPr>
          <w:rFonts w:eastAsia="Calibri"/>
          <w:szCs w:val="28"/>
        </w:rPr>
      </w:pPr>
    </w:p>
    <w:p w:rsidR="001723F9" w:rsidRDefault="001723F9" w:rsidP="001723F9">
      <w:pPr>
        <w:ind w:right="-1"/>
        <w:rPr>
          <w:rFonts w:eastAsia="Calibri"/>
          <w:szCs w:val="28"/>
        </w:rPr>
      </w:pPr>
      <w:r>
        <w:rPr>
          <w:rFonts w:eastAsia="Calibri"/>
          <w:szCs w:val="28"/>
        </w:rPr>
        <w:tab/>
        <w:t>В соответствии со статьями 5.1, 43, 45, 46 Градостроительного кодекса Российской Федерации, постановлением Правительства Российской Федерации</w:t>
      </w:r>
    </w:p>
    <w:p w:rsidR="001723F9" w:rsidRDefault="001723F9" w:rsidP="001723F9">
      <w:pPr>
        <w:ind w:right="-1"/>
        <w:rPr>
          <w:rFonts w:eastAsia="Times New Roman"/>
          <w:szCs w:val="28"/>
          <w:lang w:eastAsia="ru-RU"/>
        </w:rPr>
      </w:pPr>
      <w:r>
        <w:rPr>
          <w:rFonts w:eastAsia="Calibri"/>
          <w:szCs w:val="28"/>
        </w:rPr>
        <w:t>от 02.02.2024 № 112 «Об утверждении Правил подготовки документации</w:t>
      </w:r>
      <w:r>
        <w:rPr>
          <w:rFonts w:eastAsia="Calibri"/>
          <w:szCs w:val="28"/>
        </w:rPr>
        <w:br/>
        <w:t xml:space="preserve"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</w:t>
      </w:r>
      <w:proofErr w:type="spellStart"/>
      <w:r>
        <w:rPr>
          <w:rFonts w:eastAsia="Calibri"/>
          <w:szCs w:val="28"/>
        </w:rPr>
        <w:t>плани-ровке</w:t>
      </w:r>
      <w:proofErr w:type="spellEnd"/>
      <w:r>
        <w:rPr>
          <w:rFonts w:eastAsia="Calibri"/>
          <w:szCs w:val="28"/>
        </w:rPr>
        <w:t xml:space="preserve">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Уставом муниципального образования городской округ Сургут Ханты-Мансийского автономного </w:t>
      </w:r>
      <w:r>
        <w:rPr>
          <w:rFonts w:eastAsia="Calibri"/>
          <w:szCs w:val="28"/>
        </w:rPr>
        <w:br/>
        <w:t xml:space="preserve">округа – Югры, постановлениями Администрации города от 24.11.2022 № 9211 </w:t>
      </w:r>
      <w:r>
        <w:rPr>
          <w:rFonts w:eastAsia="Calibri"/>
          <w:szCs w:val="28"/>
        </w:rPr>
        <w:br/>
        <w:t>«Об утверждении административного регламента предоставления муници-пальной услуги «Подготовка и утверждение документации по планировке территории», от 20.01.2020 № 294 «О корректировке проекта планировки</w:t>
      </w:r>
      <w:r>
        <w:rPr>
          <w:rFonts w:eastAsia="Calibri"/>
          <w:szCs w:val="28"/>
        </w:rPr>
        <w:br/>
        <w:t>и проекта межевания территории микрорайона 30 города Сургута»</w:t>
      </w:r>
      <w:r>
        <w:rPr>
          <w:rFonts w:eastAsia="Times New Roman"/>
          <w:szCs w:val="28"/>
          <w:lang w:eastAsia="ru-RU"/>
        </w:rPr>
        <w:t xml:space="preserve">, </w:t>
      </w:r>
      <w:r>
        <w:rPr>
          <w:rFonts w:eastAsia="Calibri"/>
          <w:szCs w:val="28"/>
        </w:rPr>
        <w:t>распоряжениями Администрации города</w:t>
      </w:r>
      <w:r>
        <w:rPr>
          <w:rFonts w:eastAsia="Times New Roman"/>
          <w:szCs w:val="28"/>
          <w:lang w:eastAsia="ru-RU"/>
        </w:rPr>
        <w:t xml:space="preserve"> от 30.12.2005 № 3686 «Об утверждении Регламента Администрации города», от 23.12.2024 № 8525 «О распределении отдельных полномочий Главы города между высшими должностными лицами Администрации города», учитывая заключение о результатах публичных слушаний от 10.06.2026:</w:t>
      </w:r>
    </w:p>
    <w:p w:rsidR="001723F9" w:rsidRDefault="001723F9" w:rsidP="001723F9">
      <w:pPr>
        <w:rPr>
          <w:rFonts w:eastAsia="Calibri"/>
          <w:szCs w:val="28"/>
        </w:rPr>
      </w:pPr>
      <w:r>
        <w:rPr>
          <w:rFonts w:eastAsia="Calibri"/>
          <w:szCs w:val="28"/>
        </w:rPr>
        <w:tab/>
        <w:t xml:space="preserve">1. Утвердить внесение изменений в проект планировки и проект межевания территории микрорайона № 30 города Сургута, утвержденные постановлением Администрации города от 21.12.2007 № 4235 «Об утверждении </w:t>
      </w:r>
      <w:r>
        <w:rPr>
          <w:rFonts w:eastAsia="Calibri"/>
          <w:szCs w:val="28"/>
        </w:rPr>
        <w:lastRenderedPageBreak/>
        <w:t>проекта планировки «Планировка микрорайона 30 города Сургута»</w:t>
      </w:r>
      <w:r>
        <w:rPr>
          <w:rFonts w:eastAsia="Calibri"/>
          <w:szCs w:val="28"/>
        </w:rPr>
        <w:br/>
        <w:t xml:space="preserve">(с изменениями от 03.04.2012 № 2201), </w:t>
      </w:r>
      <w:r>
        <w:rPr>
          <w:rFonts w:eastAsia="Calibri"/>
          <w:color w:val="000000"/>
          <w:szCs w:val="28"/>
        </w:rPr>
        <w:t>согласно приложениям 1, 2.</w:t>
      </w:r>
    </w:p>
    <w:p w:rsidR="001723F9" w:rsidRDefault="001723F9" w:rsidP="001723F9">
      <w:pPr>
        <w:shd w:val="clear" w:color="auto" w:fill="FFFFFF"/>
        <w:ind w:firstLine="708"/>
        <w:rPr>
          <w:rFonts w:eastAsia="Calibri"/>
          <w:szCs w:val="28"/>
        </w:rPr>
      </w:pPr>
      <w:r>
        <w:rPr>
          <w:rFonts w:eastAsia="Calibri"/>
          <w:szCs w:val="28"/>
        </w:rPr>
        <w:t>2. Комитету информационной политики обнародовать (разместить) настоящее постановление на официальном портале Администрации города: www.admsurgut.ru.</w:t>
      </w:r>
    </w:p>
    <w:p w:rsidR="001723F9" w:rsidRDefault="001723F9" w:rsidP="001723F9">
      <w:pPr>
        <w:autoSpaceDE w:val="0"/>
        <w:autoSpaceDN w:val="0"/>
        <w:adjustRightInd w:val="0"/>
        <w:ind w:firstLine="72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>
        <w:rPr>
          <w:rFonts w:eastAsia="Calibri"/>
          <w:caps/>
          <w:szCs w:val="28"/>
        </w:rPr>
        <w:t>docsurgut.ru</w:t>
      </w:r>
      <w:r>
        <w:rPr>
          <w:rFonts w:eastAsia="Calibri"/>
          <w:szCs w:val="28"/>
        </w:rPr>
        <w:t xml:space="preserve">. </w:t>
      </w:r>
    </w:p>
    <w:p w:rsidR="001723F9" w:rsidRDefault="001723F9" w:rsidP="001723F9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4. Настоящее постановление вступает в силу с даты подписания.</w:t>
      </w:r>
    </w:p>
    <w:p w:rsidR="001723F9" w:rsidRDefault="001723F9" w:rsidP="001723F9">
      <w:pPr>
        <w:ind w:firstLine="709"/>
        <w:rPr>
          <w:rFonts w:eastAsia="Calibri"/>
        </w:rPr>
      </w:pPr>
      <w:r>
        <w:rPr>
          <w:rFonts w:eastAsia="Calibri"/>
          <w:szCs w:val="28"/>
        </w:rPr>
        <w:t>5. </w:t>
      </w:r>
      <w:r>
        <w:rPr>
          <w:rFonts w:eastAsia="Calibri"/>
        </w:rPr>
        <w:t>Контроль за выполнением постановления оставляю за собой.</w:t>
      </w:r>
    </w:p>
    <w:p w:rsidR="001723F9" w:rsidRDefault="001723F9" w:rsidP="001723F9">
      <w:pPr>
        <w:ind w:firstLine="709"/>
        <w:rPr>
          <w:rFonts w:eastAsia="Calibri"/>
        </w:rPr>
      </w:pPr>
    </w:p>
    <w:p w:rsidR="001723F9" w:rsidRDefault="001723F9" w:rsidP="001723F9">
      <w:pPr>
        <w:ind w:firstLine="709"/>
        <w:rPr>
          <w:rFonts w:eastAsia="Calibri"/>
        </w:rPr>
      </w:pPr>
    </w:p>
    <w:p w:rsidR="001723F9" w:rsidRDefault="001723F9" w:rsidP="001723F9">
      <w:pPr>
        <w:ind w:firstLine="709"/>
        <w:rPr>
          <w:rFonts w:eastAsia="Calibri"/>
        </w:rPr>
      </w:pPr>
    </w:p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t xml:space="preserve">Заместитель Главы города – </w:t>
      </w:r>
    </w:p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t>директор департамента                                                                                О.В. Виер</w:t>
      </w:r>
    </w:p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br w:type="page"/>
      </w:r>
    </w:p>
    <w:p w:rsidR="001723F9" w:rsidRDefault="001723F9" w:rsidP="001723F9">
      <w:pPr>
        <w:jc w:val="left"/>
        <w:rPr>
          <w:rFonts w:eastAsia="Calibri"/>
        </w:rPr>
        <w:sectPr w:rsidR="001723F9">
          <w:headerReference w:type="default" r:id="rId8"/>
          <w:pgSz w:w="11906" w:h="16798"/>
          <w:pgMar w:top="1134" w:right="567" w:bottom="1134" w:left="1701" w:header="720" w:footer="720" w:gutter="0"/>
          <w:cols w:space="720"/>
        </w:sectPr>
      </w:pP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  <w:gridCol w:w="3787"/>
      </w:tblGrid>
      <w:tr w:rsidR="001723F9" w:rsidTr="001723F9">
        <w:tc>
          <w:tcPr>
            <w:tcW w:w="10773" w:type="dxa"/>
          </w:tcPr>
          <w:p w:rsidR="001723F9" w:rsidRDefault="001723F9" w:rsidP="001723F9">
            <w:pPr>
              <w:jc w:val="center"/>
              <w:rPr>
                <w:bCs/>
                <w:szCs w:val="28"/>
              </w:rPr>
            </w:pPr>
          </w:p>
        </w:tc>
        <w:tc>
          <w:tcPr>
            <w:tcW w:w="3787" w:type="dxa"/>
            <w:hideMark/>
          </w:tcPr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Приложение 1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 постановлению 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Администрации города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от _____________ № _______</w:t>
            </w:r>
          </w:p>
        </w:tc>
      </w:tr>
    </w:tbl>
    <w:p w:rsidR="001723F9" w:rsidRDefault="001723F9" w:rsidP="001723F9">
      <w:pPr>
        <w:jc w:val="center"/>
        <w:rPr>
          <w:rFonts w:eastAsia="Calibri"/>
          <w:bCs/>
          <w:szCs w:val="28"/>
        </w:rPr>
      </w:pPr>
    </w:p>
    <w:p w:rsidR="001723F9" w:rsidRDefault="001723F9" w:rsidP="001723F9">
      <w:pPr>
        <w:jc w:val="center"/>
        <w:rPr>
          <w:rFonts w:eastAsia="Calibri"/>
          <w:bCs/>
          <w:szCs w:val="28"/>
        </w:rPr>
      </w:pPr>
    </w:p>
    <w:p w:rsidR="001723F9" w:rsidRDefault="001723F9" w:rsidP="001723F9">
      <w:pPr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Внесение изменений</w:t>
      </w:r>
    </w:p>
    <w:p w:rsidR="001723F9" w:rsidRDefault="001723F9" w:rsidP="001723F9">
      <w:pPr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в проект планировки территории микрорайона № 30 города Сургута. Чертеж проекта планировки</w:t>
      </w:r>
    </w:p>
    <w:p w:rsidR="001723F9" w:rsidRDefault="001723F9" w:rsidP="001723F9">
      <w:pPr>
        <w:ind w:firstLine="709"/>
        <w:jc w:val="center"/>
        <w:rPr>
          <w:rFonts w:eastAsia="Calibri"/>
          <w:bCs/>
          <w:szCs w:val="28"/>
        </w:rPr>
      </w:pPr>
    </w:p>
    <w:tbl>
      <w:tblPr>
        <w:tblStyle w:val="31"/>
        <w:tblW w:w="5000" w:type="pct"/>
        <w:tblInd w:w="0" w:type="dxa"/>
        <w:tblLook w:val="04A0" w:firstRow="1" w:lastRow="0" w:firstColumn="1" w:lastColumn="0" w:noHBand="0" w:noVBand="1"/>
      </w:tblPr>
      <w:tblGrid>
        <w:gridCol w:w="14562"/>
      </w:tblGrid>
      <w:tr w:rsidR="001723F9" w:rsidTr="001723F9">
        <w:trPr>
          <w:trHeight w:val="1037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8067675" cy="11420475"/>
                  <wp:effectExtent l="0" t="0" r="9525" b="9525"/>
                  <wp:docPr id="7" name="Рисунок 7" descr="01 Чертеж проекта планировки территори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1 Чертеж проекта планировки территори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675" cy="114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3F9" w:rsidRDefault="001723F9" w:rsidP="001723F9">
      <w:pPr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lastRenderedPageBreak/>
        <w:t>Внесение изменений</w:t>
      </w:r>
    </w:p>
    <w:p w:rsidR="001723F9" w:rsidRDefault="001723F9" w:rsidP="001723F9">
      <w:pPr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в проект планировки территории микрорайона № 30 города Сургута. Чертеж красных линий</w:t>
      </w:r>
    </w:p>
    <w:p w:rsidR="001723F9" w:rsidRDefault="001723F9" w:rsidP="001723F9">
      <w:pPr>
        <w:jc w:val="center"/>
        <w:rPr>
          <w:rFonts w:eastAsia="Calibri"/>
          <w:bCs/>
          <w:szCs w:val="28"/>
        </w:rPr>
      </w:pPr>
    </w:p>
    <w:tbl>
      <w:tblPr>
        <w:tblStyle w:val="31"/>
        <w:tblW w:w="0" w:type="auto"/>
        <w:tblInd w:w="0" w:type="dxa"/>
        <w:tblLook w:val="04A0" w:firstRow="1" w:lastRow="0" w:firstColumn="1" w:lastColumn="0" w:noHBand="0" w:noVBand="1"/>
      </w:tblPr>
      <w:tblGrid>
        <w:gridCol w:w="14480"/>
      </w:tblGrid>
      <w:tr w:rsidR="001723F9" w:rsidTr="001723F9">
        <w:trPr>
          <w:trHeight w:val="19413"/>
        </w:trPr>
        <w:tc>
          <w:tcPr>
            <w:tcW w:w="1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F9" w:rsidRDefault="001723F9" w:rsidP="001723F9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8572500" cy="12134850"/>
                  <wp:effectExtent l="0" t="0" r="0" b="0"/>
                  <wp:docPr id="6" name="Рисунок 6" descr="02 Чертеж красных л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2 Чертеж красных л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213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3F9" w:rsidRDefault="001723F9" w:rsidP="001723F9">
            <w:pPr>
              <w:rPr>
                <w:szCs w:val="28"/>
              </w:rPr>
            </w:pPr>
          </w:p>
        </w:tc>
      </w:tr>
    </w:tbl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br w:type="page"/>
      </w:r>
    </w:p>
    <w:p w:rsidR="001723F9" w:rsidRDefault="001723F9" w:rsidP="001723F9">
      <w:pPr>
        <w:jc w:val="left"/>
        <w:rPr>
          <w:rFonts w:eastAsia="Calibri"/>
        </w:rPr>
        <w:sectPr w:rsidR="001723F9">
          <w:pgSz w:w="16840" w:h="23808"/>
          <w:pgMar w:top="1134" w:right="567" w:bottom="1134" w:left="1701" w:header="709" w:footer="709" w:gutter="0"/>
          <w:cols w:space="720"/>
        </w:sectPr>
      </w:pP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 xml:space="preserve">Положение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 характеристиках планируемого развития территории,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том числе о плотности и параметрах застройки территории,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 характеристиках объектов капитального строительства жилого,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общественно-делового и иного назначения и необходимых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для функционирования таких объектов и обеспечения жизнедеятельности человека объектов коммунальной, транспортной, социальной инфраструктур,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том числе объектов, включенных в программы комплексного развития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систем коммунальной инфраструктуры, программы комплексного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развития транспортной инфраструктуры, программы комплексного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развития социальной инфраструктуры и необходимых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для развития территории в границах элемента планировочной структуры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Планируемые к размещению объекты капитального строительства федерального и регионального значения отсутствуют.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Планируемые к размещению объекты капитального строительства местного значения городского округа: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дошкольная образовательная организация на 300 мест – 3 объекта;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общеобразовательная организация на 1 500 учащихся – 2 объекта;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сети водоснабжения диаметром 107 – 273 мм, общей протяженностью </w:t>
      </w:r>
      <w:r>
        <w:rPr>
          <w:rFonts w:eastAsia="Times New Roman"/>
          <w:szCs w:val="28"/>
          <w:lang w:eastAsia="ru-RU"/>
        </w:rPr>
        <w:br/>
        <w:t>5,8 км;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сети водоотведения диаметрами 150 – 355 мм, общей протяженностью 6,63 км;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 тепловой контрольный распределительный пункт 26,956 Гкал/ч –</w:t>
      </w:r>
      <w:r>
        <w:rPr>
          <w:rFonts w:eastAsia="Times New Roman"/>
          <w:szCs w:val="28"/>
          <w:lang w:eastAsia="ru-RU"/>
        </w:rPr>
        <w:br/>
        <w:t>2 объекта;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тепловые сети диаметром 108 – 273 мм протяженностью 5,72 км;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трансформаторные подстанции ТП 10 кВ – 3 объекта;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кабельные ЛЭП 10 кВ протяженностью 0,6 км;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кабельные ЛЭП 0,4 кВ протяженностью 3,9 км.</w:t>
      </w:r>
    </w:p>
    <w:p w:rsidR="001723F9" w:rsidRDefault="001723F9" w:rsidP="001723F9">
      <w:pPr>
        <w:ind w:firstLine="709"/>
        <w:rPr>
          <w:rFonts w:eastAsia="Times New Roman"/>
          <w:sz w:val="20"/>
          <w:szCs w:val="20"/>
          <w:lang w:eastAsia="ru-RU"/>
        </w:rPr>
      </w:pP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val="x-none" w:eastAsia="ar-SA"/>
        </w:rPr>
        <w:t>Сведения о зонах размещения объектов капитального строительства</w:t>
      </w:r>
      <w:r>
        <w:rPr>
          <w:rFonts w:eastAsia="Times New Roman"/>
          <w:szCs w:val="28"/>
          <w:lang w:eastAsia="ar-SA"/>
        </w:rPr>
        <w:br/>
      </w:r>
      <w:r>
        <w:rPr>
          <w:rFonts w:eastAsia="Times New Roman"/>
          <w:szCs w:val="28"/>
          <w:lang w:val="x-none" w:eastAsia="ar-SA"/>
        </w:rPr>
        <w:t>и их видах</w:t>
      </w:r>
      <w:r>
        <w:rPr>
          <w:rFonts w:eastAsia="Times New Roman"/>
          <w:szCs w:val="28"/>
          <w:lang w:eastAsia="ar-SA"/>
        </w:rPr>
        <w:t>: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площадь </w:t>
      </w:r>
      <w:bookmarkStart w:id="5" w:name="_Hlk13426562"/>
      <w:r>
        <w:rPr>
          <w:rFonts w:eastAsia="Times New Roman"/>
          <w:szCs w:val="28"/>
          <w:lang w:eastAsia="ar-SA"/>
        </w:rPr>
        <w:t xml:space="preserve">зоны многоэтажной жилой застройки – </w:t>
      </w:r>
      <w:r>
        <w:rPr>
          <w:rFonts w:eastAsia="Calibri"/>
          <w:szCs w:val="28"/>
        </w:rPr>
        <w:t>41,41</w:t>
      </w:r>
      <w:r>
        <w:rPr>
          <w:rFonts w:eastAsia="Calibri"/>
          <w:b/>
          <w:szCs w:val="28"/>
        </w:rPr>
        <w:t xml:space="preserve"> </w:t>
      </w:r>
      <w:r>
        <w:rPr>
          <w:rFonts w:eastAsia="Times New Roman"/>
          <w:szCs w:val="28"/>
          <w:lang w:eastAsia="ar-SA"/>
        </w:rPr>
        <w:t>га</w:t>
      </w:r>
      <w:bookmarkEnd w:id="5"/>
      <w:r>
        <w:rPr>
          <w:rFonts w:eastAsia="Times New Roman"/>
          <w:szCs w:val="28"/>
          <w:lang w:eastAsia="ar-SA"/>
        </w:rPr>
        <w:t>;</w:t>
      </w:r>
    </w:p>
    <w:p w:rsidR="001723F9" w:rsidRDefault="001723F9" w:rsidP="001723F9">
      <w:pPr>
        <w:ind w:firstLine="709"/>
        <w:rPr>
          <w:rFonts w:eastAsia="Times New Roman"/>
          <w:spacing w:val="-2"/>
          <w:szCs w:val="28"/>
          <w:lang w:eastAsia="ar-SA"/>
        </w:rPr>
      </w:pPr>
      <w:r>
        <w:rPr>
          <w:rFonts w:eastAsia="Times New Roman"/>
          <w:spacing w:val="-2"/>
          <w:szCs w:val="28"/>
          <w:lang w:eastAsia="ar-SA"/>
        </w:rPr>
        <w:t xml:space="preserve">- площадь </w:t>
      </w:r>
      <w:bookmarkStart w:id="6" w:name="_Hlk13426575"/>
      <w:r>
        <w:rPr>
          <w:rFonts w:eastAsia="Times New Roman"/>
          <w:spacing w:val="-2"/>
          <w:szCs w:val="28"/>
          <w:lang w:eastAsia="ar-SA"/>
        </w:rPr>
        <w:t>зоны дошкольного, начального и среднего общего образования – 6,94 га</w:t>
      </w:r>
      <w:bookmarkEnd w:id="6"/>
      <w:r>
        <w:rPr>
          <w:rFonts w:eastAsia="Times New Roman"/>
          <w:spacing w:val="-2"/>
          <w:szCs w:val="28"/>
          <w:lang w:eastAsia="ar-SA"/>
        </w:rPr>
        <w:t>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административно-делового назначения </w:t>
      </w:r>
      <w:r>
        <w:rPr>
          <w:rFonts w:eastAsia="Times New Roman"/>
          <w:b/>
          <w:szCs w:val="28"/>
          <w:lang w:eastAsia="ar-SA"/>
        </w:rPr>
        <w:t xml:space="preserve">– </w:t>
      </w:r>
      <w:r>
        <w:rPr>
          <w:rFonts w:eastAsia="Times New Roman"/>
          <w:szCs w:val="28"/>
          <w:lang w:eastAsia="ar-SA"/>
        </w:rPr>
        <w:t>0,38 га;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Calibri"/>
          <w:szCs w:val="28"/>
        </w:rPr>
        <w:t>- хранения автомобильного транспорта – 0,71 га;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Calibri"/>
          <w:szCs w:val="28"/>
        </w:rPr>
        <w:t>- озелененных территорий общего пользования – 3,12 га.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Красные линии установлены с учетом ранее выполненной проектной документации, сложившейся застройки, в увязке с существующими улицами, проездами, действующими землепользованиями, инженерными сетями. Красные линии отделяют улично-дорожную сеть от застройки.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ind w:firstLine="709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Ведомость координат </w:t>
      </w:r>
    </w:p>
    <w:p w:rsidR="001723F9" w:rsidRDefault="001723F9" w:rsidP="001723F9">
      <w:pPr>
        <w:tabs>
          <w:tab w:val="left" w:pos="708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устанавливаемых красных линий</w:t>
      </w:r>
    </w:p>
    <w:p w:rsidR="001723F9" w:rsidRDefault="001723F9" w:rsidP="001723F9">
      <w:pPr>
        <w:tabs>
          <w:tab w:val="left" w:pos="708"/>
        </w:tabs>
        <w:ind w:firstLine="567"/>
        <w:jc w:val="center"/>
        <w:rPr>
          <w:rFonts w:eastAsia="Calibri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3917"/>
        <w:gridCol w:w="3609"/>
      </w:tblGrid>
      <w:tr w:rsidR="001723F9" w:rsidTr="001723F9">
        <w:trPr>
          <w:cantSplit/>
          <w:tblHeader/>
          <w:jc w:val="center"/>
        </w:trPr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№</w:t>
            </w:r>
          </w:p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bCs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точки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Координаты (МСК 86), м</w:t>
            </w:r>
          </w:p>
        </w:tc>
      </w:tr>
      <w:tr w:rsidR="001723F9" w:rsidTr="001723F9">
        <w:trPr>
          <w:cantSplit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Times New Roman"/>
                <w:bCs/>
                <w:szCs w:val="28"/>
                <w:lang w:eastAsia="ru-RU"/>
              </w:rPr>
            </w:pP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X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Y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982728,52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3575890,63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982700,33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3575900,71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982674,71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3575909,88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4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982645,61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3575918,41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5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982619,98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3575924,55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6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982595,55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3575927,5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7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982564,48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3575927,28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8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982561,22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3575926,97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982536,38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3575924,6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10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982505,21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3575919,54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982450</w:t>
            </w:r>
            <w:r>
              <w:rPr>
                <w:rFonts w:eastAsia="Times New Roman"/>
                <w:szCs w:val="28"/>
                <w:lang w:eastAsia="ru-RU"/>
              </w:rPr>
              <w:t>,00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3575908,78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12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982333,3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3575881,08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13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982501,91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3575170,79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14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982972,62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3575282,59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15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982992,72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3575287,32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16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983013,1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3575291,82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17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983033,05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3575295,89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18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983053,37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3575299,37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19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983073,82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3575302,07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20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983092,91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3575303,71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983112,06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3575304,48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22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983131,2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3575304,39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23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983153,51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3575303,14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24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983176,71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3575300,6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25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983208,43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3575295,13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26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983228,67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3575290,28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27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983249,02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3575284,38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28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983264,92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3575279,21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29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983401,58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3575623,7</w:t>
            </w:r>
            <w:r>
              <w:rPr>
                <w:rFonts w:eastAsia="Times New Roman"/>
                <w:szCs w:val="28"/>
                <w:lang w:eastAsia="ru-RU"/>
              </w:rPr>
              <w:t>0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30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982975,63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3575792,73</w:t>
            </w:r>
          </w:p>
        </w:tc>
      </w:tr>
      <w:tr w:rsidR="001723F9" w:rsidTr="001723F9">
        <w:trPr>
          <w:cantSplit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982756,74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3575879,56</w:t>
            </w:r>
          </w:p>
        </w:tc>
      </w:tr>
    </w:tbl>
    <w:p w:rsidR="001723F9" w:rsidRDefault="001723F9" w:rsidP="001723F9">
      <w:pPr>
        <w:tabs>
          <w:tab w:val="left" w:pos="708"/>
        </w:tabs>
        <w:ind w:firstLine="567"/>
        <w:rPr>
          <w:rFonts w:eastAsia="Calibri"/>
          <w:szCs w:val="28"/>
        </w:rPr>
      </w:pPr>
    </w:p>
    <w:p w:rsidR="001723F9" w:rsidRDefault="001723F9" w:rsidP="001723F9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В соответствии с Единым документом территориального планирования</w:t>
      </w:r>
      <w:r>
        <w:rPr>
          <w:rFonts w:eastAsia="Calibri"/>
          <w:szCs w:val="28"/>
        </w:rPr>
        <w:br/>
        <w:t xml:space="preserve">и градостроительного зонирования муниципального образования городской округ Сургут Ханты-Мансийского автономного округа – Югры, утвержденного </w:t>
      </w:r>
      <w:r>
        <w:rPr>
          <w:rFonts w:eastAsia="Calibri"/>
          <w:szCs w:val="28"/>
        </w:rPr>
        <w:lastRenderedPageBreak/>
        <w:t>решением Думы города от 03.12.2024 № 703-VII ДГ, рассматриваемая территория расположена в следующих функциональных зонах</w:t>
      </w:r>
      <w:r>
        <w:rPr>
          <w:rFonts w:eastAsia="Calibri"/>
          <w:strike/>
          <w:color w:val="FF0000"/>
          <w:szCs w:val="28"/>
        </w:rPr>
        <w:t xml:space="preserve"> </w:t>
      </w:r>
      <w:r>
        <w:rPr>
          <w:rFonts w:eastAsia="Calibri"/>
          <w:szCs w:val="28"/>
        </w:rPr>
        <w:t xml:space="preserve">(в соответствии </w:t>
      </w:r>
      <w:r>
        <w:rPr>
          <w:rFonts w:eastAsia="Calibri"/>
          <w:szCs w:val="28"/>
        </w:rPr>
        <w:br/>
        <w:t>с градостроительным зонированием): многоэтажной жилой застройки (Ж4), административно-деловой застройки (ОД1), специализированной общественной застройки (ОД3), транспортной инфраструктуры (Т).</w:t>
      </w:r>
    </w:p>
    <w:p w:rsidR="001723F9" w:rsidRDefault="001723F9" w:rsidP="001723F9">
      <w:pPr>
        <w:ind w:firstLine="709"/>
        <w:rPr>
          <w:rFonts w:eastAsia="Calibri"/>
          <w:szCs w:val="28"/>
        </w:rPr>
      </w:pP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Сведения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 плотности и параметрах застройки территории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Граница территории микрорайона № 30 города Сургута представляет замкнутый контур и размещена в квартале существующих улиц: </w:t>
      </w:r>
      <w:proofErr w:type="gramStart"/>
      <w:r>
        <w:rPr>
          <w:rFonts w:eastAsia="Times New Roman"/>
          <w:szCs w:val="28"/>
          <w:lang w:eastAsia="ru-RU"/>
        </w:rPr>
        <w:t>Университет-</w:t>
      </w:r>
      <w:proofErr w:type="spellStart"/>
      <w:r>
        <w:rPr>
          <w:rFonts w:eastAsia="Times New Roman"/>
          <w:szCs w:val="28"/>
          <w:lang w:eastAsia="ru-RU"/>
        </w:rPr>
        <w:t>ская</w:t>
      </w:r>
      <w:proofErr w:type="spellEnd"/>
      <w:proofErr w:type="gramEnd"/>
      <w:r>
        <w:rPr>
          <w:rFonts w:eastAsia="Times New Roman"/>
          <w:szCs w:val="28"/>
          <w:lang w:eastAsia="ru-RU"/>
        </w:rPr>
        <w:t>, Иосифа Каролинского, Ивана Захарова и проспект Пролетарский.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Площадь территории в указанных границах составляет 52,6 га.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Численность населения составит ориентировочно </w:t>
      </w:r>
      <w:r>
        <w:rPr>
          <w:rFonts w:eastAsia="Times New Roman"/>
          <w:szCs w:val="28"/>
          <w:lang w:eastAsia="ar-SA"/>
        </w:rPr>
        <w:t xml:space="preserve">14,522 </w:t>
      </w:r>
      <w:r>
        <w:rPr>
          <w:rFonts w:eastAsia="Times New Roman"/>
          <w:szCs w:val="28"/>
          <w:lang w:eastAsia="ru-RU"/>
        </w:rPr>
        <w:t>тыс. человек.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Коэффициент плотности застройки – 0,84.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Коэффициент застройки – 0,11.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Плотность населения в проектных границах территории – 277 чел./га.</w:t>
      </w:r>
    </w:p>
    <w:p w:rsidR="001723F9" w:rsidRDefault="001723F9" w:rsidP="001723F9">
      <w:pPr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Площадь жилой застройки в проектных границах – 54 182,07 кв.м.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Характеристика 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развития системы социального обеспечения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Общеобразовательная организация на 1 500 учащихся – 2 объекта.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Дошкольная образовательная организация на 300 мест – 3 объекта.</w:t>
      </w:r>
    </w:p>
    <w:p w:rsidR="001723F9" w:rsidRDefault="001723F9" w:rsidP="001723F9">
      <w:pPr>
        <w:suppressAutoHyphens/>
        <w:ind w:firstLine="709"/>
        <w:rPr>
          <w:rFonts w:eastAsia="Times New Roman"/>
          <w:spacing w:val="-2"/>
          <w:szCs w:val="28"/>
          <w:lang w:eastAsia="ru-RU"/>
        </w:rPr>
      </w:pPr>
      <w:r>
        <w:rPr>
          <w:rFonts w:eastAsia="Times New Roman"/>
          <w:spacing w:val="-2"/>
          <w:szCs w:val="28"/>
          <w:lang w:eastAsia="ar-SA"/>
        </w:rPr>
        <w:t>В микрорайоне предусмотрено размещение детских, спортивных площадок, а также площадок для отдыха взрослого населения.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ar-SA"/>
        </w:rPr>
        <w:t>Общая площадь проектируемых площадок – 3 471,4 кв. м.: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ar-SA"/>
        </w:rPr>
        <w:t>площадки для игр детей дошкольного и младшего школьного возраста – 1 201,4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ar-SA"/>
        </w:rPr>
        <w:t>кв. м.;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ar-SA"/>
        </w:rPr>
        <w:t>физкультурно-спортивные площадки и сооружения – 2 713,0 кв. м.;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ar-SA"/>
        </w:rPr>
        <w:t>площадки для отдыха взрослого населения – 248,9 кв. м.;</w:t>
      </w: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ar-SA"/>
        </w:rPr>
        <w:t>площадки для выгула собак – 758,4 кв. м.</w:t>
      </w:r>
    </w:p>
    <w:p w:rsidR="001723F9" w:rsidRDefault="001723F9" w:rsidP="001723F9">
      <w:pPr>
        <w:tabs>
          <w:tab w:val="left" w:pos="708"/>
        </w:tabs>
        <w:ind w:firstLine="567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Характеристика </w:t>
      </w: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развития системы транспортного обслуживания территории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pacing w:val="-2"/>
          <w:szCs w:val="28"/>
          <w:lang w:eastAsia="ru-RU"/>
        </w:rPr>
      </w:pPr>
      <w:r>
        <w:rPr>
          <w:rFonts w:eastAsia="Times New Roman"/>
          <w:spacing w:val="-2"/>
          <w:szCs w:val="28"/>
          <w:lang w:eastAsia="ru-RU"/>
        </w:rPr>
        <w:t>В границах микрорайона предусмотрено размещение:</w:t>
      </w: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pacing w:val="-4"/>
          <w:szCs w:val="28"/>
          <w:lang w:eastAsia="ru-RU"/>
        </w:rPr>
      </w:pPr>
      <w:r>
        <w:rPr>
          <w:rFonts w:eastAsia="Times New Roman"/>
          <w:spacing w:val="-4"/>
          <w:szCs w:val="28"/>
          <w:lang w:eastAsia="ru-RU"/>
        </w:rPr>
        <w:t>- стоянок индивидуального транспорта (наземных, подземных и надземных);</w:t>
      </w: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внутриквартальных проездов;</w:t>
      </w: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велосипедных дорожек.</w:t>
      </w: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pacing w:val="-4"/>
          <w:szCs w:val="28"/>
          <w:lang w:eastAsia="ru-RU"/>
        </w:rPr>
      </w:pPr>
      <w:bookmarkStart w:id="7" w:name="_Hlk13428167"/>
      <w:r>
        <w:rPr>
          <w:rFonts w:eastAsia="Times New Roman"/>
          <w:spacing w:val="-4"/>
          <w:szCs w:val="28"/>
          <w:lang w:eastAsia="ru-RU"/>
        </w:rPr>
        <w:t xml:space="preserve">Транспортное обслуживание внутри кварталов осуществляется </w:t>
      </w:r>
      <w:r>
        <w:rPr>
          <w:rFonts w:eastAsia="Times New Roman"/>
          <w:spacing w:val="-4"/>
          <w:szCs w:val="28"/>
          <w:lang w:eastAsia="ru-RU"/>
        </w:rPr>
        <w:br/>
        <w:t xml:space="preserve">по внутриквартальным проездам, обеспечивающим транспортную связь жилого микрорайона с существующей улично-дорожной сетью, представленной </w:t>
      </w:r>
      <w:r>
        <w:rPr>
          <w:rFonts w:eastAsia="Times New Roman"/>
          <w:spacing w:val="-4"/>
          <w:szCs w:val="28"/>
          <w:lang w:eastAsia="ru-RU"/>
        </w:rPr>
        <w:lastRenderedPageBreak/>
        <w:t>магистральными улицами: Университетская, Иосифа Каролинского, Ивана Захарова и проспект Пролетарский.</w:t>
      </w:r>
    </w:p>
    <w:p w:rsidR="001723F9" w:rsidRDefault="001723F9" w:rsidP="001723F9">
      <w:pPr>
        <w:tabs>
          <w:tab w:val="left" w:pos="708"/>
        </w:tabs>
        <w:ind w:firstLine="567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Основные параметры внутриквартальных проездов представлены ниже.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Основные параметры проектируемых внутриквартальных проездов</w:t>
      </w:r>
    </w:p>
    <w:p w:rsidR="001723F9" w:rsidRDefault="001723F9" w:rsidP="001723F9">
      <w:pPr>
        <w:tabs>
          <w:tab w:val="left" w:pos="708"/>
        </w:tabs>
        <w:ind w:firstLine="567"/>
        <w:jc w:val="center"/>
        <w:rPr>
          <w:rFonts w:eastAsia="Times New Roman"/>
          <w:szCs w:val="28"/>
          <w:lang w:eastAsia="ru-RU"/>
        </w:rPr>
      </w:pPr>
    </w:p>
    <w:tbl>
      <w:tblPr>
        <w:tblpPr w:leftFromText="180" w:rightFromText="180" w:bottomFromText="160" w:vertAnchor="text" w:horzAnchor="margin" w:tblpY="52"/>
        <w:tblW w:w="5000" w:type="pct"/>
        <w:tblLook w:val="04A0" w:firstRow="1" w:lastRow="0" w:firstColumn="1" w:lastColumn="0" w:noHBand="0" w:noVBand="1"/>
      </w:tblPr>
      <w:tblGrid>
        <w:gridCol w:w="2249"/>
        <w:gridCol w:w="1433"/>
        <w:gridCol w:w="1415"/>
        <w:gridCol w:w="1562"/>
        <w:gridCol w:w="1681"/>
        <w:gridCol w:w="1288"/>
      </w:tblGrid>
      <w:tr w:rsidR="001723F9" w:rsidTr="001723F9">
        <w:trPr>
          <w:trHeight w:val="20"/>
          <w:tblHeader/>
        </w:trPr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bookmarkStart w:id="8" w:name="_Hlk13428189"/>
            <w:r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Ширина проезжей части,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Количество полос движения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Ширина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полосы движения,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Минимальная ширина пешеходной части тротуара,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1723F9" w:rsidTr="001723F9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Внутриквартальный проезд</w:t>
            </w:r>
          </w:p>
        </w:tc>
        <w:tc>
          <w:tcPr>
            <w:tcW w:w="744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873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6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bookmarkEnd w:id="8"/>
    </w:tbl>
    <w:p w:rsidR="001723F9" w:rsidRDefault="001723F9" w:rsidP="001723F9">
      <w:pPr>
        <w:tabs>
          <w:tab w:val="left" w:pos="708"/>
        </w:tabs>
        <w:ind w:firstLine="567"/>
        <w:rPr>
          <w:rFonts w:eastAsia="Times New Roman"/>
          <w:sz w:val="20"/>
          <w:szCs w:val="28"/>
          <w:lang w:eastAsia="ru-RU"/>
        </w:rPr>
      </w:pP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целях повышения безопасности дорожного движения внутри микрорайона предлагается устройство велосипедных дорожек с односторонним движением шириной 1,5 метра. Общая протяженность маршрута движения велосипедистов составляет 5,3 км.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Дорожная одежда на внутриквартальных проездах предусмотрена капитального типа с асфальтобетонным покрытием. Протяженность проездов составляет 1,6 км.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Calibri"/>
          <w:szCs w:val="28"/>
          <w:lang w:val="x-none"/>
        </w:rPr>
      </w:pPr>
      <w:r>
        <w:rPr>
          <w:rFonts w:eastAsia="Calibri"/>
          <w:szCs w:val="28"/>
        </w:rPr>
        <w:t>Для обеспечения населения местами хранения личного автотранспорта</w:t>
      </w:r>
      <w:r>
        <w:rPr>
          <w:rFonts w:eastAsia="Calibri"/>
          <w:szCs w:val="28"/>
        </w:rPr>
        <w:br/>
        <w:t xml:space="preserve">на территории предусмотрено </w:t>
      </w:r>
      <w:bookmarkEnd w:id="7"/>
      <w:r>
        <w:rPr>
          <w:rFonts w:eastAsia="Calibri"/>
          <w:szCs w:val="28"/>
        </w:rPr>
        <w:t>строительство</w:t>
      </w:r>
      <w:r>
        <w:rPr>
          <w:rFonts w:eastAsia="Calibri"/>
          <w:szCs w:val="28"/>
          <w:lang w:val="x-none"/>
        </w:rPr>
        <w:t xml:space="preserve"> наземн</w:t>
      </w:r>
      <w:r>
        <w:rPr>
          <w:rFonts w:eastAsia="Calibri"/>
          <w:szCs w:val="28"/>
        </w:rPr>
        <w:t>ых</w:t>
      </w:r>
      <w:r>
        <w:rPr>
          <w:rFonts w:eastAsia="Calibri"/>
          <w:szCs w:val="28"/>
          <w:lang w:val="x-none"/>
        </w:rPr>
        <w:t xml:space="preserve"> стоян</w:t>
      </w:r>
      <w:r>
        <w:rPr>
          <w:rFonts w:eastAsia="Calibri"/>
          <w:szCs w:val="28"/>
        </w:rPr>
        <w:t>ок</w:t>
      </w:r>
      <w:r>
        <w:rPr>
          <w:rFonts w:eastAsia="Calibri"/>
          <w:szCs w:val="28"/>
          <w:lang w:val="x-none"/>
        </w:rPr>
        <w:t xml:space="preserve"> </w:t>
      </w:r>
      <w:proofErr w:type="spellStart"/>
      <w:r>
        <w:rPr>
          <w:rFonts w:eastAsia="Calibri"/>
          <w:szCs w:val="28"/>
          <w:lang w:val="x-none"/>
        </w:rPr>
        <w:t>индивидуаль</w:t>
      </w:r>
      <w:proofErr w:type="spellEnd"/>
      <w:r>
        <w:rPr>
          <w:rFonts w:eastAsia="Calibri"/>
          <w:szCs w:val="28"/>
        </w:rPr>
        <w:t>-</w:t>
      </w:r>
      <w:proofErr w:type="spellStart"/>
      <w:r>
        <w:rPr>
          <w:rFonts w:eastAsia="Calibri"/>
          <w:szCs w:val="28"/>
          <w:lang w:val="x-none"/>
        </w:rPr>
        <w:t>ного</w:t>
      </w:r>
      <w:proofErr w:type="spellEnd"/>
      <w:r>
        <w:rPr>
          <w:rFonts w:eastAsia="Calibri"/>
          <w:szCs w:val="28"/>
          <w:lang w:val="x-none"/>
        </w:rPr>
        <w:t xml:space="preserve"> транспорта, общей мощностью </w:t>
      </w:r>
      <w:r>
        <w:rPr>
          <w:rFonts w:eastAsia="Calibri"/>
          <w:szCs w:val="28"/>
        </w:rPr>
        <w:t>1 265</w:t>
      </w:r>
      <w:r>
        <w:rPr>
          <w:rFonts w:eastAsia="Calibri"/>
          <w:szCs w:val="28"/>
          <w:lang w:val="x-none"/>
        </w:rPr>
        <w:t xml:space="preserve"> </w:t>
      </w:r>
      <w:proofErr w:type="spellStart"/>
      <w:r>
        <w:rPr>
          <w:rFonts w:eastAsia="Calibri"/>
          <w:szCs w:val="28"/>
          <w:lang w:val="x-none"/>
        </w:rPr>
        <w:t>машино</w:t>
      </w:r>
      <w:proofErr w:type="spellEnd"/>
      <w:r>
        <w:rPr>
          <w:rFonts w:eastAsia="Calibri"/>
          <w:szCs w:val="28"/>
          <w:lang w:val="x-none"/>
        </w:rPr>
        <w:t>-мест.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Инженерная подготовка и вертикальная планировка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pacing w:val="-4"/>
          <w:szCs w:val="28"/>
          <w:lang w:eastAsia="ar-SA"/>
        </w:rPr>
      </w:pPr>
      <w:r>
        <w:rPr>
          <w:rFonts w:eastAsia="Times New Roman"/>
          <w:spacing w:val="-4"/>
          <w:szCs w:val="28"/>
          <w:lang w:eastAsia="ar-SA"/>
        </w:rPr>
        <w:t xml:space="preserve">Для обеспечения защиты территории планировочного района от </w:t>
      </w:r>
      <w:proofErr w:type="spellStart"/>
      <w:proofErr w:type="gramStart"/>
      <w:r>
        <w:rPr>
          <w:rFonts w:eastAsia="Times New Roman"/>
          <w:spacing w:val="-4"/>
          <w:szCs w:val="28"/>
          <w:lang w:eastAsia="ar-SA"/>
        </w:rPr>
        <w:t>подтоп-ления</w:t>
      </w:r>
      <w:proofErr w:type="spellEnd"/>
      <w:proofErr w:type="gramEnd"/>
      <w:r>
        <w:rPr>
          <w:rFonts w:eastAsia="Times New Roman"/>
          <w:spacing w:val="-4"/>
          <w:szCs w:val="28"/>
          <w:lang w:eastAsia="ar-SA"/>
        </w:rPr>
        <w:t>, а также организации поверхностного водоотвода предлагается: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вертикальная планировка территории;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отведение дождевых и талых вод в городскую закрытую систему дождевой канализации.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Характеристика </w:t>
      </w:r>
    </w:p>
    <w:p w:rsidR="001723F9" w:rsidRDefault="001723F9" w:rsidP="001723F9">
      <w:pPr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развития системы инженерного обеспечения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1. Водоснабжение.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По развитию системы водоснабжения территории микрорайона предусмотрено строительство сетей водоснабжения диаметрами 108 – 273 мм общей протяженностью 3,87 км;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Проектируемый водопровод является хозяйственно-питьевым </w:t>
      </w:r>
      <w:proofErr w:type="spellStart"/>
      <w:proofErr w:type="gramStart"/>
      <w:r>
        <w:rPr>
          <w:rFonts w:eastAsia="Times New Roman"/>
          <w:szCs w:val="28"/>
          <w:lang w:eastAsia="ar-SA"/>
        </w:rPr>
        <w:t>противо</w:t>
      </w:r>
      <w:proofErr w:type="spellEnd"/>
      <w:r>
        <w:rPr>
          <w:rFonts w:eastAsia="Times New Roman"/>
          <w:szCs w:val="28"/>
          <w:lang w:eastAsia="ar-SA"/>
        </w:rPr>
        <w:t>-пожарным</w:t>
      </w:r>
      <w:proofErr w:type="gramEnd"/>
      <w:r>
        <w:rPr>
          <w:rFonts w:eastAsia="Times New Roman"/>
          <w:szCs w:val="28"/>
          <w:lang w:eastAsia="ar-SA"/>
        </w:rPr>
        <w:t>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2. Водоотведение.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По реконструкции и развитию системы водоотведения территории микрорайона предусмотрено строительство сетей водоотведения диаметрами 150 – 355 мм общей протяженностью 4,02 км.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lastRenderedPageBreak/>
        <w:t>3. Теплоснабжение.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bCs/>
          <w:szCs w:val="28"/>
          <w:lang w:eastAsia="ar-SA"/>
        </w:rPr>
        <w:t>По развитию системы централизованного теплоснабжения микрорайона предусмотрены мероприятия: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</w:t>
      </w:r>
      <w:r>
        <w:rPr>
          <w:rFonts w:eastAsia="Times New Roman"/>
          <w:bCs/>
          <w:szCs w:val="28"/>
          <w:lang w:eastAsia="ar-SA"/>
        </w:rPr>
        <w:t>строительство контрольного распределительного пункта теплового</w:t>
      </w:r>
      <w:r>
        <w:rPr>
          <w:rFonts w:eastAsia="Times New Roman"/>
          <w:bCs/>
          <w:szCs w:val="28"/>
          <w:lang w:eastAsia="ar-SA"/>
        </w:rPr>
        <w:br/>
        <w:t>(КРП №69) с увеличением мощности до 26,956 Гкал/ч – 1 объект;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</w:t>
      </w:r>
      <w:r>
        <w:rPr>
          <w:rFonts w:eastAsia="Times New Roman"/>
          <w:bCs/>
          <w:szCs w:val="28"/>
          <w:lang w:eastAsia="ar-SA"/>
        </w:rPr>
        <w:t>строительство тепловых сетей в подземном исполнении диаметром 108 – 273 мм, общей протяженностью 2,93 км.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4. Электроснабжение.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По развитию системы электроснабжения микрорайона предусмотрены мероприятия: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строительство трансформаторных подстанций ТП 10 кВ для </w:t>
      </w:r>
      <w:proofErr w:type="gramStart"/>
      <w:r>
        <w:rPr>
          <w:rFonts w:eastAsia="Times New Roman"/>
          <w:szCs w:val="28"/>
          <w:lang w:eastAsia="ar-SA"/>
        </w:rPr>
        <w:t>электро-снабжения</w:t>
      </w:r>
      <w:proofErr w:type="gramEnd"/>
      <w:r>
        <w:rPr>
          <w:rFonts w:eastAsia="Times New Roman"/>
          <w:szCs w:val="28"/>
          <w:lang w:eastAsia="ar-SA"/>
        </w:rPr>
        <w:t xml:space="preserve"> проектных потребителей в количестве 2 шт.;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строительство кабельных линий электропередачи 10 кВ для подключения проектных ТП 10 кВ общей протяженностью 0,6 км;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строительство кабельных линий электропередачи 0,4 </w:t>
      </w:r>
      <w:proofErr w:type="spellStart"/>
      <w:r>
        <w:rPr>
          <w:rFonts w:eastAsia="Times New Roman"/>
          <w:szCs w:val="28"/>
          <w:lang w:eastAsia="ar-SA"/>
        </w:rPr>
        <w:t>кВ</w:t>
      </w:r>
      <w:proofErr w:type="spellEnd"/>
      <w:r>
        <w:rPr>
          <w:rFonts w:eastAsia="Times New Roman"/>
          <w:szCs w:val="28"/>
          <w:lang w:eastAsia="ar-SA"/>
        </w:rPr>
        <w:t xml:space="preserve"> для </w:t>
      </w:r>
      <w:proofErr w:type="spellStart"/>
      <w:proofErr w:type="gramStart"/>
      <w:r>
        <w:rPr>
          <w:rFonts w:eastAsia="Times New Roman"/>
          <w:szCs w:val="28"/>
          <w:lang w:eastAsia="ar-SA"/>
        </w:rPr>
        <w:t>подклю-чения</w:t>
      </w:r>
      <w:proofErr w:type="spellEnd"/>
      <w:proofErr w:type="gramEnd"/>
      <w:r>
        <w:rPr>
          <w:rFonts w:eastAsia="Times New Roman"/>
          <w:szCs w:val="28"/>
          <w:lang w:eastAsia="ar-SA"/>
        </w:rPr>
        <w:t xml:space="preserve"> проектных потребителей общей протяженностью 2,2 км.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5. Связь и информатизация.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Для обеспечения микрорайона услугами телефонной связи, интернета, передачи данных необходимо обеспечить: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установку оптических линейных терминалов (OLT) и развитие пассивных оптических сетей (PON);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установку узлов мультимедийной системы доступа (УМДС) для </w:t>
      </w:r>
      <w:proofErr w:type="gramStart"/>
      <w:r>
        <w:rPr>
          <w:rFonts w:eastAsia="Times New Roman"/>
          <w:szCs w:val="28"/>
          <w:lang w:eastAsia="ar-SA"/>
        </w:rPr>
        <w:t>много-квартирных</w:t>
      </w:r>
      <w:proofErr w:type="gramEnd"/>
      <w:r>
        <w:rPr>
          <w:rFonts w:eastAsia="Times New Roman"/>
          <w:szCs w:val="28"/>
          <w:lang w:eastAsia="ar-SA"/>
        </w:rPr>
        <w:t xml:space="preserve"> жилых и общественных зданий с подключением по волоконно-оптическим линиям связи (ВОЛС) и дальнейшее развитие </w:t>
      </w:r>
      <w:proofErr w:type="spellStart"/>
      <w:r>
        <w:rPr>
          <w:rFonts w:eastAsia="Times New Roman"/>
          <w:szCs w:val="28"/>
          <w:lang w:eastAsia="ar-SA"/>
        </w:rPr>
        <w:t>Metro</w:t>
      </w:r>
      <w:proofErr w:type="spellEnd"/>
      <w:r>
        <w:rPr>
          <w:rFonts w:eastAsia="Times New Roman"/>
          <w:szCs w:val="28"/>
          <w:lang w:eastAsia="ar-SA"/>
        </w:rPr>
        <w:t xml:space="preserve"> </w:t>
      </w:r>
      <w:proofErr w:type="spellStart"/>
      <w:r>
        <w:rPr>
          <w:rFonts w:eastAsia="Times New Roman"/>
          <w:szCs w:val="28"/>
          <w:lang w:eastAsia="ar-SA"/>
        </w:rPr>
        <w:t>Ethernet</w:t>
      </w:r>
      <w:proofErr w:type="spellEnd"/>
      <w:r>
        <w:rPr>
          <w:rFonts w:eastAsia="Times New Roman"/>
          <w:szCs w:val="28"/>
          <w:lang w:eastAsia="ar-SA"/>
        </w:rPr>
        <w:t>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организацию сетей связи на базе беспроводных технологий LTE (4G, </w:t>
      </w:r>
      <w:proofErr w:type="spellStart"/>
      <w:r>
        <w:rPr>
          <w:rFonts w:eastAsia="Times New Roman"/>
          <w:szCs w:val="28"/>
          <w:lang w:eastAsia="ar-SA"/>
        </w:rPr>
        <w:t>WiMax</w:t>
      </w:r>
      <w:proofErr w:type="spellEnd"/>
      <w:r>
        <w:rPr>
          <w:rFonts w:eastAsia="Times New Roman"/>
          <w:szCs w:val="28"/>
          <w:lang w:eastAsia="ar-SA"/>
        </w:rPr>
        <w:t>);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развитие мобильной телефонной сети стандарта GSM.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 w:val="22"/>
          <w:szCs w:val="28"/>
          <w:lang w:eastAsia="ar-SA"/>
        </w:rPr>
      </w:pPr>
    </w:p>
    <w:p w:rsidR="001723F9" w:rsidRDefault="001723F9" w:rsidP="001723F9">
      <w:pPr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Озеленение и благоустройство территории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Система зеленых насаждений внутри микрорайона складывается из: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озелененных территорий ограниченного пользования (</w:t>
      </w:r>
      <w:proofErr w:type="spellStart"/>
      <w:r>
        <w:rPr>
          <w:rFonts w:eastAsia="Times New Roman"/>
          <w:szCs w:val="28"/>
          <w:lang w:eastAsia="ar-SA"/>
        </w:rPr>
        <w:t>внутридворовые</w:t>
      </w:r>
      <w:proofErr w:type="spellEnd"/>
      <w:r>
        <w:rPr>
          <w:rFonts w:eastAsia="Times New Roman"/>
          <w:szCs w:val="28"/>
          <w:lang w:eastAsia="ar-SA"/>
        </w:rPr>
        <w:t xml:space="preserve"> территории);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- озелененных территорий специального назначения (территории вдоль внутриквартальных проездов). 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Общая площадь озелененных территорий внутри микрорайона составляет 17,00 га, что составляет около 11,7 кв. метра на одного человека, при проектной численности микрорайона 14,522 тыс. человек.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Благоустройство и озеленение выполняется после завершения застройки</w:t>
      </w:r>
      <w:r>
        <w:rPr>
          <w:rFonts w:eastAsia="Times New Roman"/>
          <w:szCs w:val="28"/>
          <w:lang w:eastAsia="ar-SA"/>
        </w:rPr>
        <w:br/>
        <w:t>и инженерной подготовки территории.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Общая площадь озеленения придомовых территорий проектируемых домов составляет – 2,4032 га.</w:t>
      </w: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 w:val="22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Мероприятия по санитарной очистке территории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lastRenderedPageBreak/>
        <w:t>Установка мусорных контейнеров предусматривается на хозяйственных площадках (контейнерных и для чистки вещей). Общая площадь проектируемых хозяйственных площадок в границах микрорайона 811,15 кв. м.</w:t>
      </w: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Охрана окружающей среды</w:t>
      </w:r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num" w:pos="851"/>
        </w:tabs>
        <w:suppressAutoHyphens/>
        <w:ind w:firstLine="709"/>
        <w:rPr>
          <w:rFonts w:eastAsia="Times New Roman"/>
          <w:spacing w:val="-2"/>
          <w:szCs w:val="28"/>
          <w:lang w:eastAsia="ar-SA"/>
        </w:rPr>
      </w:pPr>
      <w:r>
        <w:rPr>
          <w:rFonts w:eastAsia="Times New Roman"/>
          <w:spacing w:val="-2"/>
          <w:szCs w:val="28"/>
          <w:lang w:eastAsia="ar-SA"/>
        </w:rPr>
        <w:t>Перечень объектов, оказывающих негативное воздействие на окружающую среду (при их размещении) и мероприятия по уменьшению их негативного воздействия.</w:t>
      </w:r>
    </w:p>
    <w:tbl>
      <w:tblPr>
        <w:tblpPr w:leftFromText="180" w:rightFromText="180" w:bottomFromText="160" w:vertAnchor="text" w:horzAnchor="margin" w:tblpY="46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1983"/>
        <w:gridCol w:w="4388"/>
      </w:tblGrid>
      <w:tr w:rsidR="001723F9" w:rsidTr="001723F9">
        <w:trPr>
          <w:trHeight w:val="689"/>
        </w:trPr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ind w:right="-109" w:hanging="112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Размер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ind w:right="-109" w:hanging="112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ограничений, м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Мероприятие</w:t>
            </w:r>
          </w:p>
        </w:tc>
      </w:tr>
      <w:tr w:rsidR="001723F9" w:rsidTr="001723F9">
        <w:trPr>
          <w:trHeight w:val="20"/>
        </w:trPr>
        <w:tc>
          <w:tcPr>
            <w:tcW w:w="1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Надземные и наземные стоянки индивидуального транспорта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установление СЗЗ от проектируемого объекта – до фасадов жилых домов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и торцов с окнами</w:t>
            </w:r>
          </w:p>
        </w:tc>
      </w:tr>
      <w:tr w:rsidR="001723F9" w:rsidTr="001723F9">
        <w:trPr>
          <w:trHeight w:val="4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- до территории школ, детских учреждений, площадок отдыха, игр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 и спорта, детских</w:t>
            </w:r>
          </w:p>
        </w:tc>
      </w:tr>
      <w:tr w:rsidR="001723F9" w:rsidTr="001723F9">
        <w:trPr>
          <w:trHeight w:val="20"/>
        </w:trPr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Подземные стоянки индивидуального транспорта, расстояние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от въезда выезда </w:t>
            </w:r>
          </w:p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и вентиляционных шахт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установление СЗЗ от проектируемого объекта </w:t>
            </w:r>
          </w:p>
        </w:tc>
      </w:tr>
      <w:tr w:rsidR="001723F9" w:rsidTr="001723F9">
        <w:trPr>
          <w:trHeight w:val="20"/>
        </w:trPr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Трансформаторные подстанции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keepNext/>
              <w:keepLines/>
              <w:tabs>
                <w:tab w:val="left" w:pos="708"/>
              </w:tabs>
              <w:spacing w:line="252" w:lineRule="auto"/>
              <w:jc w:val="left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установление СЗЗ от проектируемого объекта</w:t>
            </w:r>
          </w:p>
        </w:tc>
      </w:tr>
    </w:tbl>
    <w:p w:rsidR="001723F9" w:rsidRDefault="001723F9" w:rsidP="001723F9">
      <w:pPr>
        <w:tabs>
          <w:tab w:val="num" w:pos="851"/>
        </w:tabs>
        <w:suppressAutoHyphens/>
        <w:rPr>
          <w:rFonts w:eastAsia="Times New Roman"/>
          <w:sz w:val="20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ind w:firstLine="567"/>
        <w:rPr>
          <w:rFonts w:eastAsia="Times New Roman"/>
          <w:sz w:val="20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bookmarkStart w:id="9" w:name="_Toc222603510"/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Перечень мероприятий </w:t>
      </w:r>
    </w:p>
    <w:p w:rsidR="001723F9" w:rsidRDefault="001723F9" w:rsidP="001723F9">
      <w:pPr>
        <w:tabs>
          <w:tab w:val="left" w:pos="708"/>
        </w:tabs>
        <w:suppressAutoHyphens/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по обеспечению жизнедеятельности маломобильных групп населения</w:t>
      </w:r>
      <w:bookmarkEnd w:id="9"/>
    </w:p>
    <w:p w:rsidR="001723F9" w:rsidRDefault="001723F9" w:rsidP="001723F9">
      <w:pPr>
        <w:tabs>
          <w:tab w:val="left" w:pos="708"/>
        </w:tabs>
        <w:suppressAutoHyphens/>
        <w:ind w:firstLine="567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К мероприятиям по обеспечению доступа маломобильных групп населения (далее – МГН) относятся: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досягаемость для МГН до мест отдыха и беспрепятственное перемещение по пешеходным дорожкам;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безопасность путей движения МГН;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возможность эвакуации МГН в безопасную зону до возможного нанесения вреда их жизни и здоровью вследствие воздействия опасных факторов;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полноценная и качественная информация, позволяющая МГН ориентироваться в пространстве пешеходной зоны;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удобство и комфорт среды жизнедеятельности.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В целях создания благоприятной, безбарьерной среды для передвижения маломобильных групп населения проектом планировки предусмотрено: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ширина тротуара принята исходя из условия обеспечения движения инвалидов на креслах-колясках и составляет от 2 метров с учетом габаритных размеров кресел-колясок по ГОСТ Р 50602-93;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lastRenderedPageBreak/>
        <w:t>- уклоны пешеходных дорожек и тротуаров не превышают 5% (продольный) и 1,5% (поперечный), что соответствует п. 5.1.7 СП 59.13330.2020;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покрытие пешеходных дорожек принято из тротуарной плитки,</w:t>
      </w:r>
      <w:r>
        <w:rPr>
          <w:rFonts w:eastAsia="Times New Roman"/>
          <w:szCs w:val="28"/>
          <w:lang w:eastAsia="ar-SA"/>
        </w:rPr>
        <w:br/>
        <w:t>с толщиной швов между элементами покрытия не более 0,01 метра, что</w:t>
      </w:r>
      <w:r>
        <w:rPr>
          <w:rFonts w:eastAsia="Times New Roman"/>
          <w:szCs w:val="28"/>
          <w:lang w:eastAsia="ar-SA"/>
        </w:rPr>
        <w:br/>
        <w:t>не препятствует передвижению МГН на креслах-колясках или с костылями</w:t>
      </w:r>
      <w:r>
        <w:rPr>
          <w:rFonts w:eastAsia="Times New Roman"/>
          <w:szCs w:val="28"/>
          <w:lang w:eastAsia="ar-SA"/>
        </w:rPr>
        <w:br/>
        <w:t>в соответствии с п. 5.1.11 СП 59.13330.2020;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 перепад высот между нижней гранью съезда и проезжей частью</w:t>
      </w:r>
      <w:r>
        <w:rPr>
          <w:rFonts w:eastAsia="Times New Roman"/>
          <w:szCs w:val="28"/>
          <w:lang w:eastAsia="ar-SA"/>
        </w:rPr>
        <w:br/>
        <w:t>не превышает 0,015 метра в соответствии с п.5.1.9 СП59.13330.2020;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 - высота бортовых камней по краям пешеходных путей на участке </w:t>
      </w:r>
      <w:r>
        <w:rPr>
          <w:rFonts w:eastAsia="Times New Roman"/>
          <w:szCs w:val="28"/>
          <w:lang w:eastAsia="ar-SA"/>
        </w:rPr>
        <w:br/>
        <w:t xml:space="preserve">вдоль газонов и озелененных площадок принята 0,05 метра в соответствии </w:t>
      </w:r>
      <w:r>
        <w:rPr>
          <w:rFonts w:eastAsia="Times New Roman"/>
          <w:szCs w:val="28"/>
          <w:lang w:eastAsia="ar-SA"/>
        </w:rPr>
        <w:br/>
        <w:t>с пунктом 5.1.9 СП 59.13330.2020;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- перепад высот бортовых камней вдоль эксплуатируемых газонов</w:t>
      </w:r>
      <w:r>
        <w:rPr>
          <w:rFonts w:eastAsia="Times New Roman"/>
          <w:szCs w:val="28"/>
          <w:lang w:eastAsia="ar-SA"/>
        </w:rPr>
        <w:br/>
        <w:t>и озелененных площадок, примыкающих к путям пешеходного движения,</w:t>
      </w:r>
      <w:r>
        <w:rPr>
          <w:rFonts w:eastAsia="Times New Roman"/>
          <w:szCs w:val="28"/>
          <w:lang w:eastAsia="ar-SA"/>
        </w:rPr>
        <w:br/>
        <w:t>не превышает 0,025 метра в соответствии с пунктом 5.1.9 СП 59.13330.2020.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Мероприятия по обеспечению доступа маломобильных групп населения</w:t>
      </w:r>
      <w:r>
        <w:rPr>
          <w:rFonts w:eastAsia="Times New Roman"/>
          <w:szCs w:val="28"/>
          <w:lang w:eastAsia="ar-SA"/>
        </w:rPr>
        <w:br/>
        <w:t>в здания и сооружения должны быть предусмотрены согласно СП 59.13330.2020 в рамках разработки рабочей документации по каждому объекту.</w:t>
      </w:r>
    </w:p>
    <w:p w:rsidR="001723F9" w:rsidRDefault="001723F9" w:rsidP="001723F9">
      <w:pPr>
        <w:tabs>
          <w:tab w:val="left" w:pos="708"/>
        </w:tabs>
        <w:suppressAutoHyphens/>
        <w:ind w:firstLine="709"/>
        <w:rPr>
          <w:rFonts w:eastAsia="Times New Roman"/>
          <w:sz w:val="22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Положение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>об очередности планируемого развития территории</w:t>
      </w:r>
    </w:p>
    <w:p w:rsidR="001723F9" w:rsidRDefault="001723F9" w:rsidP="001723F9">
      <w:pPr>
        <w:tabs>
          <w:tab w:val="left" w:pos="708"/>
        </w:tabs>
        <w:ind w:firstLine="709"/>
        <w:jc w:val="center"/>
        <w:rPr>
          <w:rFonts w:eastAsia="Times New Roman"/>
          <w:szCs w:val="28"/>
          <w:lang w:eastAsia="ar-SA"/>
        </w:rPr>
      </w:pPr>
    </w:p>
    <w:p w:rsidR="001723F9" w:rsidRDefault="001723F9" w:rsidP="001723F9">
      <w:pPr>
        <w:tabs>
          <w:tab w:val="left" w:pos="708"/>
        </w:tabs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Реализация концепции застройки микрорайона № 30 города Сургута выполняется в соответствии с производственной программой общества </w:t>
      </w:r>
      <w:r>
        <w:rPr>
          <w:rFonts w:eastAsia="Times New Roman"/>
          <w:szCs w:val="28"/>
          <w:lang w:eastAsia="ru-RU"/>
        </w:rPr>
        <w:br/>
        <w:t xml:space="preserve">с ограниченной ответственностью «Ханты-Мансийск </w:t>
      </w:r>
      <w:proofErr w:type="spellStart"/>
      <w:r>
        <w:rPr>
          <w:rFonts w:eastAsia="Times New Roman"/>
          <w:szCs w:val="28"/>
          <w:lang w:eastAsia="ru-RU"/>
        </w:rPr>
        <w:t>Стройресурс</w:t>
      </w:r>
      <w:proofErr w:type="spellEnd"/>
      <w:r>
        <w:rPr>
          <w:rFonts w:eastAsia="Times New Roman"/>
          <w:szCs w:val="28"/>
          <w:lang w:eastAsia="ru-RU"/>
        </w:rPr>
        <w:t>», которой утверждены этапы и сроки реализации застройки микрорайона – ввод проектируемых объектов в эксплуатацию планируется до 2030 года.</w:t>
      </w:r>
    </w:p>
    <w:p w:rsidR="001723F9" w:rsidRDefault="001723F9" w:rsidP="001723F9">
      <w:pPr>
        <w:tabs>
          <w:tab w:val="left" w:pos="708"/>
        </w:tabs>
        <w:ind w:firstLine="567"/>
        <w:rPr>
          <w:rFonts w:eastAsia="Times New Roman"/>
          <w:sz w:val="22"/>
          <w:szCs w:val="28"/>
          <w:lang w:eastAsia="ru-RU"/>
        </w:rPr>
      </w:pP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Этапы </w:t>
      </w:r>
    </w:p>
    <w:p w:rsidR="001723F9" w:rsidRDefault="001723F9" w:rsidP="001723F9">
      <w:pPr>
        <w:tabs>
          <w:tab w:val="left" w:pos="708"/>
        </w:tabs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реализации строительства</w:t>
      </w:r>
    </w:p>
    <w:p w:rsidR="001723F9" w:rsidRDefault="001723F9" w:rsidP="001723F9">
      <w:pPr>
        <w:tabs>
          <w:tab w:val="left" w:pos="708"/>
        </w:tabs>
        <w:ind w:firstLine="567"/>
        <w:jc w:val="center"/>
        <w:rPr>
          <w:rFonts w:eastAsia="Times New Roman"/>
          <w:sz w:val="24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622"/>
        <w:gridCol w:w="2018"/>
      </w:tblGrid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Объект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Год реализации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 этап строительства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Жилые дома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№ 9/2, 25/1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2026 – 2029</w:t>
            </w:r>
          </w:p>
        </w:tc>
      </w:tr>
      <w:tr w:rsidR="001723F9" w:rsidTr="001723F9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Дошкольные образовательные учреждения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Детский сад 35 на 300 мест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2026 – 2029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Детский сад 34 на 300 мест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2026 – 2029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Общеобразовательные учреждения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Школа 38 на 1 500 мест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2026 – 2029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2 этап 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строительства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Жилые дома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№ 25/2, 28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2027 – 2030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Общеобразовательные учреждения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Школа 39 на 1 500 мест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2027 – 2030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Дошкольные образовательные учреждения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Детский сад 36 на 300 мест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2027 – 2030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3 этап строительства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Жилые дома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№ 14/1, 14/2, 27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2028 – 2030</w:t>
            </w:r>
          </w:p>
        </w:tc>
      </w:tr>
      <w:tr w:rsidR="001723F9" w:rsidTr="001723F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Объекты инженерной инфраструктуры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Трансформаторная подстанция ТП № 52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2028</w:t>
            </w:r>
          </w:p>
        </w:tc>
      </w:tr>
      <w:tr w:rsidR="001723F9" w:rsidTr="001723F9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Распределительная подстанция РП № 54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2028</w:t>
            </w:r>
          </w:p>
        </w:tc>
      </w:tr>
    </w:tbl>
    <w:p w:rsidR="001723F9" w:rsidRDefault="001723F9" w:rsidP="001723F9">
      <w:pPr>
        <w:tabs>
          <w:tab w:val="left" w:pos="708"/>
        </w:tabs>
        <w:ind w:firstLine="567"/>
        <w:rPr>
          <w:rFonts w:eastAsia="Times New Roman"/>
          <w:szCs w:val="28"/>
          <w:lang w:eastAsia="ru-RU"/>
        </w:rPr>
      </w:pPr>
    </w:p>
    <w:p w:rsidR="001723F9" w:rsidRDefault="001723F9" w:rsidP="001723F9">
      <w:pPr>
        <w:suppressAutoHyphens/>
        <w:ind w:firstLine="709"/>
        <w:rPr>
          <w:rFonts w:eastAsia="Times New Roman"/>
          <w:szCs w:val="28"/>
          <w:lang w:eastAsia="ar-SA"/>
        </w:rPr>
      </w:pPr>
      <w:r>
        <w:rPr>
          <w:rFonts w:eastAsia="Times New Roman"/>
          <w:szCs w:val="28"/>
          <w:lang w:eastAsia="ar-SA"/>
        </w:rPr>
        <w:t xml:space="preserve">В отношении территории индивидуальным предпринимателем </w:t>
      </w:r>
      <w:proofErr w:type="spellStart"/>
      <w:proofErr w:type="gramStart"/>
      <w:r>
        <w:rPr>
          <w:rFonts w:eastAsia="Times New Roman"/>
          <w:szCs w:val="28"/>
          <w:lang w:eastAsia="ar-SA"/>
        </w:rPr>
        <w:t>Лавренть-евым</w:t>
      </w:r>
      <w:proofErr w:type="spellEnd"/>
      <w:proofErr w:type="gramEnd"/>
      <w:r>
        <w:rPr>
          <w:rFonts w:eastAsia="Times New Roman"/>
          <w:szCs w:val="28"/>
          <w:lang w:eastAsia="ar-SA"/>
        </w:rPr>
        <w:t xml:space="preserve"> выполнены инженерно-геодезические изыскания. Полевые работы выполнялись в феврале – марте 2019 года.</w:t>
      </w:r>
    </w:p>
    <w:p w:rsidR="001723F9" w:rsidRDefault="001723F9" w:rsidP="001723F9">
      <w:pPr>
        <w:widowControl w:val="0"/>
        <w:tabs>
          <w:tab w:val="left" w:pos="708"/>
        </w:tabs>
        <w:rPr>
          <w:rFonts w:eastAsia="Times New Roman"/>
          <w:snapToGrid w:val="0"/>
          <w:szCs w:val="28"/>
          <w:lang w:eastAsia="x-none"/>
        </w:rPr>
      </w:pPr>
    </w:p>
    <w:p w:rsidR="001723F9" w:rsidRDefault="001723F9" w:rsidP="001723F9">
      <w:pPr>
        <w:widowControl w:val="0"/>
        <w:tabs>
          <w:tab w:val="left" w:pos="708"/>
        </w:tabs>
        <w:ind w:firstLine="567"/>
        <w:jc w:val="center"/>
        <w:rPr>
          <w:rFonts w:eastAsia="Times New Roman"/>
          <w:snapToGrid w:val="0"/>
          <w:szCs w:val="28"/>
          <w:lang w:eastAsia="x-none"/>
        </w:rPr>
      </w:pPr>
      <w:r>
        <w:rPr>
          <w:rFonts w:eastAsia="Times New Roman"/>
          <w:snapToGrid w:val="0"/>
          <w:szCs w:val="28"/>
          <w:lang w:eastAsia="x-none"/>
        </w:rPr>
        <w:t>Технико-экономические показатели территории</w:t>
      </w:r>
    </w:p>
    <w:p w:rsidR="001723F9" w:rsidRDefault="001723F9" w:rsidP="001723F9">
      <w:pPr>
        <w:widowControl w:val="0"/>
        <w:tabs>
          <w:tab w:val="left" w:pos="708"/>
        </w:tabs>
        <w:ind w:firstLine="567"/>
        <w:jc w:val="center"/>
        <w:rPr>
          <w:rFonts w:eastAsia="Times New Roman"/>
          <w:snapToGrid w:val="0"/>
          <w:szCs w:val="28"/>
          <w:lang w:eastAsia="x-non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8"/>
        <w:gridCol w:w="1714"/>
        <w:gridCol w:w="2512"/>
      </w:tblGrid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Единица измерения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Количество</w:t>
            </w:r>
          </w:p>
        </w:tc>
      </w:tr>
      <w:tr w:rsidR="001723F9" w:rsidTr="001723F9">
        <w:trPr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 Территория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Площадь проектируемой территории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52,6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Зоны планируемого размещения объектов капитального строительства, в том числе: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52,6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 Многоэтажная жилая застройка, в том числе: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41,41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2.1.1. Площадь застройки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кв. 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54 182,07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2.1.2. Общая площадь жилая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кв. 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056190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 w:rsidRPr="00056190">
              <w:rPr>
                <w:rFonts w:eastAsia="Calibri"/>
                <w:sz w:val="24"/>
                <w:szCs w:val="24"/>
              </w:rPr>
              <w:t>40</w:t>
            </w:r>
            <w:r w:rsidR="001723F9" w:rsidRPr="00056190">
              <w:rPr>
                <w:rFonts w:eastAsia="Calibri"/>
                <w:sz w:val="24"/>
                <w:szCs w:val="24"/>
              </w:rPr>
              <w:t>8</w:t>
            </w:r>
            <w:r w:rsidRPr="00056190">
              <w:rPr>
                <w:rFonts w:eastAsia="Calibri"/>
                <w:sz w:val="24"/>
                <w:szCs w:val="24"/>
              </w:rPr>
              <w:t xml:space="preserve"> </w:t>
            </w:r>
            <w:r w:rsidR="001723F9" w:rsidRPr="00056190">
              <w:rPr>
                <w:rFonts w:eastAsia="Calibri"/>
                <w:sz w:val="24"/>
                <w:szCs w:val="24"/>
              </w:rPr>
              <w:t>927,32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2.1.3. Плотность населения жилых зон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чел./га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277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2.1.4. Численность жильцов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14 522</w:t>
            </w:r>
          </w:p>
        </w:tc>
      </w:tr>
      <w:tr w:rsidR="001723F9" w:rsidTr="0092750A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2.2. Дошкольное, начальное и среднее общее образование, в том числе: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92750A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6,94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2.2.1. Детский сад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2.2.2. Общеобразовательная школа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 Административно-деловое назначение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0,38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2.4. Озелененные территории общего пользования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3,12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2.5. Хранение автомобильного транспорта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0,71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 Проезды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1,4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 Велосипедные дорожки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2,1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 Благоустройство и озеленение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ind w:hanging="10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9,88</w:t>
            </w:r>
          </w:p>
        </w:tc>
      </w:tr>
      <w:tr w:rsidR="001723F9" w:rsidTr="001723F9"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bookmarkStart w:id="10" w:name="_Hlk28178678"/>
            <w:r>
              <w:rPr>
                <w:rFonts w:eastAsia="Calibri"/>
                <w:sz w:val="24"/>
                <w:szCs w:val="24"/>
              </w:rPr>
              <w:t>6. Инженерные сети и оборудование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6.1. Сети водоснабжения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5,80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6.2. Сети водоотведения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6,63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6.3. Сети электроснабжения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4,50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6.4. Сети теплоснабжения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км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5,72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6.5. Трансформаторные подстанции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6.6. Распределительная подстанция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3F9" w:rsidTr="001723F9"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6.7. Контрольно-распределительные пункты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шт.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tabs>
                <w:tab w:val="left" w:pos="708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bookmarkEnd w:id="10"/>
    </w:tbl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br w:type="page"/>
      </w:r>
    </w:p>
    <w:p w:rsidR="001723F9" w:rsidRDefault="001723F9" w:rsidP="001723F9">
      <w:pPr>
        <w:jc w:val="left"/>
        <w:rPr>
          <w:rFonts w:eastAsia="Calibri"/>
        </w:rPr>
        <w:sectPr w:rsidR="001723F9">
          <w:pgSz w:w="11906" w:h="16838"/>
          <w:pgMar w:top="1134" w:right="567" w:bottom="1134" w:left="1701" w:header="709" w:footer="709" w:gutter="0"/>
          <w:cols w:space="720"/>
        </w:sectPr>
      </w:pPr>
    </w:p>
    <w:tbl>
      <w:tblPr>
        <w:tblStyle w:val="4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7"/>
        <w:gridCol w:w="3933"/>
      </w:tblGrid>
      <w:tr w:rsidR="001723F9" w:rsidTr="001723F9">
        <w:tc>
          <w:tcPr>
            <w:tcW w:w="10627" w:type="dxa"/>
          </w:tcPr>
          <w:p w:rsidR="001723F9" w:rsidRDefault="001723F9" w:rsidP="001723F9">
            <w:pPr>
              <w:jc w:val="right"/>
              <w:rPr>
                <w:bCs/>
                <w:szCs w:val="28"/>
              </w:rPr>
            </w:pPr>
          </w:p>
        </w:tc>
        <w:tc>
          <w:tcPr>
            <w:tcW w:w="3933" w:type="dxa"/>
          </w:tcPr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Приложение 2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 постановлению 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Администрации города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от _____________ № _______</w:t>
            </w:r>
          </w:p>
          <w:p w:rsidR="001723F9" w:rsidRDefault="001723F9" w:rsidP="001723F9">
            <w:pPr>
              <w:rPr>
                <w:bCs/>
                <w:szCs w:val="28"/>
              </w:rPr>
            </w:pPr>
          </w:p>
        </w:tc>
      </w:tr>
    </w:tbl>
    <w:p w:rsidR="001723F9" w:rsidRDefault="001723F9" w:rsidP="001723F9">
      <w:pPr>
        <w:jc w:val="right"/>
        <w:rPr>
          <w:rFonts w:eastAsia="Calibri"/>
          <w:bCs/>
          <w:szCs w:val="28"/>
        </w:rPr>
      </w:pPr>
    </w:p>
    <w:p w:rsidR="001723F9" w:rsidRDefault="001723F9" w:rsidP="001723F9">
      <w:pPr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Внесение изменений</w:t>
      </w:r>
    </w:p>
    <w:p w:rsidR="001723F9" w:rsidRDefault="001723F9" w:rsidP="001723F9">
      <w:pPr>
        <w:ind w:firstLine="709"/>
        <w:jc w:val="center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в проект межевания территории микрорайона № 30 города Сургута. Чертеж межевания территории</w:t>
      </w:r>
    </w:p>
    <w:p w:rsidR="001723F9" w:rsidRDefault="001723F9" w:rsidP="001723F9">
      <w:pPr>
        <w:ind w:firstLine="709"/>
        <w:jc w:val="center"/>
        <w:rPr>
          <w:rFonts w:eastAsia="Calibri"/>
          <w:bCs/>
          <w:szCs w:val="28"/>
        </w:rPr>
      </w:pPr>
    </w:p>
    <w:tbl>
      <w:tblPr>
        <w:tblStyle w:val="41"/>
        <w:tblW w:w="4915" w:type="pct"/>
        <w:tblInd w:w="0" w:type="dxa"/>
        <w:tblLook w:val="04A0" w:firstRow="1" w:lastRow="0" w:firstColumn="1" w:lastColumn="0" w:noHBand="0" w:noVBand="1"/>
      </w:tblPr>
      <w:tblGrid>
        <w:gridCol w:w="14314"/>
      </w:tblGrid>
      <w:tr w:rsidR="001723F9" w:rsidTr="001723F9">
        <w:trPr>
          <w:trHeight w:val="758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43850" cy="11239500"/>
                  <wp:effectExtent l="0" t="0" r="0" b="0"/>
                  <wp:docPr id="5" name="Рисунок 5" descr="Чертеж межевания терри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Чертеж межевания терри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0" cy="1123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11294745</wp:posOffset>
                      </wp:positionH>
                      <wp:positionV relativeFrom="paragraph">
                        <wp:posOffset>6806565</wp:posOffset>
                      </wp:positionV>
                      <wp:extent cx="269875" cy="107950"/>
                      <wp:effectExtent l="0" t="0" r="15875" b="2540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FDBA" id="Прямоугольник 12" o:spid="_x0000_s1026" style="position:absolute;margin-left:889.35pt;margin-top:535.95pt;width:21.2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" strokecolor="white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10916285</wp:posOffset>
                      </wp:positionH>
                      <wp:positionV relativeFrom="paragraph">
                        <wp:posOffset>68580</wp:posOffset>
                      </wp:positionV>
                      <wp:extent cx="815340" cy="135890"/>
                      <wp:effectExtent l="0" t="0" r="22860" b="1651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135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2A2D8" id="Прямоугольник 9" o:spid="_x0000_s1026" style="position:absolute;margin-left:859.55pt;margin-top:5.4pt;width:64.2pt;height: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" strokecolor="white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10622915</wp:posOffset>
                      </wp:positionH>
                      <wp:positionV relativeFrom="paragraph">
                        <wp:posOffset>6953250</wp:posOffset>
                      </wp:positionV>
                      <wp:extent cx="941705" cy="175895"/>
                      <wp:effectExtent l="0" t="0" r="10795" b="1460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705" cy="175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2972B" id="Прямоугольник 8" o:spid="_x0000_s1026" style="position:absolute;margin-left:836.45pt;margin-top:547.5pt;width:74.15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" strokecolor="white"/>
                  </w:pict>
                </mc:Fallback>
              </mc:AlternateContent>
            </w:r>
          </w:p>
        </w:tc>
      </w:tr>
    </w:tbl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br w:type="page"/>
      </w:r>
    </w:p>
    <w:p w:rsidR="001723F9" w:rsidRDefault="001723F9" w:rsidP="001723F9">
      <w:pPr>
        <w:jc w:val="left"/>
        <w:rPr>
          <w:rFonts w:eastAsia="Calibri"/>
        </w:rPr>
        <w:sectPr w:rsidR="001723F9">
          <w:pgSz w:w="16840" w:h="23808"/>
          <w:pgMar w:top="1134" w:right="567" w:bottom="1134" w:left="1701" w:header="709" w:footer="709" w:gutter="0"/>
          <w:cols w:space="720"/>
        </w:sectPr>
      </w:pP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 xml:space="preserve">Перечень и сведения  </w:t>
      </w:r>
    </w:p>
    <w:p w:rsidR="001723F9" w:rsidRDefault="001723F9" w:rsidP="001723F9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 площади образуемых земельных участков, в том числе возможные способы их образования</w:t>
      </w:r>
    </w:p>
    <w:p w:rsidR="001723F9" w:rsidRDefault="001723F9" w:rsidP="001723F9">
      <w:pPr>
        <w:rPr>
          <w:rFonts w:eastAsia="Calibri"/>
          <w:sz w:val="22"/>
        </w:rPr>
      </w:pPr>
    </w:p>
    <w:tbl>
      <w:tblPr>
        <w:tblW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5"/>
        <w:gridCol w:w="1503"/>
        <w:gridCol w:w="1134"/>
        <w:gridCol w:w="992"/>
        <w:gridCol w:w="1134"/>
        <w:gridCol w:w="4253"/>
        <w:gridCol w:w="2126"/>
        <w:gridCol w:w="1701"/>
        <w:gridCol w:w="2977"/>
        <w:gridCol w:w="3685"/>
        <w:gridCol w:w="1330"/>
      </w:tblGrid>
      <w:tr w:rsidR="001723F9" w:rsidTr="001723F9">
        <w:trPr>
          <w:trHeight w:val="255"/>
        </w:trPr>
        <w:tc>
          <w:tcPr>
            <w:tcW w:w="21430" w:type="dxa"/>
            <w:gridSpan w:val="11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Образуемые земельные участки </w:t>
            </w:r>
          </w:p>
        </w:tc>
      </w:tr>
      <w:tr w:rsidR="001723F9" w:rsidTr="001723F9">
        <w:trPr>
          <w:trHeight w:val="309"/>
        </w:trPr>
        <w:tc>
          <w:tcPr>
            <w:tcW w:w="595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15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площадь,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>
              <w:rPr>
                <w:rFonts w:eastAsia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адрес участка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кадастровый номер исходного земельного участка                    (при наличии)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фактическое использование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вид разрешенного использования по проекту межевания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возможные способы образования</w:t>
            </w:r>
          </w:p>
        </w:tc>
        <w:tc>
          <w:tcPr>
            <w:tcW w:w="13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примечание</w:t>
            </w:r>
          </w:p>
        </w:tc>
      </w:tr>
      <w:tr w:rsidR="001723F9" w:rsidTr="001723F9">
        <w:trPr>
          <w:trHeight w:val="1186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существу-</w:t>
            </w:r>
            <w:proofErr w:type="spellStart"/>
            <w:r>
              <w:rPr>
                <w:rFonts w:eastAsia="Calibri"/>
                <w:sz w:val="20"/>
                <w:szCs w:val="20"/>
              </w:rPr>
              <w:t>ющая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3F9" w:rsidRDefault="001723F9" w:rsidP="001723F9">
            <w:pPr>
              <w:spacing w:line="252" w:lineRule="auto"/>
              <w:ind w:left="-97" w:right="-116"/>
              <w:jc w:val="center"/>
              <w:rPr>
                <w:rFonts w:eastAsia="Calibri"/>
                <w:spacing w:val="-6"/>
                <w:sz w:val="20"/>
                <w:szCs w:val="20"/>
              </w:rPr>
            </w:pPr>
            <w:r>
              <w:rPr>
                <w:rFonts w:eastAsia="Calibri"/>
                <w:spacing w:val="-6"/>
                <w:sz w:val="20"/>
                <w:szCs w:val="20"/>
              </w:rPr>
              <w:t xml:space="preserve"> расчетная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ind w:left="-109" w:right="-105"/>
              <w:jc w:val="center"/>
              <w:rPr>
                <w:rFonts w:eastAsia="Calibri"/>
                <w:spacing w:val="-4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проектная</w:t>
            </w:r>
          </w:p>
        </w:tc>
        <w:tc>
          <w:tcPr>
            <w:tcW w:w="455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1723F9" w:rsidTr="001723F9">
        <w:trPr>
          <w:trHeight w:val="1732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268,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8 957,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14 813,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8 514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13 047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86:10:0101000:7370,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86:10:0101062:2261,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86:10:0000000:22620,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86:10:0000000:24861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86:10:0101000:7370,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86:10:0101062:2261,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86:10:0000000:22620,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86:10:0000000:24861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1732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268,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8 957,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14 813,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8 514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10 660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86:10:0101000:7370,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86:10:0101062:2261,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86:10:0000000:22620,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86:10:0000000:24861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86:10:0101000:7370,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86:10:0101062:2261,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86:10:0000000:22620,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86:10:0000000:24861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9 848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3 920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ЗУ7*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28 110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дошкольное, начальное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 среднее общее образование (код 3.5.1)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ЗУ8*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9 377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дошкольное, начальное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 среднее общее образование (код 3.5.1)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11 175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262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предоставление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коммунальных услуг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(код 3.1.1)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ЗУ14**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580,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1 290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86:10:0101062:12, 86:10:0101062:13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амбулаторное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ветеринарное обслуживание (код 3.10.1)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путем перераспределения земельных участков с кадастровыми номерами 86:10:0101062:12, 86:10:0101062:13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и земель, государственная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или муниципальная собственность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которые не разграничена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86:10:0101246: ЗУ16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14 128,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2 992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17 121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округ – Югра, город Сургут, ул. Ивана Захарова, </w:t>
            </w:r>
          </w:p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15/1 и 15/2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86:10:0101000:7381 86:10:0101246:3208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путем перераспределения земельных участков с кадастровыми номерами 86:10:0101000:7381, 86:10:0101246:3208 и земель, государственная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или муниципальная собственность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которые не разграничена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70"/>
        </w:trPr>
        <w:tc>
          <w:tcPr>
            <w:tcW w:w="5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86:10:0101246: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ЗУ18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268,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 8 957,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14 813,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8 514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7 790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86:10:0101000:7370, 86:10:0101062:2261, 86:10:0000000:22620, 86:10:0000000:24861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многоэтажная жилая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застройка (высотная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застройка) (код 2.6)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путем перераспределения земельных участков 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86:10:0101000:7370, 86:10:0101062:2261, 86:10:0000000:22620, 86:10:0000000:24861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</w:tbl>
    <w:p w:rsidR="001723F9" w:rsidRDefault="001723F9" w:rsidP="001723F9">
      <w:pPr>
        <w:rPr>
          <w:rFonts w:eastAsia="Calibri"/>
          <w:szCs w:val="28"/>
        </w:rPr>
      </w:pPr>
    </w:p>
    <w:p w:rsidR="001723F9" w:rsidRDefault="001723F9" w:rsidP="001723F9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Примечания:</w:t>
      </w:r>
    </w:p>
    <w:p w:rsidR="001723F9" w:rsidRDefault="001723F9" w:rsidP="001723F9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* – до процедуры образования земельного участка необходимо провести мероприятия по внесению изменений в Единый документ территориального планирования</w:t>
      </w:r>
      <w:r>
        <w:rPr>
          <w:rFonts w:eastAsia="Calibri"/>
          <w:szCs w:val="28"/>
        </w:rPr>
        <w:br/>
        <w:t>и градостроительного зонирования муниципального образования городской округ Сургут Ханты-Мансийского автономного округа – Югры;</w:t>
      </w:r>
    </w:p>
    <w:p w:rsidR="001723F9" w:rsidRDefault="001723F9" w:rsidP="001723F9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** – перед образованием земельного участка требуется получение разрешения на условно разрешенный вид использования земельного участка.</w:t>
      </w:r>
    </w:p>
    <w:p w:rsidR="001723F9" w:rsidRDefault="001723F9" w:rsidP="001723F9">
      <w:pPr>
        <w:rPr>
          <w:rFonts w:eastAsia="Calibri"/>
          <w:szCs w:val="28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  <w:r>
        <w:rPr>
          <w:rFonts w:eastAsia="Calibri"/>
        </w:rPr>
        <w:t xml:space="preserve">Перечень и сведения </w:t>
      </w: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  <w:r>
        <w:rPr>
          <w:rFonts w:eastAsia="Calibri"/>
        </w:rPr>
        <w:t xml:space="preserve">о площади образуемых земельных участков, которые будут отнесены к территориям общего пользования или имуществу общего пользования, в том числе </w:t>
      </w:r>
    </w:p>
    <w:p w:rsidR="001723F9" w:rsidRDefault="001723F9" w:rsidP="001723F9">
      <w:pPr>
        <w:tabs>
          <w:tab w:val="left" w:pos="567"/>
        </w:tabs>
        <w:jc w:val="center"/>
        <w:rPr>
          <w:rFonts w:eastAsia="Calibri"/>
        </w:rPr>
      </w:pPr>
      <w:r>
        <w:rPr>
          <w:rFonts w:eastAsia="Calibri"/>
        </w:rPr>
        <w:t>в отношении которых предполагаются резервирование и (или) изъятие для государственных или муниципальных нужд</w:t>
      </w:r>
    </w:p>
    <w:p w:rsidR="001723F9" w:rsidRDefault="001723F9" w:rsidP="001723F9">
      <w:pPr>
        <w:ind w:firstLine="709"/>
        <w:rPr>
          <w:rFonts w:eastAsia="Arial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03"/>
        <w:gridCol w:w="1985"/>
        <w:gridCol w:w="1275"/>
        <w:gridCol w:w="1137"/>
        <w:gridCol w:w="1132"/>
        <w:gridCol w:w="2269"/>
        <w:gridCol w:w="2411"/>
        <w:gridCol w:w="2265"/>
        <w:gridCol w:w="2269"/>
        <w:gridCol w:w="4254"/>
        <w:gridCol w:w="1830"/>
      </w:tblGrid>
      <w:tr w:rsidR="001723F9" w:rsidTr="001723F9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Образуемые земельные участки </w:t>
            </w:r>
          </w:p>
        </w:tc>
      </w:tr>
      <w:tr w:rsidR="001723F9" w:rsidTr="001723F9">
        <w:trPr>
          <w:trHeight w:val="309"/>
        </w:trPr>
        <w:tc>
          <w:tcPr>
            <w:tcW w:w="16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8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площадь, м</w:t>
            </w:r>
            <w:r>
              <w:rPr>
                <w:rFonts w:eastAsia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адрес участка</w:t>
            </w:r>
          </w:p>
        </w:tc>
        <w:tc>
          <w:tcPr>
            <w:tcW w:w="5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кадастровый номер исходного земельного участка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(при наличии)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фактическое использование</w:t>
            </w:r>
          </w:p>
        </w:tc>
        <w:tc>
          <w:tcPr>
            <w:tcW w:w="5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вид разрешенного использования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 проекту межевания</w:t>
            </w:r>
          </w:p>
        </w:tc>
        <w:tc>
          <w:tcPr>
            <w:tcW w:w="9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возможные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способы образования</w:t>
            </w:r>
          </w:p>
        </w:tc>
        <w:tc>
          <w:tcPr>
            <w:tcW w:w="42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примечание</w:t>
            </w:r>
          </w:p>
        </w:tc>
      </w:tr>
      <w:tr w:rsidR="001723F9" w:rsidTr="001723F9">
        <w:trPr>
          <w:trHeight w:val="1186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существу-</w:t>
            </w:r>
            <w:proofErr w:type="spellStart"/>
            <w:r>
              <w:rPr>
                <w:rFonts w:eastAsia="Calibri"/>
                <w:sz w:val="20"/>
                <w:szCs w:val="20"/>
              </w:rPr>
              <w:t>ющая</w:t>
            </w:r>
            <w:proofErr w:type="spellEnd"/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3F9" w:rsidRDefault="001723F9" w:rsidP="001723F9">
            <w:pPr>
              <w:spacing w:line="252" w:lineRule="auto"/>
              <w:ind w:left="-97" w:right="-116"/>
              <w:jc w:val="center"/>
              <w:rPr>
                <w:rFonts w:eastAsia="Calibri"/>
                <w:spacing w:val="-6"/>
                <w:sz w:val="20"/>
                <w:szCs w:val="20"/>
              </w:rPr>
            </w:pPr>
            <w:r>
              <w:rPr>
                <w:rFonts w:eastAsia="Calibri"/>
                <w:spacing w:val="-6"/>
                <w:sz w:val="20"/>
                <w:szCs w:val="20"/>
              </w:rPr>
              <w:t>расчетная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ind w:left="-109" w:right="-105"/>
              <w:jc w:val="center"/>
              <w:rPr>
                <w:rFonts w:eastAsia="Calibri"/>
                <w:spacing w:val="-4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проектная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1723F9" w:rsidTr="001723F9">
        <w:trPr>
          <w:trHeight w:val="2461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86:10:0101062:ЗУ3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215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из земель, государственная или муниципальная собственность на которые не разграничена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2485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86:10:0101062:ЗУ4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12 992,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11 543,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6 529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31 065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86:10:0101000:7397,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86:10:0101000:7398,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86:10:0101062:2268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образование земельного участка путем объединения земельных участков 86:10:0101000:7397, 86:10:0101000:7398, 86:10:0101062:2268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820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86:10:0101062:ЗУ11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4 775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путем перераспределения земельных участков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820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ЗУ12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372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путем перераспределения земельных участков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86:10:0101062:2265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820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 ЗУ13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10 622,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182,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15 712,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177,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8 840,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7 936,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21 983,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962,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1 950,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10 810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11 338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путем перераспределения земельных участков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86:10:0101000:7401, 86:10:0101000:7402, 86:10:0101000:7403, 86:10:0101000:7404, 86:10:0101000:7405, 86:10:0101000:7406, 86:10:0101000:7407, 86:10:0101000:7408, 86:10:0101062:2099, 86:10:0101062:2265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  <w:tr w:rsidR="001723F9" w:rsidTr="001723F9">
        <w:trPr>
          <w:trHeight w:val="820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86:10:0101062: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ЗУ17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268,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 8 957,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14 813, </w:t>
            </w:r>
          </w:p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8 514</w:t>
            </w:r>
          </w:p>
        </w:tc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1 053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Югра, город Сургут, микрорайон 30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86:10:0101000:7370, 86:10:0101062:2261, 86:10:0000000:22620, 86:10:0000000:24861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земельные участки (территории)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общего пользования (код 12.0)</w:t>
            </w:r>
          </w:p>
        </w:tc>
        <w:tc>
          <w:tcPr>
            <w:tcW w:w="9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образование земельного участка путем перераспределения земельных участков 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 кадастровыми номерами</w:t>
            </w:r>
          </w:p>
          <w:p w:rsidR="001723F9" w:rsidRDefault="001723F9" w:rsidP="001723F9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86:10:0101000:7370, 86:10:0101062:2261, 86:10:0000000:22620, 86:10:0000000:24861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F9" w:rsidRDefault="001723F9" w:rsidP="001723F9">
            <w:pPr>
              <w:spacing w:line="252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образуемый</w:t>
            </w:r>
          </w:p>
        </w:tc>
      </w:tr>
    </w:tbl>
    <w:p w:rsidR="001723F9" w:rsidRDefault="001723F9" w:rsidP="001723F9">
      <w:pPr>
        <w:widowControl w:val="0"/>
        <w:tabs>
          <w:tab w:val="left" w:pos="708"/>
        </w:tabs>
        <w:ind w:firstLine="567"/>
        <w:rPr>
          <w:rFonts w:eastAsia="Calibri"/>
        </w:rPr>
      </w:pPr>
    </w:p>
    <w:p w:rsidR="001723F9" w:rsidRDefault="001723F9" w:rsidP="001723F9">
      <w:pPr>
        <w:rPr>
          <w:rFonts w:eastAsia="Calibri"/>
        </w:rPr>
      </w:pPr>
      <w:r>
        <w:rPr>
          <w:rFonts w:eastAsia="Calibri"/>
        </w:rPr>
        <w:br w:type="page"/>
      </w:r>
    </w:p>
    <w:p w:rsidR="001723F9" w:rsidRDefault="001723F9" w:rsidP="001723F9">
      <w:pPr>
        <w:jc w:val="left"/>
        <w:rPr>
          <w:rFonts w:eastAsia="Calibri"/>
        </w:rPr>
        <w:sectPr w:rsidR="001723F9">
          <w:pgSz w:w="23808" w:h="16840" w:orient="landscape"/>
          <w:pgMar w:top="1135" w:right="1134" w:bottom="1701" w:left="1134" w:header="709" w:footer="709" w:gutter="0"/>
          <w:cols w:space="720"/>
        </w:sectPr>
      </w:pPr>
    </w:p>
    <w:p w:rsidR="001723F9" w:rsidRDefault="001723F9" w:rsidP="001723F9">
      <w:pPr>
        <w:tabs>
          <w:tab w:val="left" w:pos="567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Перечень координат</w:t>
      </w:r>
    </w:p>
    <w:p w:rsidR="001723F9" w:rsidRDefault="001723F9" w:rsidP="001723F9">
      <w:pPr>
        <w:tabs>
          <w:tab w:val="left" w:pos="567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характерных точек границ территории элемента планировочной</w:t>
      </w:r>
    </w:p>
    <w:p w:rsidR="001723F9" w:rsidRDefault="001723F9" w:rsidP="001723F9">
      <w:pPr>
        <w:tabs>
          <w:tab w:val="left" w:pos="567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структуры в системе координат, используемой для ведения</w:t>
      </w:r>
    </w:p>
    <w:p w:rsidR="001723F9" w:rsidRDefault="001723F9" w:rsidP="001723F9">
      <w:pPr>
        <w:tabs>
          <w:tab w:val="left" w:pos="567"/>
        </w:tabs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Единого государственного реестра недвижимости</w:t>
      </w:r>
    </w:p>
    <w:p w:rsidR="001723F9" w:rsidRDefault="001723F9" w:rsidP="001723F9">
      <w:pPr>
        <w:jc w:val="center"/>
        <w:rPr>
          <w:rFonts w:eastAsia="Calibri"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53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3"/>
        <w:gridCol w:w="3473"/>
        <w:gridCol w:w="3699"/>
      </w:tblGrid>
      <w:tr w:rsidR="001723F9" w:rsidTr="001723F9">
        <w:trPr>
          <w:trHeight w:val="164"/>
        </w:trPr>
        <w:tc>
          <w:tcPr>
            <w:tcW w:w="11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Координаты</w:t>
            </w:r>
          </w:p>
        </w:tc>
      </w:tr>
      <w:tr w:rsidR="001723F9" w:rsidTr="001723F9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23F9" w:rsidRDefault="001723F9" w:rsidP="001723F9">
            <w:pPr>
              <w:spacing w:line="256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3F9" w:rsidRDefault="001723F9" w:rsidP="001723F9">
            <w:pPr>
              <w:spacing w:line="252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982749,16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3575882,57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982741,95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3575885,40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982728,52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3575890,63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982700,33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3575900,71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982691,72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3575903,81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982674,71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3575909,88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982645,61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3575918,41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982619,98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3575924,55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982612,61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3575925,44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982595,55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3575927,50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982564,48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3575927,28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982561,22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3575926,97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982536,38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3575924,60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982505,21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3575919,54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982450,00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3575908,78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982333,30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3575881,08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982501,91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3575170,79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982972,62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3575282,59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982992,72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3575287,32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983012,83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3575291,84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983033,06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3575295,95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983053,37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3575299,37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983073,82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3575302,07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983092,91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3575303,71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983112,06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3575304,48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983131,20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3575304,39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983153,51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3575303,14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983176,71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3575300,60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983208,43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3575295,13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983228,67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3575290,28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983249,02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3575284,38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983264,92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3575279,21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983401,58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3575623,77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982975,63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3575792,73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982756,74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3575879,56</w:t>
            </w:r>
          </w:p>
        </w:tc>
      </w:tr>
      <w:tr w:rsidR="001723F9" w:rsidTr="001723F9">
        <w:trPr>
          <w:trHeight w:hRule="exact" w:val="281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982749,16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F9" w:rsidRDefault="001723F9" w:rsidP="001723F9">
            <w:pPr>
              <w:tabs>
                <w:tab w:val="left" w:pos="-14"/>
              </w:tabs>
              <w:spacing w:line="252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3575882,57</w:t>
            </w:r>
          </w:p>
        </w:tc>
      </w:tr>
    </w:tbl>
    <w:p w:rsidR="001723F9" w:rsidRDefault="001723F9" w:rsidP="001723F9"/>
    <w:p w:rsidR="008A4EA3" w:rsidRPr="001723F9" w:rsidRDefault="008A4EA3" w:rsidP="001723F9"/>
    <w:sectPr w:rsidR="008A4EA3" w:rsidRPr="00172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C68" w:rsidRDefault="00D11C68" w:rsidP="001723F9">
      <w:r>
        <w:separator/>
      </w:r>
    </w:p>
  </w:endnote>
  <w:endnote w:type="continuationSeparator" w:id="0">
    <w:p w:rsidR="00D11C68" w:rsidRDefault="00D11C68" w:rsidP="00172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C68" w:rsidRDefault="00D11C68" w:rsidP="001723F9">
      <w:r>
        <w:separator/>
      </w:r>
    </w:p>
  </w:footnote>
  <w:footnote w:type="continuationSeparator" w:id="0">
    <w:p w:rsidR="00D11C68" w:rsidRDefault="00D11C68" w:rsidP="00172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9231328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1723F9" w:rsidRPr="001723F9" w:rsidRDefault="001723F9">
        <w:pPr>
          <w:pStyle w:val="a3"/>
          <w:jc w:val="center"/>
          <w:rPr>
            <w:sz w:val="20"/>
          </w:rPr>
        </w:pPr>
        <w:r w:rsidRPr="001723F9">
          <w:rPr>
            <w:sz w:val="20"/>
          </w:rPr>
          <w:fldChar w:fldCharType="begin"/>
        </w:r>
        <w:r w:rsidRPr="001723F9">
          <w:rPr>
            <w:sz w:val="20"/>
          </w:rPr>
          <w:instrText>PAGE   \* MERGEFORMAT</w:instrText>
        </w:r>
        <w:r w:rsidRPr="001723F9">
          <w:rPr>
            <w:sz w:val="20"/>
          </w:rPr>
          <w:fldChar w:fldCharType="separate"/>
        </w:r>
        <w:r w:rsidR="00734E18">
          <w:rPr>
            <w:noProof/>
            <w:sz w:val="20"/>
          </w:rPr>
          <w:t>19</w:t>
        </w:r>
        <w:r w:rsidRPr="001723F9">
          <w:rPr>
            <w:sz w:val="20"/>
          </w:rPr>
          <w:fldChar w:fldCharType="end"/>
        </w:r>
      </w:p>
    </w:sdtContent>
  </w:sdt>
  <w:p w:rsidR="001723F9" w:rsidRDefault="001723F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693"/>
    <w:rsid w:val="00056190"/>
    <w:rsid w:val="001723F9"/>
    <w:rsid w:val="00387275"/>
    <w:rsid w:val="00734E18"/>
    <w:rsid w:val="00762355"/>
    <w:rsid w:val="007A653F"/>
    <w:rsid w:val="008A4EA3"/>
    <w:rsid w:val="0092750A"/>
    <w:rsid w:val="00C36598"/>
    <w:rsid w:val="00CF7693"/>
    <w:rsid w:val="00D1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0CD5"/>
  <w15:chartTrackingRefBased/>
  <w15:docId w15:val="{01B447ED-1BEF-4135-9DE4-F6E360D0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3F9"/>
    <w:pPr>
      <w:spacing w:after="0" w:line="240" w:lineRule="auto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38727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2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7275"/>
  </w:style>
  <w:style w:type="character" w:customStyle="1" w:styleId="12">
    <w:name w:val="Гиперссылка1"/>
    <w:basedOn w:val="a0"/>
    <w:uiPriority w:val="99"/>
    <w:semiHidden/>
    <w:unhideWhenUsed/>
    <w:rsid w:val="00387275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387275"/>
    <w:rPr>
      <w:color w:val="954F72"/>
      <w:u w:val="single"/>
    </w:rPr>
  </w:style>
  <w:style w:type="paragraph" w:customStyle="1" w:styleId="msonormal0">
    <w:name w:val="msonormal"/>
    <w:basedOn w:val="a"/>
    <w:rsid w:val="00387275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8727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rsid w:val="00387275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38727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basedOn w:val="a0"/>
    <w:link w:val="a5"/>
    <w:uiPriority w:val="99"/>
    <w:rsid w:val="00387275"/>
    <w:rPr>
      <w:rFonts w:ascii="Times New Roman" w:eastAsia="Calibri" w:hAnsi="Times New Roman" w:cs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387275"/>
    <w:rPr>
      <w:rFonts w:ascii="Segoe UI" w:eastAsia="Calibr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7275"/>
    <w:rPr>
      <w:rFonts w:ascii="Segoe UI" w:eastAsia="Calibri" w:hAnsi="Segoe UI" w:cs="Segoe UI"/>
      <w:sz w:val="18"/>
      <w:szCs w:val="18"/>
    </w:rPr>
  </w:style>
  <w:style w:type="character" w:customStyle="1" w:styleId="a9">
    <w:name w:val="Без интервала Знак"/>
    <w:aliases w:val="Кр. строка Знак"/>
    <w:link w:val="aa"/>
    <w:locked/>
    <w:rsid w:val="00387275"/>
    <w:rPr>
      <w:rFonts w:ascii="Calibri" w:hAnsi="Calibri" w:cs="Calibri"/>
    </w:rPr>
  </w:style>
  <w:style w:type="paragraph" w:styleId="aa">
    <w:name w:val="No Spacing"/>
    <w:aliases w:val="Кр. строка"/>
    <w:link w:val="a9"/>
    <w:qFormat/>
    <w:rsid w:val="00387275"/>
    <w:pPr>
      <w:spacing w:after="0" w:line="240" w:lineRule="auto"/>
    </w:pPr>
    <w:rPr>
      <w:rFonts w:ascii="Calibri" w:hAnsi="Calibri" w:cs="Calibri"/>
    </w:rPr>
  </w:style>
  <w:style w:type="paragraph" w:styleId="ab">
    <w:name w:val="List Paragraph"/>
    <w:basedOn w:val="a"/>
    <w:uiPriority w:val="34"/>
    <w:qFormat/>
    <w:rsid w:val="00387275"/>
    <w:pPr>
      <w:ind w:left="720"/>
      <w:contextualSpacing/>
    </w:pPr>
    <w:rPr>
      <w:rFonts w:eastAsia="Calibri"/>
    </w:rPr>
  </w:style>
  <w:style w:type="paragraph" w:customStyle="1" w:styleId="Style12">
    <w:name w:val="Style12"/>
    <w:basedOn w:val="a"/>
    <w:uiPriority w:val="99"/>
    <w:rsid w:val="00387275"/>
    <w:pPr>
      <w:widowControl w:val="0"/>
      <w:autoSpaceDE w:val="0"/>
      <w:autoSpaceDN w:val="0"/>
      <w:adjustRightInd w:val="0"/>
      <w:spacing w:line="288" w:lineRule="exact"/>
      <w:ind w:firstLine="691"/>
    </w:pPr>
    <w:rPr>
      <w:rFonts w:eastAsia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387275"/>
    <w:rPr>
      <w:rFonts w:ascii="Arial" w:eastAsia="MS Mincho" w:hAnsi="Arial" w:cs="Arial"/>
      <w:sz w:val="20"/>
      <w:szCs w:val="20"/>
      <w:lang w:eastAsia="ar-SA"/>
    </w:rPr>
  </w:style>
  <w:style w:type="paragraph" w:customStyle="1" w:styleId="ConsPlusNormal0">
    <w:name w:val="ConsPlusNormal"/>
    <w:link w:val="ConsPlusNormal"/>
    <w:rsid w:val="00387275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387275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87275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7275"/>
    <w:pPr>
      <w:widowControl w:val="0"/>
      <w:autoSpaceDE w:val="0"/>
      <w:autoSpaceDN w:val="0"/>
      <w:adjustRightInd w:val="0"/>
      <w:spacing w:line="238" w:lineRule="exact"/>
      <w:ind w:firstLine="456"/>
    </w:pPr>
    <w:rPr>
      <w:rFonts w:eastAsia="Times New Roman"/>
      <w:sz w:val="24"/>
      <w:szCs w:val="24"/>
      <w:lang w:eastAsia="ru-RU"/>
    </w:rPr>
  </w:style>
  <w:style w:type="character" w:customStyle="1" w:styleId="ac">
    <w:name w:val="Другое_"/>
    <w:basedOn w:val="a0"/>
    <w:link w:val="ad"/>
    <w:locked/>
    <w:rsid w:val="00387275"/>
    <w:rPr>
      <w:rFonts w:ascii="Times New Roman" w:eastAsia="Times New Roman" w:hAnsi="Times New Roman" w:cs="Times New Roman"/>
      <w:szCs w:val="28"/>
      <w:shd w:val="clear" w:color="auto" w:fill="FFFFFF"/>
    </w:rPr>
  </w:style>
  <w:style w:type="paragraph" w:customStyle="1" w:styleId="ad">
    <w:name w:val="Другое"/>
    <w:basedOn w:val="a"/>
    <w:link w:val="ac"/>
    <w:rsid w:val="00387275"/>
    <w:pPr>
      <w:widowControl w:val="0"/>
      <w:shd w:val="clear" w:color="auto" w:fill="FFFFFF"/>
      <w:spacing w:line="360" w:lineRule="auto"/>
      <w:ind w:firstLine="400"/>
    </w:pPr>
    <w:rPr>
      <w:rFonts w:eastAsia="Times New Roman"/>
      <w:sz w:val="22"/>
      <w:szCs w:val="28"/>
    </w:rPr>
  </w:style>
  <w:style w:type="character" w:customStyle="1" w:styleId="hl">
    <w:name w:val="hl"/>
    <w:basedOn w:val="a0"/>
    <w:rsid w:val="00387275"/>
  </w:style>
  <w:style w:type="character" w:customStyle="1" w:styleId="FontStyle18">
    <w:name w:val="Font Style18"/>
    <w:basedOn w:val="a0"/>
    <w:uiPriority w:val="99"/>
    <w:rsid w:val="00387275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basedOn w:val="a0"/>
    <w:uiPriority w:val="99"/>
    <w:rsid w:val="00387275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uiPriority w:val="99"/>
    <w:rsid w:val="00387275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basedOn w:val="a0"/>
    <w:uiPriority w:val="99"/>
    <w:rsid w:val="0038727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uiPriority w:val="99"/>
    <w:rsid w:val="00387275"/>
    <w:rPr>
      <w:rFonts w:ascii="Times New Roman" w:hAnsi="Times New Roman" w:cs="Times New Roman" w:hint="default"/>
      <w:sz w:val="24"/>
      <w:szCs w:val="24"/>
    </w:rPr>
  </w:style>
  <w:style w:type="character" w:customStyle="1" w:styleId="ae">
    <w:name w:val="Название Знак"/>
    <w:uiPriority w:val="99"/>
    <w:locked/>
    <w:rsid w:val="00387275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22">
    <w:name w:val="Font Style22"/>
    <w:basedOn w:val="a0"/>
    <w:uiPriority w:val="99"/>
    <w:rsid w:val="00387275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uiPriority w:val="99"/>
    <w:rsid w:val="00387275"/>
    <w:rPr>
      <w:rFonts w:ascii="Times New Roman" w:hAnsi="Times New Roman" w:cs="Times New Roman" w:hint="default"/>
      <w:sz w:val="24"/>
      <w:szCs w:val="24"/>
    </w:rPr>
  </w:style>
  <w:style w:type="table" w:styleId="af">
    <w:name w:val="Table Grid"/>
    <w:basedOn w:val="a1"/>
    <w:rsid w:val="00387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387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387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39"/>
    <w:rsid w:val="00387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rsid w:val="003872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87275"/>
    <w:rPr>
      <w:color w:val="0563C1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387275"/>
    <w:rPr>
      <w:color w:val="954F72" w:themeColor="followedHyperlink"/>
      <w:u w:val="single"/>
    </w:rPr>
  </w:style>
  <w:style w:type="table" w:customStyle="1" w:styleId="31">
    <w:name w:val="Сетка таблицы31"/>
    <w:basedOn w:val="a1"/>
    <w:uiPriority w:val="39"/>
    <w:rsid w:val="001723F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rsid w:val="001723F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4543</Words>
  <Characters>25899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Морычева Надежда Николаевна</dc:creator>
  <cp:keywords/>
  <dc:description/>
  <cp:lastModifiedBy>Гордеев Сергей Викторович</cp:lastModifiedBy>
  <cp:revision>6</cp:revision>
  <dcterms:created xsi:type="dcterms:W3CDTF">2026-07-01T08:35:00Z</dcterms:created>
  <dcterms:modified xsi:type="dcterms:W3CDTF">2026-07-02T10:29:00Z</dcterms:modified>
</cp:coreProperties>
</file>