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310A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310AC" w:rsidRDefault="00D310A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5589464" r:id="rId7"/>
              </w:object>
            </w:r>
          </w:p>
          <w:p w:rsidR="00D310AC" w:rsidRDefault="00D310A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310AC" w:rsidRPr="005541F0" w:rsidRDefault="00D310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310AC" w:rsidRDefault="00D310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310AC" w:rsidRPr="005541F0" w:rsidRDefault="00D310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310AC" w:rsidRPr="005649E4" w:rsidRDefault="00D310A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10AC" w:rsidRPr="00656C1A" w:rsidRDefault="00D310A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310AC" w:rsidRPr="005541F0" w:rsidRDefault="00D310A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310AC" w:rsidRPr="005541F0" w:rsidRDefault="00D310A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310AC" w:rsidRPr="00656C1A" w:rsidRDefault="00D310A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310AC" w:rsidRDefault="00D310A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310AC" w:rsidRPr="003262E3" w:rsidRDefault="00D310A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10A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10AC" w:rsidRPr="00F8214F" w:rsidRDefault="00D31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0AC" w:rsidRPr="00F8214F" w:rsidRDefault="0098408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310AC" w:rsidRPr="00F8214F" w:rsidRDefault="00D31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0AC" w:rsidRPr="00F8214F" w:rsidRDefault="0098408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310AC" w:rsidRPr="00A63FB0" w:rsidRDefault="00D310A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0AC" w:rsidRPr="00A3761A" w:rsidRDefault="0098408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310AC" w:rsidRPr="00F8214F" w:rsidRDefault="00D310A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310AC" w:rsidRPr="00AB4194" w:rsidRDefault="00D31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310AC" w:rsidRPr="00F8214F" w:rsidRDefault="0098408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4132</w:t>
            </w:r>
          </w:p>
        </w:tc>
      </w:tr>
    </w:tbl>
    <w:p w:rsidR="00D310AC" w:rsidRDefault="00D310AC" w:rsidP="001E4F0B">
      <w:pPr>
        <w:rPr>
          <w:rFonts w:eastAsia="Times New Roman" w:cs="Times New Roman"/>
          <w:bCs/>
          <w:szCs w:val="24"/>
          <w:lang w:eastAsia="ru-RU"/>
        </w:rPr>
      </w:pPr>
    </w:p>
    <w:p w:rsidR="00D310AC" w:rsidRDefault="00D310AC" w:rsidP="00D310AC">
      <w:pPr>
        <w:jc w:val="left"/>
      </w:pPr>
      <w:r w:rsidRPr="00D310AC">
        <w:t xml:space="preserve">О создании рабочей группы </w:t>
      </w:r>
    </w:p>
    <w:p w:rsidR="00D310AC" w:rsidRDefault="00D310AC" w:rsidP="00D310AC">
      <w:pPr>
        <w:jc w:val="left"/>
      </w:pPr>
      <w:r w:rsidRPr="00D310AC">
        <w:t xml:space="preserve">по векторам развития </w:t>
      </w:r>
    </w:p>
    <w:p w:rsidR="00D310AC" w:rsidRPr="00D310AC" w:rsidRDefault="00D310AC" w:rsidP="00D310AC">
      <w:pPr>
        <w:jc w:val="left"/>
      </w:pPr>
      <w:r w:rsidRPr="00D310AC">
        <w:t xml:space="preserve">«Общественные территории», </w:t>
      </w:r>
    </w:p>
    <w:p w:rsidR="00D310AC" w:rsidRDefault="00D310AC" w:rsidP="00D310AC">
      <w:pPr>
        <w:jc w:val="left"/>
      </w:pPr>
      <w:r w:rsidRPr="00D310AC">
        <w:t xml:space="preserve">«Жилищное строительство» </w:t>
      </w:r>
    </w:p>
    <w:p w:rsidR="00D310AC" w:rsidRDefault="00D310AC" w:rsidP="00D310AC">
      <w:pPr>
        <w:jc w:val="left"/>
      </w:pPr>
      <w:r w:rsidRPr="00D310AC">
        <w:t xml:space="preserve">направления «Комфортная среда» </w:t>
      </w:r>
    </w:p>
    <w:p w:rsidR="00D310AC" w:rsidRDefault="00D310AC" w:rsidP="00D310AC">
      <w:pPr>
        <w:jc w:val="left"/>
      </w:pPr>
      <w:r w:rsidRPr="00D310AC">
        <w:t xml:space="preserve">Стратегии социально-экономического </w:t>
      </w:r>
    </w:p>
    <w:p w:rsidR="00D310AC" w:rsidRPr="00D310AC" w:rsidRDefault="00D310AC" w:rsidP="00D310AC">
      <w:pPr>
        <w:jc w:val="left"/>
      </w:pPr>
      <w:r w:rsidRPr="00D310AC">
        <w:t xml:space="preserve">развития города Сургута до 2036 года </w:t>
      </w:r>
    </w:p>
    <w:p w:rsidR="00D310AC" w:rsidRPr="00D310AC" w:rsidRDefault="00D310AC" w:rsidP="00D310AC">
      <w:pPr>
        <w:jc w:val="left"/>
      </w:pPr>
      <w:r w:rsidRPr="00D310AC">
        <w:t>с целевыми ориентирами до 2050 года</w:t>
      </w:r>
    </w:p>
    <w:p w:rsidR="00D310AC" w:rsidRPr="00D310AC" w:rsidRDefault="00D310AC" w:rsidP="00D310AC">
      <w:pPr>
        <w:jc w:val="left"/>
        <w:rPr>
          <w:szCs w:val="28"/>
        </w:rPr>
      </w:pPr>
    </w:p>
    <w:p w:rsidR="00D310AC" w:rsidRPr="00D310AC" w:rsidRDefault="00D310AC" w:rsidP="00D310AC">
      <w:pPr>
        <w:ind w:firstLine="709"/>
        <w:rPr>
          <w:szCs w:val="28"/>
        </w:rPr>
      </w:pPr>
    </w:p>
    <w:p w:rsidR="00D310AC" w:rsidRPr="00D310AC" w:rsidRDefault="00D310AC" w:rsidP="00D310AC">
      <w:pPr>
        <w:ind w:firstLine="709"/>
      </w:pPr>
      <w:r w:rsidRPr="00D310AC">
        <w:t>В соответствии с Уставом муниципального образования городской округ Сургут Ханты-Мансийского автономного округа – Югры, решением Думы</w:t>
      </w:r>
      <w:r w:rsidRPr="00D310AC">
        <w:br/>
        <w:t xml:space="preserve">города от 08.06.2015 №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</w:t>
      </w:r>
      <w:r w:rsidRPr="00D310AC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D310AC">
        <w:t xml:space="preserve">: </w:t>
      </w:r>
    </w:p>
    <w:p w:rsidR="00D310AC" w:rsidRPr="00D310AC" w:rsidRDefault="00D310AC" w:rsidP="00D310AC">
      <w:pPr>
        <w:ind w:firstLine="709"/>
      </w:pPr>
      <w:r w:rsidRPr="00D310AC">
        <w:t xml:space="preserve">1. Создать рабочую группу по векторам развития «Общественные </w:t>
      </w:r>
      <w:proofErr w:type="spellStart"/>
      <w:r w:rsidRPr="00D310AC">
        <w:t>терри</w:t>
      </w:r>
      <w:proofErr w:type="spellEnd"/>
      <w:r>
        <w:t>-</w:t>
      </w:r>
      <w:r w:rsidRPr="00D310AC">
        <w:t xml:space="preserve">тории», «Жилищное строительство» направления «Комфортная среда» Стратегии социально-экономического развития города Сургута до 2036 года </w:t>
      </w:r>
      <w:r>
        <w:br/>
      </w:r>
      <w:r w:rsidRPr="00D310AC">
        <w:t xml:space="preserve">с целевыми ориентирами до 2050 года. </w:t>
      </w:r>
    </w:p>
    <w:p w:rsidR="00D310AC" w:rsidRPr="00D310AC" w:rsidRDefault="00D310AC" w:rsidP="00D310AC">
      <w:pPr>
        <w:ind w:firstLine="709"/>
      </w:pPr>
      <w:r w:rsidRPr="00D310AC">
        <w:t xml:space="preserve">2. Утвердить: </w:t>
      </w:r>
    </w:p>
    <w:p w:rsidR="00D310AC" w:rsidRPr="00D310AC" w:rsidRDefault="00D310AC" w:rsidP="00D310AC">
      <w:pPr>
        <w:ind w:firstLine="709"/>
        <w:rPr>
          <w:rFonts w:eastAsia="Times New Roman" w:cs="Times New Roman"/>
          <w:color w:val="000000" w:themeColor="text1"/>
          <w:szCs w:val="28"/>
        </w:rPr>
      </w:pPr>
      <w:r w:rsidRPr="00D310AC">
        <w:t xml:space="preserve">2.1. Положение о рабочей группе по векторам развития «Общественные территории», «Жилищное строительство» направления «Комфортная среда»  Стратегии социально-экономического развития города Сургута до 2036 года </w:t>
      </w:r>
      <w:r w:rsidRPr="00D310AC">
        <w:br/>
        <w:t>с целевыми ориентирами до 2050 года</w:t>
      </w:r>
      <w:r w:rsidRPr="00D310AC">
        <w:rPr>
          <w:rFonts w:eastAsia="Times New Roman" w:cs="Times New Roman"/>
          <w:color w:val="000000" w:themeColor="text1"/>
          <w:szCs w:val="28"/>
        </w:rPr>
        <w:t xml:space="preserve"> согласно приложению 1. </w:t>
      </w:r>
    </w:p>
    <w:p w:rsidR="00D310AC" w:rsidRDefault="00D310AC" w:rsidP="00D310AC">
      <w:pPr>
        <w:ind w:firstLine="709"/>
        <w:rPr>
          <w:color w:val="000000" w:themeColor="text1"/>
        </w:rPr>
      </w:pPr>
      <w:r w:rsidRPr="00D310AC">
        <w:t xml:space="preserve">2.2. Состав рабочей группы по векторам развития «Общественные территории», «Жилищное строительство» направления «Комфортная среда»  Стратегии социально-экономического развития города Сургута до 2036 года </w:t>
      </w:r>
      <w:r w:rsidRPr="00D310AC">
        <w:br/>
        <w:t xml:space="preserve">с целевыми ориентирами до 2050 года согласно </w:t>
      </w:r>
      <w:hyperlink r:id="rId8" w:anchor="/document/29146823/entry/2000" w:history="1">
        <w:r w:rsidRPr="00D310AC">
          <w:rPr>
            <w:color w:val="000000" w:themeColor="text1"/>
          </w:rPr>
          <w:t>приложению 2</w:t>
        </w:r>
      </w:hyperlink>
      <w:r w:rsidRPr="00D310AC">
        <w:rPr>
          <w:color w:val="000000" w:themeColor="text1"/>
        </w:rPr>
        <w:t xml:space="preserve">. </w:t>
      </w:r>
    </w:p>
    <w:p w:rsidR="00D310AC" w:rsidRPr="00D310AC" w:rsidRDefault="00D310AC" w:rsidP="00D310AC">
      <w:pPr>
        <w:ind w:firstLine="709"/>
      </w:pPr>
      <w:r w:rsidRPr="00D310AC">
        <w:lastRenderedPageBreak/>
        <w:t xml:space="preserve">3. </w:t>
      </w:r>
      <w:r w:rsidRPr="00D310AC">
        <w:rPr>
          <w:szCs w:val="28"/>
        </w:rPr>
        <w:t xml:space="preserve">Комитету информационной политики обнародовать (разместить) настоящее </w:t>
      </w:r>
      <w:r w:rsidRPr="00D310AC">
        <w:t xml:space="preserve">распоряжение </w:t>
      </w:r>
      <w:r w:rsidRPr="00D310AC">
        <w:rPr>
          <w:szCs w:val="28"/>
        </w:rPr>
        <w:t xml:space="preserve">на официальном портале Администрации города: </w:t>
      </w:r>
      <w:r w:rsidRPr="00D310AC">
        <w:rPr>
          <w:szCs w:val="28"/>
          <w:lang w:val="en-US"/>
        </w:rPr>
        <w:t>www</w:t>
      </w:r>
      <w:r w:rsidRPr="00D310AC">
        <w:rPr>
          <w:szCs w:val="28"/>
        </w:rPr>
        <w:t>.</w:t>
      </w:r>
      <w:proofErr w:type="spellStart"/>
      <w:r w:rsidRPr="00D310AC">
        <w:rPr>
          <w:szCs w:val="28"/>
          <w:lang w:val="en-US"/>
        </w:rPr>
        <w:t>admsurgut</w:t>
      </w:r>
      <w:proofErr w:type="spellEnd"/>
      <w:r w:rsidRPr="00D310AC">
        <w:rPr>
          <w:szCs w:val="28"/>
        </w:rPr>
        <w:t>.</w:t>
      </w:r>
      <w:proofErr w:type="spellStart"/>
      <w:r w:rsidRPr="00D310AC">
        <w:rPr>
          <w:szCs w:val="28"/>
          <w:lang w:val="en-US"/>
        </w:rPr>
        <w:t>ru</w:t>
      </w:r>
      <w:proofErr w:type="spellEnd"/>
      <w:r w:rsidRPr="00D310AC">
        <w:t>.</w:t>
      </w:r>
    </w:p>
    <w:p w:rsidR="00D310AC" w:rsidRPr="00D310AC" w:rsidRDefault="00D310AC" w:rsidP="00D310AC">
      <w:pPr>
        <w:ind w:firstLine="709"/>
      </w:pPr>
      <w:r w:rsidRPr="00D310AC">
        <w:t xml:space="preserve">4. Муниципальному казенному учреждению «Наш город» </w:t>
      </w:r>
      <w:r w:rsidRPr="00D310AC">
        <w:rPr>
          <w:szCs w:val="28"/>
        </w:rPr>
        <w:t xml:space="preserve">обнародовать </w:t>
      </w:r>
      <w:r w:rsidRPr="00D310AC">
        <w:t>(разместить) настоящее распоряжение в сетевом издании «Официальные</w:t>
      </w:r>
      <w:r w:rsidRPr="00D310AC">
        <w:br/>
        <w:t xml:space="preserve">документы города Сургута»: </w:t>
      </w:r>
      <w:r w:rsidRPr="00D310AC">
        <w:rPr>
          <w:rFonts w:cs="Times New Roman"/>
          <w:bCs/>
          <w:caps/>
          <w:szCs w:val="24"/>
        </w:rPr>
        <w:t>docsurgut.ru</w:t>
      </w:r>
      <w:r w:rsidRPr="00D310AC">
        <w:rPr>
          <w:rFonts w:cs="Times New Roman"/>
          <w:bCs/>
          <w:szCs w:val="24"/>
        </w:rPr>
        <w:t>.</w:t>
      </w:r>
    </w:p>
    <w:p w:rsidR="00D310AC" w:rsidRPr="00D310AC" w:rsidRDefault="00D310AC" w:rsidP="00D310AC">
      <w:pPr>
        <w:ind w:firstLine="709"/>
      </w:pPr>
      <w:r w:rsidRPr="00D310AC">
        <w:t>5. Настоящее распоряжение вступает в силу с момента его издания.</w:t>
      </w:r>
    </w:p>
    <w:p w:rsidR="00D310AC" w:rsidRPr="00D310AC" w:rsidRDefault="00D310AC" w:rsidP="00D310AC">
      <w:pPr>
        <w:ind w:firstLine="709"/>
      </w:pPr>
      <w:r w:rsidRPr="00D310AC">
        <w:t xml:space="preserve">6. </w:t>
      </w:r>
      <w:r w:rsidRPr="00D310AC">
        <w:rPr>
          <w:szCs w:val="28"/>
        </w:rPr>
        <w:t xml:space="preserve">Контроль за выполнением </w:t>
      </w:r>
      <w:r w:rsidRPr="00D310AC">
        <w:t xml:space="preserve">распоряжения </w:t>
      </w:r>
      <w:r w:rsidRPr="00D310AC">
        <w:rPr>
          <w:szCs w:val="28"/>
        </w:rPr>
        <w:t>оставляю за собой.</w:t>
      </w:r>
    </w:p>
    <w:p w:rsidR="00D310AC" w:rsidRPr="00D310AC" w:rsidRDefault="00D310AC" w:rsidP="00D310AC">
      <w:pPr>
        <w:ind w:firstLine="709"/>
      </w:pPr>
    </w:p>
    <w:p w:rsidR="00D310AC" w:rsidRPr="00D310AC" w:rsidRDefault="00D310AC" w:rsidP="00D310AC">
      <w:pPr>
        <w:ind w:firstLine="709"/>
      </w:pPr>
    </w:p>
    <w:p w:rsidR="00D310AC" w:rsidRPr="00D310AC" w:rsidRDefault="00D310AC" w:rsidP="00D310AC">
      <w:pPr>
        <w:ind w:firstLine="709"/>
        <w:rPr>
          <w:szCs w:val="28"/>
        </w:rPr>
      </w:pPr>
    </w:p>
    <w:p w:rsidR="00D310AC" w:rsidRPr="00D310AC" w:rsidRDefault="00D310AC" w:rsidP="00D310AC">
      <w:pPr>
        <w:ind w:right="-1"/>
        <w:rPr>
          <w:szCs w:val="28"/>
        </w:rPr>
      </w:pPr>
      <w:r w:rsidRPr="00D310AC">
        <w:rPr>
          <w:szCs w:val="28"/>
        </w:rPr>
        <w:t xml:space="preserve">Заместитель Главы города </w:t>
      </w:r>
      <w:r w:rsidRPr="00D310AC">
        <w:rPr>
          <w:szCs w:val="28"/>
        </w:rPr>
        <w:tab/>
      </w:r>
      <w:r w:rsidRPr="00D310AC">
        <w:rPr>
          <w:szCs w:val="28"/>
        </w:rPr>
        <w:tab/>
      </w:r>
      <w:r w:rsidRPr="00D310AC">
        <w:rPr>
          <w:szCs w:val="28"/>
        </w:rPr>
        <w:tab/>
      </w:r>
      <w:r w:rsidRPr="00D310AC">
        <w:rPr>
          <w:szCs w:val="28"/>
        </w:rPr>
        <w:tab/>
      </w:r>
      <w:r w:rsidRPr="00D310AC">
        <w:rPr>
          <w:szCs w:val="28"/>
        </w:rPr>
        <w:tab/>
        <w:t xml:space="preserve">        </w:t>
      </w:r>
      <w:r>
        <w:rPr>
          <w:szCs w:val="28"/>
        </w:rPr>
        <w:t xml:space="preserve"> </w:t>
      </w:r>
      <w:r w:rsidRPr="00D310AC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D310AC">
        <w:rPr>
          <w:szCs w:val="28"/>
        </w:rPr>
        <w:t xml:space="preserve">           А.А. </w:t>
      </w:r>
      <w:proofErr w:type="spellStart"/>
      <w:r w:rsidRPr="00D310AC">
        <w:rPr>
          <w:szCs w:val="28"/>
        </w:rPr>
        <w:t>Фокеев</w:t>
      </w:r>
      <w:proofErr w:type="spellEnd"/>
    </w:p>
    <w:p w:rsidR="00D310AC" w:rsidRPr="00D310AC" w:rsidRDefault="00D310AC" w:rsidP="00D310AC">
      <w:pPr>
        <w:spacing w:after="160" w:line="259" w:lineRule="auto"/>
        <w:jc w:val="left"/>
        <w:rPr>
          <w:szCs w:val="28"/>
        </w:rPr>
      </w:pPr>
      <w:r w:rsidRPr="00D310AC">
        <w:rPr>
          <w:szCs w:val="28"/>
        </w:rPr>
        <w:br w:type="page"/>
      </w:r>
    </w:p>
    <w:p w:rsidR="00D310AC" w:rsidRPr="00D310AC" w:rsidRDefault="00D310AC" w:rsidP="00D310AC">
      <w:pPr>
        <w:widowControl w:val="0"/>
        <w:autoSpaceDE w:val="0"/>
        <w:autoSpaceDN w:val="0"/>
        <w:adjustRightInd w:val="0"/>
        <w:ind w:left="5954"/>
        <w:jc w:val="left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D310AC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1</w:t>
      </w:r>
      <w:r w:rsidRPr="00D310AC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r w:rsidRPr="00D310AC">
        <w:rPr>
          <w:rFonts w:ascii="Times New Roman CYR" w:eastAsia="Times New Roman" w:hAnsi="Times New Roman CYR" w:cs="Times New Roman CYR"/>
          <w:szCs w:val="28"/>
          <w:lang w:eastAsia="ru-RU"/>
        </w:rPr>
        <w:t>распоряжению</w:t>
      </w:r>
      <w:r w:rsidRPr="00D310A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D310AC" w:rsidRPr="00D310AC" w:rsidRDefault="00D310AC" w:rsidP="00D310AC">
      <w:pPr>
        <w:widowControl w:val="0"/>
        <w:autoSpaceDE w:val="0"/>
        <w:autoSpaceDN w:val="0"/>
        <w:adjustRightInd w:val="0"/>
        <w:ind w:left="5954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D310AC"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D310AC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____________ № _______</w:t>
      </w:r>
    </w:p>
    <w:p w:rsidR="00D310AC" w:rsidRPr="00D310AC" w:rsidRDefault="00D310AC" w:rsidP="00D310AC">
      <w:pPr>
        <w:widowControl w:val="0"/>
        <w:autoSpaceDE w:val="0"/>
        <w:autoSpaceDN w:val="0"/>
        <w:adjustRightInd w:val="0"/>
        <w:ind w:left="5954"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D310AC" w:rsidRPr="00D310AC" w:rsidRDefault="00D310AC" w:rsidP="00D310A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D310AC" w:rsidRDefault="00D310AC" w:rsidP="00D310AC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310AC">
        <w:rPr>
          <w:rFonts w:eastAsia="Times New Roman" w:cs="Times New Roman"/>
          <w:color w:val="000000" w:themeColor="text1"/>
          <w:szCs w:val="28"/>
          <w:lang w:eastAsia="ru-RU"/>
        </w:rPr>
        <w:t>Положение</w:t>
      </w:r>
      <w:r w:rsidRPr="00D310AC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о рабочей группе по векторам развития «Общественные территории», «Жилищное строительство» направления «Комфортная среда» </w:t>
      </w:r>
    </w:p>
    <w:p w:rsidR="00D310AC" w:rsidRDefault="00D310AC" w:rsidP="00D310AC">
      <w:pPr>
        <w:jc w:val="center"/>
        <w:rPr>
          <w:color w:val="000000" w:themeColor="text1"/>
          <w:szCs w:val="28"/>
        </w:rPr>
      </w:pPr>
      <w:r w:rsidRPr="00D310AC">
        <w:rPr>
          <w:color w:val="000000" w:themeColor="text1"/>
          <w:szCs w:val="28"/>
        </w:rPr>
        <w:t xml:space="preserve">Стратегии социально-экономического развития города Сургута до 2036 года </w:t>
      </w:r>
    </w:p>
    <w:p w:rsidR="00D310AC" w:rsidRPr="00D310AC" w:rsidRDefault="00D310AC" w:rsidP="00D310AC">
      <w:pPr>
        <w:jc w:val="center"/>
        <w:rPr>
          <w:color w:val="000000" w:themeColor="text1"/>
          <w:szCs w:val="28"/>
        </w:rPr>
      </w:pPr>
      <w:r w:rsidRPr="00D310AC">
        <w:rPr>
          <w:color w:val="000000" w:themeColor="text1"/>
          <w:szCs w:val="28"/>
        </w:rPr>
        <w:t xml:space="preserve">с целевыми ориентирами до 2050 года </w:t>
      </w:r>
    </w:p>
    <w:p w:rsidR="00D310AC" w:rsidRPr="00D310AC" w:rsidRDefault="00D310AC" w:rsidP="00D310AC">
      <w:pPr>
        <w:jc w:val="center"/>
        <w:rPr>
          <w:color w:val="000000" w:themeColor="text1"/>
          <w:szCs w:val="28"/>
        </w:rPr>
      </w:pPr>
      <w:r w:rsidRPr="00D310AC">
        <w:rPr>
          <w:color w:val="000000" w:themeColor="text1"/>
          <w:szCs w:val="28"/>
        </w:rPr>
        <w:t>(далее – положение)</w:t>
      </w:r>
    </w:p>
    <w:p w:rsidR="00D310AC" w:rsidRPr="00D310AC" w:rsidRDefault="00D310AC" w:rsidP="00D310AC">
      <w:pPr>
        <w:jc w:val="center"/>
        <w:rPr>
          <w:color w:val="000000" w:themeColor="text1"/>
          <w:szCs w:val="28"/>
        </w:rPr>
      </w:pP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D310AC" w:rsidRPr="00D310AC" w:rsidRDefault="00D310AC" w:rsidP="00D310AC">
      <w:pPr>
        <w:ind w:firstLine="709"/>
        <w:rPr>
          <w:color w:val="000000" w:themeColor="text1"/>
          <w:szCs w:val="28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1. Настоящее положение устанавливает порядок создания и работы рабочей группы по векторам развития «Общественные территории», «Жилищное строительство» направления «Комфортная среда» </w:t>
      </w:r>
      <w:r w:rsidRPr="00D310AC">
        <w:rPr>
          <w:color w:val="000000" w:themeColor="text1"/>
          <w:szCs w:val="28"/>
        </w:rPr>
        <w:t>Стратегии социально-экономического развития города Сургута до 2036 года с целевыми ориентирами до 2050 года (</w:t>
      </w:r>
      <w:r w:rsidRPr="00D310AC">
        <w:rPr>
          <w:rFonts w:eastAsia="Times New Roman" w:cs="Times New Roman"/>
          <w:szCs w:val="28"/>
          <w:lang w:eastAsia="ru-RU"/>
        </w:rPr>
        <w:t>далее – рабочая группа).</w:t>
      </w:r>
    </w:p>
    <w:p w:rsidR="00D310AC" w:rsidRPr="00D310AC" w:rsidRDefault="00D310AC" w:rsidP="00D310AC">
      <w:pPr>
        <w:ind w:firstLine="709"/>
        <w:rPr>
          <w:color w:val="000000" w:themeColor="text1"/>
          <w:szCs w:val="28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2. Рабочая группа является коллегиальным совещательным органом, созданным в целях реализации вопросов формирования комфортной городской среды, реализации и корректировки векторов развития «Общественные </w:t>
      </w:r>
      <w:proofErr w:type="spellStart"/>
      <w:r w:rsidRPr="00D310AC">
        <w:rPr>
          <w:rFonts w:eastAsia="Times New Roman" w:cs="Times New Roman"/>
          <w:szCs w:val="28"/>
          <w:lang w:eastAsia="ru-RU"/>
        </w:rPr>
        <w:t>терри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D310AC">
        <w:rPr>
          <w:rFonts w:eastAsia="Times New Roman" w:cs="Times New Roman"/>
          <w:szCs w:val="28"/>
          <w:lang w:eastAsia="ru-RU"/>
        </w:rPr>
        <w:t xml:space="preserve">тории», «Жилищное строительство» направления «Комфортная среда» </w:t>
      </w:r>
      <w:r w:rsidRPr="00D310AC">
        <w:rPr>
          <w:color w:val="000000" w:themeColor="text1"/>
          <w:szCs w:val="28"/>
        </w:rPr>
        <w:t xml:space="preserve">Стратегии социально-экономического развития города Сургута до 2036 года </w:t>
      </w:r>
      <w:r>
        <w:rPr>
          <w:color w:val="000000" w:themeColor="text1"/>
          <w:szCs w:val="28"/>
        </w:rPr>
        <w:br/>
      </w:r>
      <w:r w:rsidRPr="00D310AC">
        <w:rPr>
          <w:color w:val="000000" w:themeColor="text1"/>
          <w:szCs w:val="28"/>
        </w:rPr>
        <w:t>с целевыми ориентирами до 2050 года.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3. Рабочая группа в своей деятельности руководствуется </w:t>
      </w:r>
      <w:r w:rsidRPr="00D310AC">
        <w:rPr>
          <w:rFonts w:eastAsia="Times New Roman" w:cs="Times New Roman"/>
          <w:color w:val="000000" w:themeColor="text1"/>
          <w:szCs w:val="28"/>
          <w:lang w:eastAsia="ru-RU"/>
        </w:rPr>
        <w:t>Конституцией</w:t>
      </w:r>
      <w:r w:rsidRPr="00D310AC">
        <w:rPr>
          <w:rFonts w:eastAsia="Times New Roman" w:cs="Times New Roman"/>
          <w:szCs w:val="28"/>
          <w:lang w:eastAsia="ru-RU"/>
        </w:rPr>
        <w:br/>
        <w:t>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</w:p>
    <w:p w:rsidR="00D310AC" w:rsidRPr="00D310AC" w:rsidRDefault="00D310AC" w:rsidP="00D310AC">
      <w:pPr>
        <w:ind w:firstLine="709"/>
      </w:pPr>
      <w:r w:rsidRPr="00D310AC">
        <w:t>Раздел II. Функции рабочей группы</w:t>
      </w:r>
    </w:p>
    <w:p w:rsidR="00D310AC" w:rsidRPr="00D310AC" w:rsidRDefault="00D310AC" w:rsidP="00D310AC">
      <w:pPr>
        <w:ind w:firstLine="709"/>
      </w:pPr>
      <w:r w:rsidRPr="00D310AC">
        <w:t>1. Анализ развития муниципального образования городской округ Сургут Ханты-Мансийского автономного округа – Югры (далее – муниципальное образование, городской округ, город) по векторам развития «Общественные территории», «Жилищное строительство» направления «Комфортная среда» Стратегии социально-экономического развития города Сургута до 2036 года</w:t>
      </w:r>
      <w:r w:rsidRPr="00D310AC">
        <w:br/>
        <w:t>с целевыми ориентирами до 2050 года (далее – векторы развития).</w:t>
      </w:r>
    </w:p>
    <w:p w:rsidR="00D310AC" w:rsidRPr="00D310AC" w:rsidRDefault="00D310AC" w:rsidP="00D310AC">
      <w:pPr>
        <w:ind w:firstLine="709"/>
      </w:pPr>
      <w:r w:rsidRPr="00D310AC">
        <w:t xml:space="preserve">Формирование системы долгосрочных приоритетов развития </w:t>
      </w:r>
      <w:proofErr w:type="spellStart"/>
      <w:r w:rsidRPr="00D310AC">
        <w:t>муниципаль</w:t>
      </w:r>
      <w:r>
        <w:t>-</w:t>
      </w:r>
      <w:r w:rsidRPr="00D310AC">
        <w:t>ного</w:t>
      </w:r>
      <w:proofErr w:type="spellEnd"/>
      <w:r w:rsidRPr="00D310AC">
        <w:t xml:space="preserve"> образования по векторам развития, эффективности и результативности расходов на развитие векторов.</w:t>
      </w:r>
    </w:p>
    <w:p w:rsidR="00D310AC" w:rsidRPr="00D310AC" w:rsidRDefault="00D310AC" w:rsidP="00D310AC">
      <w:pPr>
        <w:ind w:firstLine="709"/>
      </w:pPr>
      <w:r w:rsidRPr="00D310AC">
        <w:t xml:space="preserve">Определение перспективных технологических направлений, выявление рисков и угроз, распределение расходов в перспективных проектах </w:t>
      </w:r>
      <w:r>
        <w:br/>
      </w:r>
      <w:r w:rsidRPr="00D310AC">
        <w:t>и мероприятиях для эффективной реализации национальных проектов. Корректировка приоритетных направлений.</w:t>
      </w:r>
    </w:p>
    <w:p w:rsidR="00D310AC" w:rsidRPr="00D310AC" w:rsidRDefault="00D310AC" w:rsidP="00D310AC">
      <w:pPr>
        <w:ind w:firstLine="709"/>
      </w:pPr>
      <w:r w:rsidRPr="00D310AC">
        <w:t>Изучение и анализ полученной по выявленным приоритетам информации в целях принятия обоснованного решения.</w:t>
      </w:r>
    </w:p>
    <w:p w:rsidR="00D310AC" w:rsidRPr="00D310AC" w:rsidRDefault="00D310AC" w:rsidP="00D310AC">
      <w:pPr>
        <w:ind w:firstLine="709"/>
      </w:pPr>
      <w:r w:rsidRPr="00D310AC">
        <w:t>Инициация и реализация мероприятий в части векторов развития.</w:t>
      </w:r>
    </w:p>
    <w:p w:rsidR="00D310AC" w:rsidRPr="00D310AC" w:rsidRDefault="00D310AC" w:rsidP="00D310AC">
      <w:pPr>
        <w:ind w:firstLine="709"/>
      </w:pPr>
      <w:r w:rsidRPr="00D310AC">
        <w:t>2. Создание информационной основы реализации векторов развития, проведение комплексного анализа технологического потенциала и социально-экономических потребностей муниципального образования.</w:t>
      </w:r>
    </w:p>
    <w:p w:rsidR="00D310AC" w:rsidRPr="00D310AC" w:rsidRDefault="00D310AC" w:rsidP="00D310AC">
      <w:pPr>
        <w:ind w:firstLine="709"/>
      </w:pPr>
      <w:r w:rsidRPr="00D310AC">
        <w:t>3. Организация текущего и стратегического взаимодействия по ключевым вопросам в сфере технологий и механизмов реализации проектов и мероприятий векторов развития с рабочими группами по другим векторам развития.</w:t>
      </w:r>
    </w:p>
    <w:p w:rsidR="00D310AC" w:rsidRPr="00D310AC" w:rsidRDefault="00D310AC" w:rsidP="00D310AC">
      <w:pPr>
        <w:ind w:firstLine="709"/>
      </w:pPr>
      <w:r w:rsidRPr="00D310AC">
        <w:t>Запрос необходимой информации от структурных подразделений Администрации города, организаций всех организационно-правовых форм, расположенных на территории города Сургута.</w:t>
      </w:r>
    </w:p>
    <w:p w:rsidR="00D310AC" w:rsidRPr="00D310AC" w:rsidRDefault="00D310AC" w:rsidP="00D310AC">
      <w:pPr>
        <w:ind w:firstLine="709"/>
      </w:pPr>
      <w:r w:rsidRPr="00D310AC">
        <w:t>4. Установление долговременных связей с ведущими предпринимателями, организациями, научными центрами в целях генерирования новых знаний, создание инфраструктуры для совместной деятельности.</w:t>
      </w:r>
    </w:p>
    <w:p w:rsidR="00D310AC" w:rsidRPr="00D310AC" w:rsidRDefault="00D310AC" w:rsidP="00D310AC">
      <w:pPr>
        <w:ind w:firstLine="709"/>
      </w:pPr>
      <w:r w:rsidRPr="00D310AC">
        <w:t>Поиск совместных целей и приоритетов сотрудничества для получения потенциальных и реальных преимуществ по вопросам науки, технологий</w:t>
      </w:r>
      <w:r w:rsidRPr="00D310AC">
        <w:br/>
        <w:t>и инноваций в целом.</w:t>
      </w:r>
    </w:p>
    <w:p w:rsidR="00D310AC" w:rsidRPr="00D310AC" w:rsidRDefault="00D310AC" w:rsidP="00D310AC">
      <w:pPr>
        <w:ind w:firstLine="709"/>
      </w:pPr>
      <w:r w:rsidRPr="00D310AC">
        <w:t>Рассмотрение поступивших инициатив от физических и юридических лиц, группы лиц, касающихся векторов развития.</w:t>
      </w:r>
    </w:p>
    <w:p w:rsidR="00D310AC" w:rsidRPr="00D310AC" w:rsidRDefault="00D310AC" w:rsidP="00D310AC">
      <w:pPr>
        <w:ind w:firstLine="709"/>
      </w:pPr>
      <w:r w:rsidRPr="00D310AC">
        <w:t>5. Методологическая работа по показателям, характеризующим развитие города Сургута по векторам развития.</w:t>
      </w:r>
    </w:p>
    <w:p w:rsidR="00D310AC" w:rsidRPr="00D310AC" w:rsidRDefault="00D310AC" w:rsidP="00D310AC">
      <w:pPr>
        <w:ind w:firstLine="709"/>
      </w:pPr>
      <w:r w:rsidRPr="00D310AC">
        <w:t xml:space="preserve">Участие в проведении мониторинга и контроля реализации проектов </w:t>
      </w:r>
      <w:r w:rsidRPr="00D310AC">
        <w:br/>
        <w:t>и мероприятий по векторам развития.</w:t>
      </w:r>
    </w:p>
    <w:p w:rsidR="00D310AC" w:rsidRPr="00D310AC" w:rsidRDefault="00D310AC" w:rsidP="00D310AC">
      <w:pPr>
        <w:ind w:firstLine="709"/>
      </w:pPr>
      <w:r w:rsidRPr="00D310AC">
        <w:t xml:space="preserve">6. Организация широкого общественного обсуждения проектов (мероприятий), инвестиционных проектов, инициатив граждан и организаций </w:t>
      </w:r>
      <w:r w:rsidRPr="00D310AC">
        <w:br/>
        <w:t>по векторам развития.</w:t>
      </w:r>
    </w:p>
    <w:p w:rsidR="00D310AC" w:rsidRPr="00D310AC" w:rsidRDefault="00D310AC" w:rsidP="00D310AC">
      <w:pPr>
        <w:ind w:firstLine="709"/>
      </w:pPr>
      <w:r w:rsidRPr="00D310AC">
        <w:t>Систематизация, анализ и</w:t>
      </w:r>
      <w:r w:rsidR="00BE2870">
        <w:t xml:space="preserve">, </w:t>
      </w:r>
      <w:r w:rsidRPr="00D310AC">
        <w:t>при необходимости</w:t>
      </w:r>
      <w:r w:rsidR="00BE2870">
        <w:t>,</w:t>
      </w:r>
      <w:r w:rsidRPr="00D310AC">
        <w:t xml:space="preserve"> учет результатов широкого общественного обсуждения.</w:t>
      </w:r>
    </w:p>
    <w:p w:rsidR="00D310AC" w:rsidRPr="00D310AC" w:rsidRDefault="00D310AC" w:rsidP="00D310AC">
      <w:pPr>
        <w:ind w:firstLine="709"/>
      </w:pPr>
      <w:r w:rsidRPr="00D310AC">
        <w:t>7. Рассмотрение предложений по векторам развития на заседании рабочей группы в целях внесения изменений в документы стратегического планирования.</w:t>
      </w:r>
    </w:p>
    <w:p w:rsidR="00D310AC" w:rsidRPr="00D310AC" w:rsidRDefault="00D310AC" w:rsidP="00D310AC">
      <w:pPr>
        <w:ind w:firstLine="709"/>
      </w:pPr>
      <w:r w:rsidRPr="00D310AC">
        <w:t xml:space="preserve">Подготовка проработанных предложений по векторам развития </w:t>
      </w:r>
      <w:r w:rsidRPr="00D310AC">
        <w:br/>
        <w:t>и представление их ответственному лицу по реализации направления Стратегии социально-экономического развития города Сургута до 2036 года с целевыми ориентирами до 2050 года.</w:t>
      </w:r>
    </w:p>
    <w:p w:rsidR="00D310AC" w:rsidRPr="00D310AC" w:rsidRDefault="00D310AC" w:rsidP="00D310AC">
      <w:pPr>
        <w:ind w:firstLine="709"/>
      </w:pPr>
      <w:r w:rsidRPr="00D310AC">
        <w:t>8. Подготовка предложений по разработке (внесению изменений) муниципальных правовых актов городского округа по векторам развития.</w:t>
      </w:r>
    </w:p>
    <w:p w:rsidR="00D310AC" w:rsidRPr="00D310AC" w:rsidRDefault="00D310AC" w:rsidP="00D310AC">
      <w:pPr>
        <w:ind w:firstLine="709"/>
      </w:pPr>
      <w:r w:rsidRPr="00D310AC">
        <w:t>9. Рассмотрение и утверждение паспортов флагманских проектов, реализуемых в рамках векторов развития.</w:t>
      </w:r>
    </w:p>
    <w:p w:rsidR="00D310AC" w:rsidRPr="00D310AC" w:rsidRDefault="00D310AC" w:rsidP="00D310AC">
      <w:pPr>
        <w:ind w:firstLine="709"/>
      </w:pPr>
      <w:r w:rsidRPr="00D310AC">
        <w:t xml:space="preserve">10. Рассмотрение отчетов о реализации векторов развития по итогам первого полугодия и отчетного года, итогов деятельности рабочей группы </w:t>
      </w:r>
      <w:r w:rsidRPr="00D310AC">
        <w:br/>
        <w:t>за отчетный период, включая результаты поступивших в рабочую группу инициатив. При уточнении данных по итогам отчетного года после проведенного заседания рабочей группы по рассмотрению отчетов о реализации векторов развития повторное заседание рабочей группы не проводится.</w:t>
      </w:r>
    </w:p>
    <w:p w:rsidR="00D310AC" w:rsidRPr="00D310AC" w:rsidRDefault="00D310AC" w:rsidP="00D310AC">
      <w:pPr>
        <w:ind w:firstLine="709"/>
      </w:pPr>
      <w:r w:rsidRPr="00D310AC">
        <w:t>11. Формирование предложений, относящихся к реализации векторов развития, для включения в муниципальные программы Администрации города на планируемый период.</w:t>
      </w:r>
    </w:p>
    <w:p w:rsidR="00D310AC" w:rsidRPr="00D310AC" w:rsidRDefault="00D310AC" w:rsidP="00D310AC">
      <w:pPr>
        <w:ind w:firstLine="709"/>
      </w:pPr>
      <w:r w:rsidRPr="00D310AC">
        <w:t>12. Формирование плана работы рабочей группы с учетом поступивших предложений в план.</w:t>
      </w:r>
    </w:p>
    <w:p w:rsidR="00D310AC" w:rsidRPr="00D310AC" w:rsidRDefault="00D310AC" w:rsidP="00D310AC">
      <w:pPr>
        <w:ind w:firstLine="709"/>
      </w:pP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Раздел III. Состав рабочей группы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1. Рабочая группа имеет руководителя, заместителя руководителя, секретаря и членов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2. Руководитель рабочей группы осуществляет руководство деятель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D310AC">
        <w:rPr>
          <w:rFonts w:eastAsia="Times New Roman" w:cs="Times New Roman"/>
          <w:szCs w:val="28"/>
          <w:lang w:eastAsia="ru-RU"/>
        </w:rPr>
        <w:t>ностью</w:t>
      </w:r>
      <w:proofErr w:type="spellEnd"/>
      <w:r w:rsidRPr="00D310AC">
        <w:rPr>
          <w:rFonts w:eastAsia="Times New Roman" w:cs="Times New Roman"/>
          <w:szCs w:val="28"/>
          <w:lang w:eastAsia="ru-RU"/>
        </w:rPr>
        <w:t xml:space="preserve"> рабочей группы, ведет ее заседания, обеспечивает и контролирует выполнение решений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Заместитель руководителя рабочей группы исполняет функции руководителя рабочей группы в период его отсутствия.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D310AC">
        <w:rPr>
          <w:rFonts w:eastAsia="Times New Roman" w:cs="Times New Roman"/>
          <w:szCs w:val="28"/>
          <w:lang w:eastAsia="ru-RU"/>
        </w:rPr>
        <w:br/>
        <w:t>и приглашенных на заседания лиц, оформляет протоколы заседаний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Секретарь рабочей группы в целях обеспечения публичности информации о деятельности рабочей группы организует размещение на официальном портале Администрации города в разделе «Стратегия 2050» результатов анализа сферы развития города по векторам развития, инициатив по векторам развития, результатов широкого общественного обсуждения, иной информации </w:t>
      </w:r>
      <w:r>
        <w:rPr>
          <w:rFonts w:eastAsia="Times New Roman" w:cs="Times New Roman"/>
          <w:szCs w:val="28"/>
          <w:lang w:eastAsia="ru-RU"/>
        </w:rPr>
        <w:br/>
      </w:r>
      <w:r w:rsidRPr="00D310AC">
        <w:rPr>
          <w:rFonts w:eastAsia="Times New Roman" w:cs="Times New Roman"/>
          <w:szCs w:val="28"/>
          <w:lang w:eastAsia="ru-RU"/>
        </w:rPr>
        <w:t>в соответствии с установленным функционалом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Секретарь рабочей группы осуществляет сбор и формирование отчетов </w:t>
      </w:r>
      <w:r w:rsidRPr="00D310AC">
        <w:rPr>
          <w:rFonts w:eastAsia="Times New Roman" w:cs="Times New Roman"/>
          <w:szCs w:val="28"/>
          <w:lang w:eastAsia="ru-RU"/>
        </w:rPr>
        <w:br/>
        <w:t>о реализации векторов развития по итогам первого полугодия и отчетного года, итогов деятельности рабочей группы за отчетный период, включая результаты поступивших в рабочую группу инициатив для рассмотрения на заседаниях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Раздел IV. Порядок деятельности рабочей группы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1. Заседания рабочей группы созываются по мере необходимости. Заседание рабочей группы считается правомочным, если на нем присутствует                 не менее половины ее членов.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По решению руководителя рабочей группы (при его отсутствии </w:t>
      </w:r>
      <w:r>
        <w:rPr>
          <w:rFonts w:eastAsia="Times New Roman" w:cs="Times New Roman"/>
          <w:szCs w:val="28"/>
          <w:lang w:eastAsia="ru-RU"/>
        </w:rPr>
        <w:t>–</w:t>
      </w:r>
      <w:r w:rsidRPr="00D310AC">
        <w:rPr>
          <w:rFonts w:eastAsia="Times New Roman" w:cs="Times New Roman"/>
          <w:szCs w:val="28"/>
          <w:lang w:eastAsia="ru-RU"/>
        </w:rPr>
        <w:t xml:space="preserve"> заместителя руководителя рабочей группы) может быть проведено заочное голосование, решения на котором принимаются путем опроса ее членов.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2. Решения рабочей группы принимаются простым большинством голосов членов рабочей группы, участвующих в заседании, путем открытого </w:t>
      </w:r>
      <w:proofErr w:type="spellStart"/>
      <w:r w:rsidRPr="00D310AC">
        <w:rPr>
          <w:rFonts w:eastAsia="Times New Roman" w:cs="Times New Roman"/>
          <w:szCs w:val="28"/>
          <w:lang w:eastAsia="ru-RU"/>
        </w:rPr>
        <w:t>голосо</w:t>
      </w:r>
      <w:r>
        <w:rPr>
          <w:rFonts w:eastAsia="Times New Roman" w:cs="Times New Roman"/>
          <w:szCs w:val="28"/>
          <w:lang w:eastAsia="ru-RU"/>
        </w:rPr>
        <w:t>-</w:t>
      </w:r>
      <w:r w:rsidRPr="00D310AC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D310AC">
        <w:rPr>
          <w:rFonts w:eastAsia="Times New Roman" w:cs="Times New Roman"/>
          <w:szCs w:val="28"/>
          <w:lang w:eastAsia="ru-RU"/>
        </w:rPr>
        <w:t xml:space="preserve"> и оформляются протоколом.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 xml:space="preserve">В случае равенства голосов решающим является голос руководителя рабочей группы, </w:t>
      </w:r>
      <w:r w:rsidR="00BE2870">
        <w:rPr>
          <w:rFonts w:eastAsia="Times New Roman" w:cs="Times New Roman"/>
          <w:szCs w:val="28"/>
          <w:lang w:eastAsia="ru-RU"/>
        </w:rPr>
        <w:t xml:space="preserve">а </w:t>
      </w:r>
      <w:r w:rsidRPr="00D310AC">
        <w:rPr>
          <w:rFonts w:eastAsia="Times New Roman" w:cs="Times New Roman"/>
          <w:szCs w:val="28"/>
          <w:lang w:eastAsia="ru-RU"/>
        </w:rPr>
        <w:t xml:space="preserve">при его отсутствии </w:t>
      </w:r>
      <w:r w:rsidR="00BE2870">
        <w:rPr>
          <w:rFonts w:eastAsia="Times New Roman" w:cs="Times New Roman"/>
          <w:szCs w:val="28"/>
          <w:lang w:eastAsia="ru-RU"/>
        </w:rPr>
        <w:t>–</w:t>
      </w:r>
      <w:r w:rsidRPr="00D310AC">
        <w:rPr>
          <w:rFonts w:eastAsia="Times New Roman" w:cs="Times New Roman"/>
          <w:szCs w:val="28"/>
          <w:lang w:eastAsia="ru-RU"/>
        </w:rPr>
        <w:t xml:space="preserve"> голос заместителя руководителя рабочей группы. Решения рабочей группы носят рекомендательный характер.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Протокол готовится в срок не позднее пяти рабочих дней с даты проведения заседания рабочей группы.</w:t>
      </w:r>
    </w:p>
    <w:p w:rsidR="00D310AC" w:rsidRPr="00D310AC" w:rsidRDefault="00D310AC" w:rsidP="00D310AC">
      <w:pPr>
        <w:ind w:firstLine="709"/>
        <w:rPr>
          <w:rFonts w:eastAsia="Times New Roman" w:cs="Times New Roman"/>
          <w:szCs w:val="28"/>
          <w:lang w:eastAsia="ru-RU"/>
        </w:rPr>
      </w:pPr>
      <w:r w:rsidRPr="00D310AC">
        <w:rPr>
          <w:rFonts w:eastAsia="Times New Roman" w:cs="Times New Roman"/>
          <w:szCs w:val="28"/>
          <w:lang w:eastAsia="ru-RU"/>
        </w:rPr>
        <w:t>Протокол подписывает председательствующий и секретарь рабочей группы.</w:t>
      </w:r>
    </w:p>
    <w:p w:rsidR="00D310AC" w:rsidRPr="00D310AC" w:rsidRDefault="00D310AC" w:rsidP="00D310AC">
      <w:pPr>
        <w:suppressAutoHyphens/>
        <w:ind w:firstLine="709"/>
        <w:rPr>
          <w:szCs w:val="28"/>
        </w:rPr>
      </w:pPr>
    </w:p>
    <w:p w:rsidR="00D310AC" w:rsidRPr="00D310AC" w:rsidRDefault="00D310AC" w:rsidP="00D310AC">
      <w:pPr>
        <w:suppressAutoHyphens/>
        <w:ind w:firstLine="709"/>
        <w:rPr>
          <w:szCs w:val="28"/>
        </w:rPr>
      </w:pPr>
    </w:p>
    <w:p w:rsidR="00D310AC" w:rsidRPr="00D310AC" w:rsidRDefault="00D310AC" w:rsidP="00D310AC">
      <w:pPr>
        <w:suppressAutoHyphens/>
        <w:ind w:firstLine="709"/>
        <w:rPr>
          <w:szCs w:val="28"/>
        </w:rPr>
      </w:pPr>
    </w:p>
    <w:p w:rsidR="00D310AC" w:rsidRPr="00D310AC" w:rsidRDefault="00D310AC" w:rsidP="00D310AC">
      <w:pPr>
        <w:suppressAutoHyphens/>
        <w:ind w:firstLine="709"/>
        <w:rPr>
          <w:szCs w:val="28"/>
        </w:rPr>
      </w:pPr>
    </w:p>
    <w:p w:rsidR="00D310AC" w:rsidRPr="00D310AC" w:rsidRDefault="00D310AC" w:rsidP="00D310AC">
      <w:pPr>
        <w:suppressAutoHyphens/>
        <w:ind w:firstLine="709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ind w:firstLine="6663"/>
        <w:jc w:val="left"/>
        <w:rPr>
          <w:szCs w:val="28"/>
        </w:rPr>
      </w:pPr>
    </w:p>
    <w:p w:rsidR="00D310AC" w:rsidRPr="00D310AC" w:rsidRDefault="00D310AC" w:rsidP="00D310AC">
      <w:pPr>
        <w:suppressAutoHyphens/>
        <w:ind w:firstLine="6663"/>
        <w:jc w:val="left"/>
        <w:rPr>
          <w:szCs w:val="28"/>
        </w:rPr>
      </w:pPr>
    </w:p>
    <w:p w:rsidR="00D310AC" w:rsidRPr="00D310AC" w:rsidRDefault="00D310AC" w:rsidP="00D310AC">
      <w:pPr>
        <w:suppressAutoHyphens/>
        <w:ind w:firstLine="5670"/>
        <w:jc w:val="left"/>
        <w:rPr>
          <w:szCs w:val="28"/>
        </w:rPr>
      </w:pPr>
      <w:r w:rsidRPr="00D310AC">
        <w:rPr>
          <w:szCs w:val="28"/>
        </w:rPr>
        <w:t xml:space="preserve">Приложение 2 </w:t>
      </w:r>
    </w:p>
    <w:p w:rsidR="00D310AC" w:rsidRPr="00D310AC" w:rsidRDefault="00D310AC" w:rsidP="00D310AC">
      <w:pPr>
        <w:suppressAutoHyphens/>
        <w:ind w:firstLine="5670"/>
        <w:jc w:val="left"/>
        <w:rPr>
          <w:szCs w:val="28"/>
        </w:rPr>
      </w:pPr>
      <w:r w:rsidRPr="00D310AC">
        <w:rPr>
          <w:szCs w:val="28"/>
        </w:rPr>
        <w:t xml:space="preserve">к распоряжению </w:t>
      </w:r>
    </w:p>
    <w:p w:rsidR="00D310AC" w:rsidRPr="00D310AC" w:rsidRDefault="00D310AC" w:rsidP="00D310AC">
      <w:pPr>
        <w:suppressAutoHyphens/>
        <w:ind w:firstLine="5670"/>
        <w:jc w:val="left"/>
        <w:rPr>
          <w:szCs w:val="28"/>
        </w:rPr>
      </w:pPr>
      <w:r w:rsidRPr="00D310AC">
        <w:rPr>
          <w:szCs w:val="28"/>
        </w:rPr>
        <w:t>Администрации города</w:t>
      </w:r>
    </w:p>
    <w:p w:rsidR="00D310AC" w:rsidRPr="00D310AC" w:rsidRDefault="00D310AC" w:rsidP="00D310AC">
      <w:pPr>
        <w:suppressAutoHyphens/>
        <w:ind w:firstLine="5670"/>
        <w:jc w:val="left"/>
        <w:rPr>
          <w:szCs w:val="28"/>
        </w:rPr>
      </w:pPr>
      <w:r w:rsidRPr="00D310AC">
        <w:rPr>
          <w:szCs w:val="28"/>
        </w:rPr>
        <w:t>от ____________ № _________</w:t>
      </w: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left"/>
        <w:rPr>
          <w:szCs w:val="28"/>
        </w:rPr>
      </w:pPr>
    </w:p>
    <w:p w:rsidR="00D310AC" w:rsidRPr="00D310AC" w:rsidRDefault="00D310AC" w:rsidP="00D310AC">
      <w:pPr>
        <w:suppressAutoHyphens/>
        <w:jc w:val="center"/>
        <w:rPr>
          <w:szCs w:val="28"/>
        </w:rPr>
      </w:pPr>
      <w:r w:rsidRPr="00D310AC">
        <w:rPr>
          <w:szCs w:val="28"/>
        </w:rPr>
        <w:t xml:space="preserve">Состав </w:t>
      </w:r>
    </w:p>
    <w:p w:rsidR="00D310AC" w:rsidRDefault="00D310AC" w:rsidP="00D310AC">
      <w:pPr>
        <w:suppressAutoHyphens/>
        <w:jc w:val="center"/>
        <w:rPr>
          <w:szCs w:val="28"/>
        </w:rPr>
      </w:pPr>
      <w:r w:rsidRPr="00D310AC">
        <w:rPr>
          <w:szCs w:val="28"/>
        </w:rPr>
        <w:t xml:space="preserve">рабочей группы по векторам развития «Общественные территории», «Жилищное строительство» направления «Комфортная среда» </w:t>
      </w:r>
    </w:p>
    <w:p w:rsidR="00D310AC" w:rsidRDefault="00D310AC" w:rsidP="00D310AC">
      <w:pPr>
        <w:suppressAutoHyphens/>
        <w:jc w:val="center"/>
        <w:rPr>
          <w:szCs w:val="28"/>
        </w:rPr>
      </w:pPr>
      <w:r w:rsidRPr="00D310AC">
        <w:rPr>
          <w:szCs w:val="28"/>
        </w:rPr>
        <w:t>Стратегии социально-экономического развития города Сургута до 2036 года</w:t>
      </w:r>
    </w:p>
    <w:p w:rsidR="00D310AC" w:rsidRPr="00D310AC" w:rsidRDefault="00D310AC" w:rsidP="00D310AC">
      <w:pPr>
        <w:suppressAutoHyphens/>
        <w:jc w:val="center"/>
        <w:rPr>
          <w:szCs w:val="28"/>
        </w:rPr>
      </w:pPr>
      <w:r w:rsidRPr="00D310AC">
        <w:rPr>
          <w:szCs w:val="28"/>
        </w:rPr>
        <w:t>с целевыми ориентирами до 2050 года</w:t>
      </w:r>
    </w:p>
    <w:p w:rsidR="00D310AC" w:rsidRPr="00D310AC" w:rsidRDefault="00D310AC" w:rsidP="00D310AC">
      <w:pPr>
        <w:suppressAutoHyphens/>
        <w:ind w:firstLine="708"/>
        <w:rPr>
          <w:szCs w:val="2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6"/>
        <w:gridCol w:w="4253"/>
      </w:tblGrid>
      <w:tr w:rsidR="00D310AC" w:rsidRPr="00D310AC" w:rsidTr="00D310AC">
        <w:trPr>
          <w:trHeight w:val="102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hanging="21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Основной состав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59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Резервный состав</w:t>
            </w:r>
          </w:p>
        </w:tc>
      </w:tr>
      <w:tr w:rsidR="00D310AC" w:rsidRPr="00D310AC" w:rsidTr="00D310AC">
        <w:trPr>
          <w:trHeight w:val="330"/>
        </w:trPr>
        <w:tc>
          <w:tcPr>
            <w:tcW w:w="5266" w:type="dxa"/>
          </w:tcPr>
          <w:p w:rsid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Директор департамента архитектуры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и градостроительства Администрации города, руководитель рабочей группы 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59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-</w:t>
            </w:r>
          </w:p>
        </w:tc>
      </w:tr>
      <w:tr w:rsidR="00D310AC" w:rsidRPr="00D310AC" w:rsidTr="00D310AC">
        <w:trPr>
          <w:trHeight w:val="57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>Заместитель директора департамента архитектуры и градостроительства Администрации города, заместитель руководителя рабочей группы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21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-</w:t>
            </w:r>
          </w:p>
        </w:tc>
      </w:tr>
      <w:tr w:rsidR="00D310AC" w:rsidRPr="00D310AC" w:rsidTr="00D310AC">
        <w:trPr>
          <w:trHeight w:val="57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Начальник отдела комплексного развития департамента архитектуры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>и градостроительства Администрации города, секретарь рабочей группы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специалист-эксперт отдела комплексного развития департамента архитектуры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и градостроительства Администрации города,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>секретарь рабочей группы</w:t>
            </w:r>
          </w:p>
        </w:tc>
      </w:tr>
      <w:tr w:rsidR="00D310AC" w:rsidRPr="00D310AC" w:rsidTr="00107290">
        <w:trPr>
          <w:trHeight w:val="427"/>
        </w:trPr>
        <w:tc>
          <w:tcPr>
            <w:tcW w:w="9519" w:type="dxa"/>
            <w:gridSpan w:val="2"/>
          </w:tcPr>
          <w:p w:rsidR="00D310AC" w:rsidRPr="00D310AC" w:rsidRDefault="00D310AC" w:rsidP="00D310AC">
            <w:pPr>
              <w:suppressAutoHyphens/>
              <w:ind w:firstLine="31"/>
              <w:rPr>
                <w:sz w:val="10"/>
                <w:szCs w:val="10"/>
              </w:rPr>
            </w:pPr>
          </w:p>
          <w:p w:rsidR="00D310AC" w:rsidRPr="00D310AC" w:rsidRDefault="00D310AC" w:rsidP="00D310AC">
            <w:pPr>
              <w:suppressAutoHyphens/>
              <w:ind w:firstLine="31"/>
              <w:rPr>
                <w:szCs w:val="28"/>
              </w:rPr>
            </w:pPr>
            <w:r w:rsidRPr="00D310AC">
              <w:rPr>
                <w:szCs w:val="28"/>
              </w:rPr>
              <w:t>Члены рабочей группы:</w:t>
            </w:r>
          </w:p>
          <w:p w:rsidR="00D310AC" w:rsidRPr="00D310AC" w:rsidRDefault="00D310AC" w:rsidP="00D310AC">
            <w:pPr>
              <w:suppressAutoHyphens/>
              <w:ind w:firstLine="31"/>
              <w:rPr>
                <w:sz w:val="8"/>
                <w:szCs w:val="28"/>
              </w:rPr>
            </w:pPr>
          </w:p>
        </w:tc>
      </w:tr>
      <w:tr w:rsidR="00D310AC" w:rsidRPr="00D310AC" w:rsidTr="00D310AC">
        <w:trPr>
          <w:trHeight w:val="42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21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-</w:t>
            </w:r>
          </w:p>
        </w:tc>
      </w:tr>
      <w:tr w:rsidR="00D310AC" w:rsidRPr="00D310AC" w:rsidTr="00D310AC">
        <w:trPr>
          <w:trHeight w:val="51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Директор департамента городского хозяйства Администрации города 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заместитель директора департамента городского хозяйства </w:t>
            </w:r>
          </w:p>
        </w:tc>
      </w:tr>
      <w:tr w:rsidR="00D310AC" w:rsidRPr="00D310AC" w:rsidTr="00D310AC">
        <w:trPr>
          <w:trHeight w:val="510"/>
        </w:trPr>
        <w:tc>
          <w:tcPr>
            <w:tcW w:w="5266" w:type="dxa"/>
          </w:tcPr>
          <w:p w:rsid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Заместитель директора департамента городского хозяйства Администрации города, курирующий сферу организации природопользования, благоустройства </w:t>
            </w:r>
          </w:p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>и озеленения территории городского округа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начальник отдела по охране окружающей среды, природопользованию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и благоустройству городских территорий департамента городского хозяйства </w:t>
            </w:r>
          </w:p>
        </w:tc>
      </w:tr>
      <w:tr w:rsidR="00D310AC" w:rsidRPr="00D310AC" w:rsidTr="00D310AC">
        <w:trPr>
          <w:trHeight w:val="147"/>
        </w:trPr>
        <w:tc>
          <w:tcPr>
            <w:tcW w:w="5266" w:type="dxa"/>
          </w:tcPr>
          <w:p w:rsid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Директор муниципального </w:t>
            </w:r>
          </w:p>
          <w:p w:rsid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казенного учреждения </w:t>
            </w:r>
          </w:p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«Лесопарковое хозяйство» </w:t>
            </w:r>
          </w:p>
        </w:tc>
        <w:tc>
          <w:tcPr>
            <w:tcW w:w="4253" w:type="dxa"/>
          </w:tcPr>
          <w:p w:rsid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заместитель директора муниципального казенного учреждения «Лесопарковое </w:t>
            </w:r>
          </w:p>
          <w:p w:rsidR="00D310AC" w:rsidRPr="00D310AC" w:rsidRDefault="00D310AC" w:rsidP="00D310AC">
            <w:pPr>
              <w:suppressAutoHyphens/>
              <w:ind w:hanging="2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хозяйство» </w:t>
            </w:r>
          </w:p>
        </w:tc>
      </w:tr>
      <w:tr w:rsidR="00D310AC" w:rsidRPr="00D310AC" w:rsidTr="00D310AC">
        <w:trPr>
          <w:trHeight w:val="51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Директор муниципального </w:t>
            </w:r>
          </w:p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казенного учреждения «Управление капитального строительства» 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firstLine="10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заместитель директора муниципального казенного учреждения «Управление капитального строительства» </w:t>
            </w:r>
          </w:p>
        </w:tc>
      </w:tr>
      <w:tr w:rsidR="00D310AC" w:rsidRPr="00D310AC" w:rsidTr="00D310AC">
        <w:trPr>
          <w:trHeight w:val="73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Директор муниципального </w:t>
            </w:r>
          </w:p>
          <w:p w:rsidR="00D310AC" w:rsidRPr="00D310AC" w:rsidRDefault="00D310AC" w:rsidP="00D310AC">
            <w:pPr>
              <w:suppressAutoHyphens/>
              <w:ind w:firstLine="31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казенного учреждения «Наш город» 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firstLine="10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заместитель директора муниципального казенного учреждения «Наш город» </w:t>
            </w:r>
          </w:p>
        </w:tc>
      </w:tr>
      <w:tr w:rsidR="00D310AC" w:rsidRPr="00D310AC" w:rsidTr="00D310AC">
        <w:trPr>
          <w:trHeight w:val="510"/>
        </w:trPr>
        <w:tc>
          <w:tcPr>
            <w:tcW w:w="5266" w:type="dxa"/>
          </w:tcPr>
          <w:p w:rsidR="00D310AC" w:rsidRPr="00D310AC" w:rsidRDefault="00D310AC" w:rsidP="00D310AC">
            <w:pPr>
              <w:suppressAutoHyphens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Тищенко </w:t>
            </w:r>
          </w:p>
          <w:p w:rsidR="00D310AC" w:rsidRPr="00D310AC" w:rsidRDefault="00D310AC" w:rsidP="00D310AC">
            <w:pPr>
              <w:suppressAutoHyphens/>
              <w:ind w:right="-110"/>
              <w:jc w:val="left"/>
              <w:rPr>
                <w:szCs w:val="28"/>
              </w:rPr>
            </w:pPr>
            <w:r w:rsidRPr="00D310AC">
              <w:rPr>
                <w:szCs w:val="28"/>
              </w:rPr>
              <w:t xml:space="preserve">Ольга </w:t>
            </w:r>
            <w:proofErr w:type="spellStart"/>
            <w:r w:rsidRPr="00D310AC">
              <w:rPr>
                <w:szCs w:val="28"/>
              </w:rPr>
              <w:t>Адольфовна</w:t>
            </w:r>
            <w:proofErr w:type="spellEnd"/>
            <w:r w:rsidRPr="00D310AC">
              <w:rPr>
                <w:szCs w:val="28"/>
              </w:rPr>
              <w:t xml:space="preserve"> – член Общественного совета по вопросам жилищно-коммунального хозяйства </w:t>
            </w:r>
            <w:r>
              <w:rPr>
                <w:szCs w:val="28"/>
              </w:rPr>
              <w:br/>
            </w:r>
            <w:r w:rsidRPr="00D310AC">
              <w:rPr>
                <w:szCs w:val="28"/>
              </w:rPr>
              <w:t xml:space="preserve">при Администрации города </w:t>
            </w:r>
          </w:p>
          <w:p w:rsidR="00D310AC" w:rsidRPr="00D310AC" w:rsidRDefault="00D310AC" w:rsidP="00D310AC">
            <w:pPr>
              <w:suppressAutoHyphens/>
              <w:jc w:val="left"/>
              <w:rPr>
                <w:szCs w:val="28"/>
                <w:highlight w:val="yellow"/>
              </w:rPr>
            </w:pPr>
            <w:r w:rsidRPr="00D310AC">
              <w:rPr>
                <w:szCs w:val="28"/>
              </w:rPr>
              <w:t>(по согласованию)</w:t>
            </w:r>
          </w:p>
        </w:tc>
        <w:tc>
          <w:tcPr>
            <w:tcW w:w="4253" w:type="dxa"/>
          </w:tcPr>
          <w:p w:rsidR="00D310AC" w:rsidRPr="00D310AC" w:rsidRDefault="00D310AC" w:rsidP="00D310AC">
            <w:pPr>
              <w:suppressAutoHyphens/>
              <w:ind w:firstLine="7"/>
              <w:jc w:val="center"/>
              <w:rPr>
                <w:szCs w:val="28"/>
              </w:rPr>
            </w:pPr>
            <w:r w:rsidRPr="00D310AC">
              <w:rPr>
                <w:szCs w:val="28"/>
              </w:rPr>
              <w:t>-</w:t>
            </w:r>
          </w:p>
        </w:tc>
      </w:tr>
    </w:tbl>
    <w:p w:rsidR="00D310AC" w:rsidRPr="00D310AC" w:rsidRDefault="00D310AC" w:rsidP="00D310AC">
      <w:pPr>
        <w:suppressAutoHyphens/>
        <w:ind w:firstLine="708"/>
        <w:rPr>
          <w:szCs w:val="28"/>
        </w:rPr>
      </w:pPr>
    </w:p>
    <w:p w:rsidR="00AA7956" w:rsidRPr="00D310AC" w:rsidRDefault="00AA7956" w:rsidP="00D310AC"/>
    <w:sectPr w:rsidR="00AA7956" w:rsidRPr="00D310AC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63" w:rsidRDefault="005D1F63">
      <w:r>
        <w:separator/>
      </w:r>
    </w:p>
  </w:endnote>
  <w:endnote w:type="continuationSeparator" w:id="0">
    <w:p w:rsidR="005D1F63" w:rsidRDefault="005D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40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40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4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63" w:rsidRDefault="005D1F63">
      <w:r>
        <w:separator/>
      </w:r>
    </w:p>
  </w:footnote>
  <w:footnote w:type="continuationSeparator" w:id="0">
    <w:p w:rsidR="005D1F63" w:rsidRDefault="005D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40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049A2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49A2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49A2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49A2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049A2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6E704F" w:rsidRDefault="009840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84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AC"/>
    <w:rsid w:val="000450FC"/>
    <w:rsid w:val="001A5479"/>
    <w:rsid w:val="001C51BE"/>
    <w:rsid w:val="00337298"/>
    <w:rsid w:val="004645D6"/>
    <w:rsid w:val="005D1F63"/>
    <w:rsid w:val="00711D44"/>
    <w:rsid w:val="0098408B"/>
    <w:rsid w:val="00AA7956"/>
    <w:rsid w:val="00BE2870"/>
    <w:rsid w:val="00C420B6"/>
    <w:rsid w:val="00C5646A"/>
    <w:rsid w:val="00C8636C"/>
    <w:rsid w:val="00D049A2"/>
    <w:rsid w:val="00D11F14"/>
    <w:rsid w:val="00D310AC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E976AB-22F9-45E4-846B-16C6A7B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3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10173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2025-11-21T12:00:00Z</cp:lastPrinted>
  <dcterms:created xsi:type="dcterms:W3CDTF">2025-11-25T10:25:00Z</dcterms:created>
  <dcterms:modified xsi:type="dcterms:W3CDTF">2025-11-25T10:25:00Z</dcterms:modified>
</cp:coreProperties>
</file>