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659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6596" w:rsidRDefault="00CA659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52" r:id="rId7"/>
              </w:object>
            </w:r>
          </w:p>
          <w:p w:rsidR="00CA6596" w:rsidRDefault="00CA659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6596" w:rsidRPr="005541F0" w:rsidRDefault="00CA65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6596" w:rsidRDefault="00CA65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6596" w:rsidRPr="005541F0" w:rsidRDefault="00CA65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6596" w:rsidRPr="005649E4" w:rsidRDefault="00CA65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6596" w:rsidRPr="00656C1A" w:rsidRDefault="00CA659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A6596" w:rsidRPr="005541F0" w:rsidRDefault="00CA65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6596" w:rsidRPr="005541F0" w:rsidRDefault="00CA659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6596" w:rsidRPr="00656C1A" w:rsidRDefault="00CA659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A6596" w:rsidRDefault="00CA659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6596" w:rsidRPr="003262E3" w:rsidRDefault="00CA659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659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6596" w:rsidRPr="00F8214F" w:rsidRDefault="00CA6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6596" w:rsidRPr="00F8214F" w:rsidRDefault="0094412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6596" w:rsidRPr="00F8214F" w:rsidRDefault="00CA6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6596" w:rsidRPr="00F8214F" w:rsidRDefault="0094412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6596" w:rsidRPr="00A63FB0" w:rsidRDefault="00CA659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6596" w:rsidRPr="00A3761A" w:rsidRDefault="0094412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6596" w:rsidRPr="00F8214F" w:rsidRDefault="00CA659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6596" w:rsidRPr="00AB4194" w:rsidRDefault="00CA6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6596" w:rsidRPr="00F8214F" w:rsidRDefault="0094412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1770</w:t>
            </w:r>
          </w:p>
        </w:tc>
      </w:tr>
    </w:tbl>
    <w:p w:rsidR="00CA6596" w:rsidRDefault="00CA6596" w:rsidP="009E222F"/>
    <w:p w:rsidR="00CA6596" w:rsidRDefault="00CA6596" w:rsidP="00CA6596">
      <w:pPr>
        <w:tabs>
          <w:tab w:val="decimal" w:pos="4536"/>
        </w:tabs>
        <w:ind w:right="5102"/>
        <w:jc w:val="left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О внесении изменений </w:t>
      </w:r>
      <w:r w:rsidRPr="00CA6596">
        <w:rPr>
          <w:rFonts w:eastAsia="Calibri" w:cs="Times New Roman"/>
          <w:szCs w:val="28"/>
        </w:rPr>
        <w:br/>
        <w:t xml:space="preserve">в постановление Администрации </w:t>
      </w:r>
    </w:p>
    <w:p w:rsidR="00CA6596" w:rsidRPr="00CA6596" w:rsidRDefault="00CA6596" w:rsidP="00CA6596">
      <w:pPr>
        <w:tabs>
          <w:tab w:val="decimal" w:pos="4536"/>
        </w:tabs>
        <w:ind w:right="5102"/>
        <w:jc w:val="left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города от 12.12.2024 № 6699 </w:t>
      </w:r>
    </w:p>
    <w:p w:rsidR="00CA6596" w:rsidRPr="00CA6596" w:rsidRDefault="00CA6596" w:rsidP="00CA6596">
      <w:pPr>
        <w:tabs>
          <w:tab w:val="decimal" w:pos="4536"/>
        </w:tabs>
        <w:ind w:right="5102"/>
        <w:jc w:val="left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«Об утверждении муниципальной программы «</w:t>
      </w:r>
      <w:r w:rsidRPr="00CA6596">
        <w:rPr>
          <w:rFonts w:eastAsia="Times New Roman" w:cs="Times New Roman"/>
          <w:bCs/>
          <w:szCs w:val="28"/>
          <w:lang w:eastAsia="ru-RU"/>
        </w:rPr>
        <w:t>Развитие</w:t>
      </w:r>
      <w:r w:rsidRPr="00CA6596">
        <w:rPr>
          <w:rFonts w:eastAsia="Times New Roman" w:cs="Times New Roman"/>
          <w:bCs/>
          <w:szCs w:val="28"/>
          <w:lang w:eastAsia="ru-RU"/>
        </w:rPr>
        <w:br/>
        <w:t>коммунального комплекса</w:t>
      </w:r>
      <w:r w:rsidRPr="00CA6596">
        <w:rPr>
          <w:rFonts w:eastAsia="Times New Roman" w:cs="Times New Roman"/>
          <w:bCs/>
          <w:szCs w:val="28"/>
          <w:lang w:eastAsia="ru-RU"/>
        </w:rPr>
        <w:br/>
        <w:t>и повышение энергетической эффективности в городе Сургуте</w:t>
      </w:r>
      <w:r w:rsidRPr="00CA6596">
        <w:rPr>
          <w:rFonts w:eastAsia="Calibri" w:cs="Times New Roman"/>
          <w:szCs w:val="28"/>
        </w:rPr>
        <w:t>»</w:t>
      </w:r>
      <w:r w:rsidRPr="00CA6596">
        <w:rPr>
          <w:rFonts w:eastAsia="Calibri" w:cs="Times New Roman"/>
          <w:szCs w:val="28"/>
        </w:rPr>
        <w:br/>
        <w:t>и признании утратившими силу некоторых муниципальных</w:t>
      </w:r>
    </w:p>
    <w:p w:rsidR="00CA6596" w:rsidRPr="00CA6596" w:rsidRDefault="00CA6596" w:rsidP="00CA6596">
      <w:pPr>
        <w:tabs>
          <w:tab w:val="decimal" w:pos="4536"/>
        </w:tabs>
        <w:ind w:right="5102"/>
        <w:jc w:val="left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правовых актов»</w:t>
      </w:r>
      <w:r w:rsidRPr="00CA6596">
        <w:rPr>
          <w:rFonts w:eastAsia="Calibri" w:cs="Times New Roman"/>
          <w:szCs w:val="28"/>
        </w:rPr>
        <w:br/>
      </w:r>
    </w:p>
    <w:p w:rsidR="00CA6596" w:rsidRPr="00CA6596" w:rsidRDefault="00CA6596" w:rsidP="00CA6596">
      <w:pPr>
        <w:tabs>
          <w:tab w:val="left" w:pos="4536"/>
        </w:tabs>
        <w:jc w:val="left"/>
        <w:rPr>
          <w:rFonts w:eastAsia="Calibri" w:cs="Times New Roman"/>
          <w:szCs w:val="28"/>
        </w:rPr>
      </w:pPr>
    </w:p>
    <w:p w:rsidR="00CA6596" w:rsidRPr="00CA6596" w:rsidRDefault="00CA6596" w:rsidP="00CA6596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CA6596">
        <w:rPr>
          <w:rFonts w:eastAsia="Calibri" w:cs="Times New Roman"/>
          <w:bCs/>
          <w:szCs w:val="28"/>
        </w:rPr>
        <w:t>В соответствии со статьей 179 Бюджетного кодекса Российской Федерации</w:t>
      </w:r>
      <w:r w:rsidRPr="00CA6596">
        <w:rPr>
          <w:rFonts w:eastAsia="Calibri" w:cs="Times New Roman"/>
          <w:szCs w:val="28"/>
        </w:rPr>
        <w:t>,</w:t>
      </w:r>
      <w:r w:rsidRPr="00CA6596">
        <w:rPr>
          <w:rFonts w:eastAsia="Calibri" w:cs="Times New Roman"/>
          <w:bCs/>
          <w:szCs w:val="28"/>
        </w:rPr>
        <w:t xml:space="preserve"> решением Думы города </w:t>
      </w:r>
      <w:r w:rsidRPr="00CA6596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 w:rsidR="00144345">
        <w:rPr>
          <w:rFonts w:eastAsia="Calibri" w:cs="Times New Roman"/>
          <w:szCs w:val="28"/>
        </w:rPr>
        <w:br/>
      </w:r>
      <w:r w:rsidRPr="00CA6596">
        <w:rPr>
          <w:rFonts w:eastAsia="Calibri" w:cs="Times New Roman"/>
          <w:szCs w:val="28"/>
        </w:rPr>
        <w:t>на 2026 год и плановый период 2027 – 2028 годов»,</w:t>
      </w:r>
      <w:r w:rsidRPr="00CA6596">
        <w:rPr>
          <w:rFonts w:eastAsia="Calibri" w:cs="Times New Roman"/>
          <w:bCs/>
          <w:szCs w:val="28"/>
        </w:rPr>
        <w:t xml:space="preserve"> постановлением Администрации города от 08.08.2024 № 4121 </w:t>
      </w:r>
      <w:r w:rsidRPr="00CA6596">
        <w:rPr>
          <w:rFonts w:eastAsia="Calibri" w:cs="Times New Roman"/>
          <w:szCs w:val="28"/>
        </w:rPr>
        <w:t>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</w:t>
      </w:r>
      <w:r w:rsidRPr="00CA6596">
        <w:rPr>
          <w:rFonts w:eastAsia="Calibri" w:cs="Times New Roman"/>
          <w:bCs/>
          <w:szCs w:val="28"/>
        </w:rPr>
        <w:t>»,</w:t>
      </w:r>
      <w:r w:rsidRPr="00CA6596">
        <w:rPr>
          <w:rFonts w:eastAsia="Calibri" w:cs="Times New Roman"/>
          <w:szCs w:val="28"/>
        </w:rPr>
        <w:t xml:space="preserve"> распоряжением Администрации города от 30.12.2005 № 3686 </w:t>
      </w:r>
      <w:r w:rsidR="00144345">
        <w:rPr>
          <w:rFonts w:eastAsia="Calibri" w:cs="Times New Roman"/>
          <w:szCs w:val="28"/>
        </w:rPr>
        <w:br/>
      </w:r>
      <w:r w:rsidRPr="00CA6596">
        <w:rPr>
          <w:rFonts w:eastAsia="Calibri" w:cs="Times New Roman"/>
          <w:szCs w:val="28"/>
        </w:rPr>
        <w:t>«Об утверждении Регламента Администрации города»: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1. Внести в постановление Администрации города от 12.12.2024 № 6699 </w:t>
      </w:r>
      <w:r>
        <w:rPr>
          <w:rFonts w:eastAsia="Calibri" w:cs="Times New Roman"/>
          <w:szCs w:val="28"/>
        </w:rPr>
        <w:br/>
      </w:r>
      <w:r w:rsidRPr="00CA6596">
        <w:rPr>
          <w:rFonts w:eastAsia="Calibri" w:cs="Times New Roman"/>
          <w:color w:val="22272F"/>
          <w:szCs w:val="28"/>
          <w:shd w:val="clear" w:color="auto" w:fill="FFFFFF"/>
        </w:rPr>
        <w:t xml:space="preserve">«Об утверждении </w:t>
      </w:r>
      <w:r w:rsidRPr="00CA6596">
        <w:rPr>
          <w:rFonts w:eastAsia="Calibri" w:cs="Times New Roman"/>
          <w:szCs w:val="28"/>
        </w:rPr>
        <w:t>муниципальной программы «</w:t>
      </w:r>
      <w:r w:rsidRPr="00CA6596">
        <w:rPr>
          <w:rFonts w:eastAsia="Times New Roman" w:cs="Times New Roman"/>
          <w:bCs/>
          <w:szCs w:val="28"/>
          <w:lang w:eastAsia="ru-RU"/>
        </w:rPr>
        <w:t>Развитие коммунального комплекса и повышение энергетической эффективности в городе Сургуте</w:t>
      </w:r>
      <w:r w:rsidRPr="00CA6596">
        <w:rPr>
          <w:rFonts w:eastAsia="Calibri" w:cs="Times New Roman"/>
          <w:szCs w:val="28"/>
        </w:rPr>
        <w:t xml:space="preserve">» </w:t>
      </w:r>
      <w:r w:rsidR="00144345">
        <w:rPr>
          <w:rFonts w:eastAsia="Calibri" w:cs="Times New Roman"/>
          <w:szCs w:val="28"/>
        </w:rPr>
        <w:br/>
      </w:r>
      <w:r w:rsidRPr="00CA6596">
        <w:rPr>
          <w:rFonts w:eastAsia="Calibri" w:cs="Times New Roman"/>
          <w:szCs w:val="28"/>
        </w:rPr>
        <w:t xml:space="preserve">и признании утратившими силу некоторых муниципальных правовых актов» </w:t>
      </w:r>
      <w:r w:rsidR="00144345">
        <w:rPr>
          <w:rFonts w:eastAsia="Calibri" w:cs="Times New Roman"/>
          <w:szCs w:val="28"/>
        </w:rPr>
        <w:br/>
      </w:r>
      <w:r w:rsidRPr="00CA6596">
        <w:rPr>
          <w:rFonts w:eastAsia="Calibri" w:cs="Times New Roman"/>
          <w:szCs w:val="28"/>
        </w:rPr>
        <w:t>(с изменениями от 27.02.2025 № 888, 24.10.2025 № 7069, 26.12.2025 № 9824) следующие изменения: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в приложении 1 к постановлению: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1.1. В пункте 1 таблицы: 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- цифры «3 691 778 319,19» заменить цифрами «5</w:t>
      </w:r>
      <w:r w:rsidR="00A23028">
        <w:rPr>
          <w:rFonts w:eastAsia="Calibri" w:cs="Times New Roman"/>
          <w:szCs w:val="28"/>
        </w:rPr>
        <w:t xml:space="preserve"> </w:t>
      </w:r>
      <w:r w:rsidRPr="00CA6596">
        <w:rPr>
          <w:rFonts w:eastAsia="Calibri" w:cs="Times New Roman"/>
          <w:szCs w:val="28"/>
        </w:rPr>
        <w:t>773</w:t>
      </w:r>
      <w:r w:rsidR="00A23028">
        <w:rPr>
          <w:rFonts w:eastAsia="Calibri" w:cs="Times New Roman"/>
          <w:szCs w:val="28"/>
        </w:rPr>
        <w:t xml:space="preserve"> </w:t>
      </w:r>
      <w:r w:rsidRPr="00CA6596">
        <w:rPr>
          <w:rFonts w:eastAsia="Calibri" w:cs="Times New Roman"/>
          <w:szCs w:val="28"/>
        </w:rPr>
        <w:t>902 217,48»;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pacing w:val="-4"/>
          <w:szCs w:val="28"/>
        </w:rPr>
        <w:lastRenderedPageBreak/>
        <w:t>- слова «Государственная программа Ханты-Мансийского автономного округа –</w:t>
      </w:r>
      <w:r w:rsidRPr="00CA6596">
        <w:rPr>
          <w:rFonts w:eastAsia="Calibri" w:cs="Times New Roman"/>
          <w:szCs w:val="28"/>
        </w:rPr>
        <w:t xml:space="preserve"> Югры «Строительство» заменить словами «Государственная программа Ханты-Мансийского автономного округа – Югры «Развитие жилищно-коммунального комплекса и энергетики».</w:t>
      </w:r>
    </w:p>
    <w:p w:rsidR="00CA6596" w:rsidRPr="00CA6596" w:rsidRDefault="00CA6596" w:rsidP="00CA6596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1.2. Пункты 2, 3</w:t>
      </w:r>
      <w:r w:rsidR="00A23028">
        <w:rPr>
          <w:rFonts w:eastAsia="Calibri" w:cs="Times New Roman"/>
          <w:szCs w:val="28"/>
        </w:rPr>
        <w:t>, 4</w:t>
      </w:r>
      <w:r w:rsidRPr="00CA6596">
        <w:rPr>
          <w:rFonts w:eastAsia="Calibri" w:cs="Times New Roman"/>
          <w:szCs w:val="28"/>
        </w:rPr>
        <w:t xml:space="preserve"> </w:t>
      </w:r>
      <w:r w:rsidRPr="00CA6596">
        <w:rPr>
          <w:rFonts w:eastAsia="Calibri" w:cs="Times New Roman"/>
          <w:bCs/>
          <w:szCs w:val="28"/>
        </w:rPr>
        <w:t xml:space="preserve">изложить в новой редакции согласно приложению </w:t>
      </w:r>
      <w:r w:rsidR="00A23028">
        <w:rPr>
          <w:rFonts w:eastAsia="Calibri" w:cs="Times New Roman"/>
          <w:bCs/>
          <w:szCs w:val="28"/>
        </w:rPr>
        <w:br/>
      </w:r>
      <w:r w:rsidRPr="00CA6596">
        <w:rPr>
          <w:rFonts w:eastAsia="Calibri" w:cs="Times New Roman"/>
          <w:bCs/>
          <w:szCs w:val="28"/>
        </w:rPr>
        <w:t>к настоящему постановлению.</w:t>
      </w:r>
    </w:p>
    <w:p w:rsidR="00CA6596" w:rsidRPr="00CA6596" w:rsidRDefault="00CA6596" w:rsidP="00CA6596">
      <w:pPr>
        <w:ind w:firstLine="709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A6596" w:rsidRPr="00CA6596" w:rsidRDefault="00CA6596" w:rsidP="00CA6596">
      <w:pPr>
        <w:ind w:firstLine="709"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Pr="00CA6596">
          <w:rPr>
            <w:rFonts w:eastAsia="Calibri" w:cs="Times New Roman"/>
            <w:szCs w:val="28"/>
            <w:lang w:val="en-US"/>
          </w:rPr>
          <w:t>DOC</w:t>
        </w:r>
        <w:r w:rsidRPr="00CA6596">
          <w:rPr>
            <w:rFonts w:eastAsia="Calibri" w:cs="Times New Roman"/>
            <w:szCs w:val="28"/>
          </w:rPr>
          <w:t>SURGUT.RU</w:t>
        </w:r>
      </w:hyperlink>
      <w:r w:rsidRPr="00CA6596">
        <w:rPr>
          <w:rFonts w:eastAsia="Calibri" w:cs="Times New Roman"/>
          <w:szCs w:val="28"/>
        </w:rPr>
        <w:t>.</w:t>
      </w:r>
    </w:p>
    <w:p w:rsidR="00CA6596" w:rsidRPr="00CA6596" w:rsidRDefault="00CA6596" w:rsidP="00CA6596">
      <w:pPr>
        <w:tabs>
          <w:tab w:val="left" w:pos="-142"/>
        </w:tabs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01.01.2026. </w:t>
      </w:r>
    </w:p>
    <w:p w:rsidR="00CA6596" w:rsidRPr="00144345" w:rsidRDefault="00CA6596" w:rsidP="00CA659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Calibri" w:cs="Times New Roman"/>
          <w:spacing w:val="-4"/>
          <w:szCs w:val="28"/>
        </w:rPr>
      </w:pPr>
      <w:r w:rsidRPr="00CA6596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144345">
        <w:rPr>
          <w:rFonts w:eastAsia="Calibri" w:cs="Times New Roman"/>
          <w:szCs w:val="28"/>
        </w:rPr>
        <w:br/>
      </w:r>
      <w:r w:rsidRPr="00144345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A6596" w:rsidRPr="00CA6596" w:rsidRDefault="00CA6596" w:rsidP="00CA6596">
      <w:pPr>
        <w:tabs>
          <w:tab w:val="left" w:pos="0"/>
          <w:tab w:val="left" w:pos="8175"/>
        </w:tabs>
        <w:suppressAutoHyphens/>
        <w:ind w:firstLine="709"/>
        <w:rPr>
          <w:rFonts w:eastAsia="Calibri" w:cs="Times New Roman"/>
          <w:szCs w:val="28"/>
        </w:rPr>
      </w:pPr>
    </w:p>
    <w:p w:rsidR="00CA6596" w:rsidRPr="00CA6596" w:rsidRDefault="00CA6596" w:rsidP="00CA6596">
      <w:pPr>
        <w:tabs>
          <w:tab w:val="left" w:pos="0"/>
          <w:tab w:val="left" w:pos="8175"/>
        </w:tabs>
        <w:suppressAutoHyphens/>
        <w:rPr>
          <w:rFonts w:eastAsia="Calibri" w:cs="Times New Roman"/>
          <w:szCs w:val="28"/>
        </w:rPr>
      </w:pPr>
    </w:p>
    <w:p w:rsidR="00CA6596" w:rsidRPr="00CA6596" w:rsidRDefault="00CA6596" w:rsidP="00CA6596">
      <w:pPr>
        <w:tabs>
          <w:tab w:val="left" w:pos="0"/>
          <w:tab w:val="left" w:pos="8175"/>
        </w:tabs>
        <w:suppressAutoHyphens/>
        <w:rPr>
          <w:rFonts w:eastAsia="Calibri" w:cs="Times New Roman"/>
          <w:szCs w:val="28"/>
        </w:rPr>
      </w:pPr>
    </w:p>
    <w:p w:rsidR="00CA6596" w:rsidRPr="00CA6596" w:rsidRDefault="00CA6596" w:rsidP="00CA6596">
      <w:pPr>
        <w:tabs>
          <w:tab w:val="left" w:pos="0"/>
          <w:tab w:val="left" w:pos="1134"/>
        </w:tabs>
        <w:suppressAutoHyphens/>
        <w:rPr>
          <w:rFonts w:eastAsia="Calibri" w:cs="Times New Roman"/>
          <w:szCs w:val="28"/>
        </w:rPr>
      </w:pPr>
      <w:r w:rsidRPr="00CA6596">
        <w:rPr>
          <w:rFonts w:eastAsia="Calibri" w:cs="Times New Roman"/>
          <w:szCs w:val="28"/>
        </w:rPr>
        <w:t xml:space="preserve">Глава города                             </w:t>
      </w:r>
      <w:r>
        <w:rPr>
          <w:rFonts w:eastAsia="Calibri" w:cs="Times New Roman"/>
          <w:szCs w:val="28"/>
        </w:rPr>
        <w:t xml:space="preserve"> </w:t>
      </w:r>
      <w:r w:rsidRPr="00CA6596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 xml:space="preserve">   </w:t>
      </w:r>
      <w:r w:rsidRPr="00CA6596">
        <w:rPr>
          <w:rFonts w:eastAsia="Calibri" w:cs="Times New Roman"/>
          <w:szCs w:val="28"/>
        </w:rPr>
        <w:t xml:space="preserve">                        </w:t>
      </w:r>
      <w:r w:rsidR="00144345">
        <w:rPr>
          <w:rFonts w:eastAsia="Calibri" w:cs="Times New Roman"/>
          <w:szCs w:val="28"/>
        </w:rPr>
        <w:t xml:space="preserve"> </w:t>
      </w:r>
      <w:r w:rsidRPr="00CA6596">
        <w:rPr>
          <w:rFonts w:eastAsia="Calibri" w:cs="Times New Roman"/>
          <w:szCs w:val="28"/>
        </w:rPr>
        <w:t xml:space="preserve">                       М.Н. Слепов</w:t>
      </w:r>
    </w:p>
    <w:p w:rsidR="00CA6596" w:rsidRDefault="00CA6596" w:rsidP="00CA6596">
      <w:pPr>
        <w:tabs>
          <w:tab w:val="left" w:pos="0"/>
          <w:tab w:val="left" w:pos="1134"/>
        </w:tabs>
        <w:suppressAutoHyphens/>
        <w:rPr>
          <w:rFonts w:eastAsia="Calibri" w:cs="Times New Roman"/>
          <w:szCs w:val="28"/>
        </w:rPr>
        <w:sectPr w:rsidR="00CA6596" w:rsidSect="00144345">
          <w:headerReference w:type="default" r:id="rId9"/>
          <w:pgSz w:w="11907" w:h="16840" w:code="9"/>
          <w:pgMar w:top="1134" w:right="567" w:bottom="567" w:left="1701" w:header="709" w:footer="709" w:gutter="0"/>
          <w:pgNumType w:start="1"/>
          <w:cols w:space="708"/>
          <w:docGrid w:linePitch="360"/>
        </w:sectPr>
      </w:pPr>
    </w:p>
    <w:p w:rsidR="00CA6596" w:rsidRPr="00CA6596" w:rsidRDefault="00CA6596" w:rsidP="00CA6596">
      <w:pPr>
        <w:ind w:firstLine="17719"/>
        <w:jc w:val="left"/>
        <w:rPr>
          <w:rFonts w:cs="Times New Roman"/>
        </w:rPr>
      </w:pPr>
      <w:r w:rsidRPr="00CA6596">
        <w:rPr>
          <w:rFonts w:cs="Times New Roman"/>
        </w:rPr>
        <w:lastRenderedPageBreak/>
        <w:t xml:space="preserve">Приложение </w:t>
      </w:r>
    </w:p>
    <w:p w:rsidR="00CA6596" w:rsidRPr="00CA6596" w:rsidRDefault="00CA6596" w:rsidP="00CA6596">
      <w:pPr>
        <w:ind w:firstLine="17719"/>
        <w:jc w:val="left"/>
        <w:rPr>
          <w:rFonts w:cs="Times New Roman"/>
        </w:rPr>
      </w:pPr>
      <w:r w:rsidRPr="00CA6596">
        <w:rPr>
          <w:rFonts w:cs="Times New Roman"/>
        </w:rPr>
        <w:t xml:space="preserve">к постановлению </w:t>
      </w:r>
    </w:p>
    <w:p w:rsidR="00CA6596" w:rsidRPr="00CA6596" w:rsidRDefault="00CA6596" w:rsidP="00CA6596">
      <w:pPr>
        <w:ind w:firstLine="17719"/>
        <w:jc w:val="left"/>
        <w:rPr>
          <w:rFonts w:cs="Times New Roman"/>
        </w:rPr>
      </w:pPr>
      <w:r w:rsidRPr="00CA6596">
        <w:rPr>
          <w:rFonts w:cs="Times New Roman"/>
        </w:rPr>
        <w:t xml:space="preserve">Администрации города </w:t>
      </w:r>
    </w:p>
    <w:p w:rsidR="00CA6596" w:rsidRPr="00CA6596" w:rsidRDefault="00CA6596" w:rsidP="00CA6596">
      <w:pPr>
        <w:ind w:firstLine="17719"/>
        <w:jc w:val="left"/>
        <w:rPr>
          <w:rFonts w:cs="Times New Roman"/>
        </w:rPr>
      </w:pPr>
      <w:r w:rsidRPr="00CA6596">
        <w:rPr>
          <w:rFonts w:cs="Times New Roman"/>
        </w:rPr>
        <w:t>от _____________ № ______</w:t>
      </w:r>
      <w:r w:rsidR="007A7A8C">
        <w:rPr>
          <w:rFonts w:cs="Times New Roman"/>
        </w:rPr>
        <w:t>__</w:t>
      </w:r>
      <w:r w:rsidRPr="00CA6596">
        <w:rPr>
          <w:rFonts w:cs="Times New Roman"/>
        </w:rPr>
        <w:t>_</w:t>
      </w:r>
    </w:p>
    <w:p w:rsidR="00CA6596" w:rsidRPr="00CA6596" w:rsidRDefault="00CA6596" w:rsidP="00CA6596">
      <w:pPr>
        <w:jc w:val="left"/>
        <w:rPr>
          <w:rFonts w:cs="Times New Roman"/>
        </w:rPr>
      </w:pPr>
    </w:p>
    <w:p w:rsidR="00CA6596" w:rsidRPr="00CA6596" w:rsidRDefault="00CA6596" w:rsidP="00A23028">
      <w:pPr>
        <w:ind w:firstLine="709"/>
        <w:jc w:val="left"/>
        <w:rPr>
          <w:rFonts w:cs="Times New Roman"/>
        </w:rPr>
      </w:pPr>
      <w:bookmarkStart w:id="5" w:name="sub_20200"/>
      <w:r w:rsidRPr="00CA6596">
        <w:rPr>
          <w:rFonts w:cs="Times New Roman"/>
        </w:rPr>
        <w:t>2. Показатели муниципальной программы</w:t>
      </w:r>
      <w:bookmarkEnd w:id="5"/>
      <w:r w:rsidRPr="00CA6596">
        <w:rPr>
          <w:rFonts w:cs="Times New Roman"/>
        </w:rPr>
        <w:t>.</w:t>
      </w:r>
    </w:p>
    <w:p w:rsidR="00CA6596" w:rsidRPr="00CA6596" w:rsidRDefault="00CA6596" w:rsidP="00CA6596">
      <w:pPr>
        <w:jc w:val="left"/>
        <w:rPr>
          <w:rFonts w:cs="Times New Roman"/>
        </w:rPr>
      </w:pP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982"/>
        <w:gridCol w:w="1275"/>
        <w:gridCol w:w="1136"/>
        <w:gridCol w:w="993"/>
        <w:gridCol w:w="707"/>
        <w:gridCol w:w="707"/>
        <w:gridCol w:w="711"/>
        <w:gridCol w:w="711"/>
        <w:gridCol w:w="707"/>
        <w:gridCol w:w="707"/>
        <w:gridCol w:w="711"/>
        <w:gridCol w:w="707"/>
        <w:gridCol w:w="707"/>
        <w:gridCol w:w="711"/>
        <w:gridCol w:w="707"/>
        <w:gridCol w:w="707"/>
        <w:gridCol w:w="711"/>
        <w:gridCol w:w="3261"/>
        <w:gridCol w:w="1557"/>
        <w:gridCol w:w="1561"/>
      </w:tblGrid>
      <w:tr w:rsidR="00CA6596" w:rsidRPr="00CA6596" w:rsidTr="00CA6596">
        <w:trPr>
          <w:trHeight w:val="372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28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Уровень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показателя*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Единица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измерения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(по </w:t>
            </w:r>
            <w:hyperlink r:id="rId10" w:history="1">
              <w:r w:rsidRPr="00CA6596">
                <w:rPr>
                  <w:rFonts w:eastAsiaTheme="minorEastAsia" w:cs="Times New Roman"/>
                  <w:sz w:val="18"/>
                  <w:szCs w:val="18"/>
                  <w:lang w:eastAsia="ru-RU"/>
                </w:rPr>
                <w:t>ОКЕИ</w:t>
              </w:r>
            </w:hyperlink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Базовое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 значение</w:t>
            </w:r>
          </w:p>
        </w:tc>
        <w:tc>
          <w:tcPr>
            <w:tcW w:w="19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за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показателя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Связь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 показателями национальных целей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</w:tr>
      <w:tr w:rsidR="00CA6596" w:rsidRPr="00CA6596" w:rsidTr="00CA6596">
        <w:trPr>
          <w:trHeight w:val="94"/>
          <w:jc w:val="center"/>
        </w:trPr>
        <w:tc>
          <w:tcPr>
            <w:tcW w:w="16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з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начение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49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CA6596" w:rsidRPr="00CA6596" w:rsidTr="00A23028">
        <w:trPr>
          <w:trHeight w:val="174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A6596" w:rsidRPr="00CA6596" w:rsidRDefault="00CA6596" w:rsidP="00A230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Цель: создание, модернизация и поддержание в надлежащем состоянии объектов инженерной инфраструктуры</w:t>
            </w:r>
          </w:p>
        </w:tc>
      </w:tr>
      <w:tr w:rsidR="00CA6596" w:rsidRPr="00CA6596" w:rsidTr="00CA6596">
        <w:trPr>
          <w:trHeight w:val="3013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lang w:eastAsia="ru-RU"/>
              </w:rPr>
            </w:pPr>
            <w:r w:rsidRPr="00CA6596">
              <w:rPr>
                <w:rFonts w:eastAsia="Times New Roman"/>
                <w:sz w:val="18"/>
                <w:lang w:eastAsia="ru-RU"/>
              </w:rPr>
              <w:t xml:space="preserve">Доля возмещения недополученных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="Times New Roman"/>
                <w:sz w:val="18"/>
                <w:lang w:eastAsia="ru-RU"/>
              </w:rPr>
              <w:t>доходов ресурсоснабжающим организациям</w:t>
            </w:r>
            <w:r w:rsidRPr="00CA6596">
              <w:rPr>
                <w:rFonts w:eastAsia="Times New Roman"/>
                <w:sz w:val="18"/>
                <w:vertAlign w:val="superscript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A23028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CA6596" w:rsidRPr="00CA6596">
              <w:rPr>
                <w:rFonts w:cs="Times New Roman"/>
                <w:sz w:val="18"/>
                <w:szCs w:val="18"/>
              </w:rPr>
              <w:t xml:space="preserve">акон Ханты-Мансийского автономного округа – Югры </w:t>
            </w:r>
          </w:p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 xml:space="preserve">от 07.11.2013 № 118-оз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cs="Times New Roman"/>
                <w:sz w:val="18"/>
                <w:szCs w:val="18"/>
              </w:rPr>
              <w:t>«О возмещении недополученных доходов организациям, осуществляющим реализацию населению Ханты-Мансийского автономного округа – Югры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сжиженного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газа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 xml:space="preserve">по розничным ценам, и наделении органов местного самоуправления муниципальных </w:t>
            </w:r>
            <w:r w:rsidRPr="00CA6596">
              <w:rPr>
                <w:rFonts w:cs="Times New Roman"/>
                <w:sz w:val="18"/>
                <w:szCs w:val="18"/>
              </w:rPr>
              <w:br/>
              <w:t>образований Ханты-Мансийского автономного округа – Югры отдельным государственным</w:t>
            </w:r>
            <w:r w:rsidRPr="00CA6596">
              <w:rPr>
                <w:rFonts w:cs="Times New Roman"/>
                <w:sz w:val="18"/>
                <w:szCs w:val="18"/>
              </w:rPr>
              <w:br/>
              <w:t>полномочием по предоставлению субсидий на возмещение недополученных доходов организациям, осуществляющим реализацию населению Ханты-Мансийского автономного округа – Югры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сжиженного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газа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по розничным ценам»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значимого роста энергетической и ресурсной эффективности в жилищно-коммунальном хозяйстве,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промышленном и инфраструктурном строительстве; реализация программы модернизации коммунальной инфраструктуры </w:t>
            </w:r>
            <w:r w:rsidR="00A2302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и улучшение качества предоставляемых коммунальных услуг для 20 млн. человек к 2030 году</w:t>
            </w:r>
          </w:p>
        </w:tc>
      </w:tr>
      <w:tr w:rsidR="00CA6596" w:rsidRPr="00CA6596" w:rsidTr="00CA6596">
        <w:trPr>
          <w:trHeight w:val="1116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городского населения, обеспеченного качественной питьевой водой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из систем централизованного водоснабжения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>СЭР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2</w:t>
            </w: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br/>
              <w:t>МП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 xml:space="preserve">О Стратегии социально-экономического развития города Сургута до 2036 года с целевыми ориентирами до 2050 года»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877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</w:rPr>
            </w:pPr>
            <w:r w:rsidRPr="00CA6596">
              <w:rPr>
                <w:rFonts w:cs="Times New Roman"/>
                <w:sz w:val="18"/>
              </w:rPr>
              <w:t xml:space="preserve">Доля замены ветхих инженерных сетей теплоснабжения, водоснабжения, </w:t>
            </w:r>
            <w:r w:rsidRPr="00CA6596">
              <w:rPr>
                <w:rFonts w:cs="Times New Roman"/>
                <w:sz w:val="18"/>
              </w:rPr>
              <w:br/>
              <w:t xml:space="preserve">водоотведения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cs="Times New Roman"/>
                <w:sz w:val="18"/>
              </w:rPr>
              <w:t>от общей протяжен</w:t>
            </w:r>
            <w:r>
              <w:rPr>
                <w:rFonts w:cs="Times New Roman"/>
                <w:sz w:val="18"/>
              </w:rPr>
              <w:t>-</w:t>
            </w:r>
            <w:r w:rsidRPr="00CA6596">
              <w:rPr>
                <w:rFonts w:cs="Times New Roman"/>
                <w:sz w:val="18"/>
              </w:rPr>
              <w:t>ности ветхих инженерных сетей теплоснабжения, водоснабжения, водоотведения</w:t>
            </w:r>
            <w:r w:rsidRPr="00CA6596">
              <w:rPr>
                <w:rFonts w:cs="Times New Roman"/>
                <w:sz w:val="18"/>
                <w:vertAlign w:val="superscript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FF0000"/>
                <w:sz w:val="18"/>
                <w:szCs w:val="24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>СЭР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2</w:t>
            </w: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>ГП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3</w:t>
            </w: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>МП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sz w:val="18"/>
                <w:szCs w:val="28"/>
              </w:rPr>
            </w:pPr>
            <w:r w:rsidRPr="00CA6596">
              <w:rPr>
                <w:sz w:val="18"/>
                <w:szCs w:val="28"/>
              </w:rPr>
              <w:t>постановление Правительства Ханты-Мансийского автономного округа</w:t>
            </w:r>
            <w:r>
              <w:rPr>
                <w:sz w:val="18"/>
                <w:szCs w:val="28"/>
              </w:rPr>
              <w:t xml:space="preserve"> – </w:t>
            </w:r>
            <w:r w:rsidRPr="00CA6596">
              <w:rPr>
                <w:sz w:val="18"/>
                <w:szCs w:val="28"/>
              </w:rPr>
              <w:t xml:space="preserve">Югры от 29.12.2025 № 548-п </w:t>
            </w:r>
          </w:p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sz w:val="18"/>
                <w:szCs w:val="28"/>
              </w:rPr>
              <w:t>«О государственной программе Ханты-Мансийского округа – Югры «</w:t>
            </w:r>
            <w:r w:rsidRPr="00CA6596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Развитие жилищно-коммунального комплекса и энергетики</w:t>
            </w:r>
            <w:r w:rsidRPr="00CA6596">
              <w:rPr>
                <w:sz w:val="18"/>
                <w:szCs w:val="18"/>
              </w:rPr>
              <w:t>»,</w:t>
            </w:r>
            <w:r w:rsidRPr="00CA6596">
              <w:rPr>
                <w:sz w:val="18"/>
                <w:szCs w:val="18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  <w:textDirection w:val="tbRl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139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населения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vertAlign w:val="superscript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в многоквартирных жилых домах, охваченных услугой централизованного водоотведения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  <w:textDirection w:val="tbRl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A6596" w:rsidRPr="00CA6596" w:rsidTr="00CA6596">
        <w:trPr>
          <w:trHeight w:val="1111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8"/>
                <w:szCs w:val="24"/>
              </w:rPr>
            </w:pPr>
            <w:r w:rsidRPr="00CA6596">
              <w:rPr>
                <w:rFonts w:eastAsia="Calibri" w:cs="Times New Roman"/>
                <w:sz w:val="18"/>
                <w:szCs w:val="24"/>
              </w:rPr>
              <w:t>Количество построенных/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8"/>
                <w:szCs w:val="24"/>
              </w:rPr>
            </w:pPr>
            <w:r w:rsidRPr="00CA6596">
              <w:rPr>
                <w:rFonts w:eastAsia="Calibri" w:cs="Times New Roman"/>
                <w:sz w:val="18"/>
                <w:szCs w:val="24"/>
              </w:rPr>
              <w:t>реконструированных/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="Calibri" w:cs="Times New Roman"/>
                <w:sz w:val="18"/>
                <w:szCs w:val="24"/>
              </w:rPr>
              <w:t>модернизированных объектов инженерной инфраструктуры</w:t>
            </w:r>
            <w:r w:rsidRPr="00CA6596">
              <w:rPr>
                <w:rFonts w:eastAsia="Calibri" w:cs="Times New Roman"/>
                <w:sz w:val="18"/>
                <w:szCs w:val="24"/>
                <w:vertAlign w:val="superscript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220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8"/>
                <w:szCs w:val="24"/>
              </w:rPr>
            </w:pPr>
            <w:r w:rsidRPr="00CA6596">
              <w:rPr>
                <w:rFonts w:eastAsia="Calibri" w:cs="Times New Roman"/>
                <w:sz w:val="18"/>
                <w:szCs w:val="24"/>
              </w:rPr>
              <w:t xml:space="preserve">Количество разработанных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8"/>
                <w:szCs w:val="24"/>
                <w:vertAlign w:val="superscript"/>
              </w:rPr>
            </w:pPr>
            <w:r w:rsidRPr="00CA6596">
              <w:rPr>
                <w:rFonts w:eastAsia="Calibri" w:cs="Times New Roman"/>
                <w:sz w:val="18"/>
                <w:szCs w:val="24"/>
              </w:rPr>
              <w:t>и актуализированных схем тепло-, водоснабжения, водоотведения</w:t>
            </w:r>
            <w:r w:rsidRPr="00CA6596">
              <w:rPr>
                <w:rFonts w:eastAsia="Calibri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 xml:space="preserve">2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054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</w:rPr>
            </w:pPr>
            <w:r w:rsidRPr="00CA6596">
              <w:rPr>
                <w:rFonts w:cs="Times New Roman"/>
                <w:sz w:val="18"/>
              </w:rPr>
              <w:t xml:space="preserve">Численность населения,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</w:rPr>
            </w:pPr>
            <w:r w:rsidRPr="00CA6596">
              <w:rPr>
                <w:rFonts w:cs="Times New Roman"/>
                <w:sz w:val="18"/>
              </w:rPr>
              <w:t xml:space="preserve">для которого улучшится качество предоставления коммунальных услуг (в сфере тепло-, </w:t>
            </w:r>
          </w:p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</w:rPr>
            </w:pPr>
            <w:r w:rsidRPr="00CA6596">
              <w:rPr>
                <w:rFonts w:cs="Times New Roman"/>
                <w:sz w:val="18"/>
              </w:rPr>
              <w:t xml:space="preserve">водоснабжения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</w:rPr>
            </w:pPr>
            <w:r w:rsidRPr="00CA6596">
              <w:rPr>
                <w:rFonts w:cs="Times New Roman"/>
                <w:sz w:val="18"/>
              </w:rPr>
              <w:t>и водоотведения), нарастающим итогом с 2025 года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24"/>
                <w:lang w:eastAsia="ru-RU"/>
              </w:rPr>
              <w:t>ГП</w:t>
            </w:r>
            <w:r w:rsidRPr="00CA6596">
              <w:rPr>
                <w:rFonts w:eastAsia="Times New Roman" w:cs="Times New Roman"/>
                <w:sz w:val="1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тысяча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sz w:val="18"/>
                <w:szCs w:val="28"/>
              </w:rPr>
            </w:pPr>
            <w:r w:rsidRPr="00CA6596">
              <w:rPr>
                <w:sz w:val="18"/>
                <w:szCs w:val="28"/>
              </w:rPr>
              <w:t xml:space="preserve">постановление Правительства </w:t>
            </w:r>
          </w:p>
          <w:p w:rsidR="00CA6596" w:rsidRDefault="00CA6596" w:rsidP="00CA6596">
            <w:pPr>
              <w:jc w:val="left"/>
              <w:rPr>
                <w:sz w:val="18"/>
                <w:szCs w:val="28"/>
              </w:rPr>
            </w:pPr>
            <w:r w:rsidRPr="00CA6596">
              <w:rPr>
                <w:sz w:val="18"/>
                <w:szCs w:val="28"/>
              </w:rPr>
              <w:t>Ханты-Мансийского автономного округа</w:t>
            </w:r>
            <w:r w:rsidR="00A23028">
              <w:rPr>
                <w:sz w:val="18"/>
                <w:szCs w:val="28"/>
              </w:rPr>
              <w:t xml:space="preserve"> – </w:t>
            </w:r>
            <w:r w:rsidRPr="00CA6596">
              <w:rPr>
                <w:sz w:val="18"/>
                <w:szCs w:val="28"/>
              </w:rPr>
              <w:t xml:space="preserve">Югры от 29.12.2025 </w:t>
            </w:r>
            <w:r w:rsidRPr="00CA6596">
              <w:rPr>
                <w:sz w:val="18"/>
                <w:szCs w:val="28"/>
              </w:rPr>
              <w:br/>
              <w:t xml:space="preserve">№ 548-п «О государственной программе Ханты-Мансийского </w:t>
            </w:r>
          </w:p>
          <w:p w:rsidR="00CA6596" w:rsidRDefault="00CA6596" w:rsidP="00CA6596">
            <w:pPr>
              <w:jc w:val="left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 w:rsidRPr="00CA6596">
              <w:rPr>
                <w:sz w:val="18"/>
                <w:szCs w:val="28"/>
              </w:rPr>
              <w:t>округа – Югры «</w:t>
            </w:r>
            <w:r w:rsidRPr="00CA6596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 xml:space="preserve">Развитие жилищно-коммунального комплекса </w:t>
            </w:r>
          </w:p>
          <w:p w:rsidR="00CA6596" w:rsidRPr="00CA6596" w:rsidRDefault="00CA6596" w:rsidP="00CA6596">
            <w:pPr>
              <w:jc w:val="left"/>
              <w:rPr>
                <w:sz w:val="18"/>
                <w:szCs w:val="28"/>
              </w:rPr>
            </w:pPr>
            <w:r w:rsidRPr="00CA6596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и энергетики</w:t>
            </w:r>
            <w:r w:rsidRPr="00CA6596">
              <w:rPr>
                <w:sz w:val="18"/>
                <w:szCs w:val="18"/>
              </w:rPr>
              <w:t>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360" w:type="pct"/>
            <w:tcBorders>
              <w:left w:val="single" w:sz="4" w:space="0" w:color="auto"/>
            </w:tcBorders>
            <w:textDirection w:val="tbRl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412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6596">
              <w:rPr>
                <w:rFonts w:eastAsia="Calibri" w:cs="Times New Roman"/>
                <w:sz w:val="18"/>
                <w:szCs w:val="18"/>
              </w:rPr>
              <w:t>Уровень удовлетворенности заявителей эффективностью процедуры</w:t>
            </w:r>
            <w:r w:rsidRPr="00CA6596">
              <w:rPr>
                <w:rFonts w:eastAsia="Calibri" w:cs="Times New Roman"/>
                <w:sz w:val="18"/>
                <w:szCs w:val="18"/>
              </w:rPr>
              <w:br/>
              <w:t xml:space="preserve">подключения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="Calibri" w:cs="Times New Roman"/>
                <w:sz w:val="18"/>
                <w:szCs w:val="18"/>
              </w:rPr>
              <w:t>к газораспредели</w:t>
            </w:r>
            <w:r>
              <w:rPr>
                <w:rFonts w:eastAsia="Calibri" w:cs="Times New Roman"/>
                <w:sz w:val="18"/>
                <w:szCs w:val="18"/>
              </w:rPr>
              <w:t>-</w:t>
            </w:r>
            <w:r w:rsidRPr="00CA6596">
              <w:rPr>
                <w:rFonts w:eastAsia="Calibri" w:cs="Times New Roman"/>
                <w:sz w:val="18"/>
                <w:szCs w:val="18"/>
              </w:rPr>
              <w:t>тельным сетям</w:t>
            </w:r>
            <w:r w:rsidRPr="00CA6596">
              <w:rPr>
                <w:rFonts w:eastAsia="Calibri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7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Цель: повышение энергетической эффективности в отраслях экономики и развитие использования энергоэффективных технологий потребителями</w:t>
            </w:r>
          </w:p>
        </w:tc>
      </w:tr>
      <w:tr w:rsidR="00CA6596" w:rsidRPr="00CA6596" w:rsidTr="00CA6596">
        <w:trPr>
          <w:trHeight w:val="1138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cs="Times New Roman"/>
                <w:sz w:val="18"/>
                <w:szCs w:val="18"/>
              </w:rPr>
              <w:t xml:space="preserve">Доля индивидуальных приборов учета энергетических ресурсов, установленных (замененных, поверенных) </w:t>
            </w:r>
            <w:r w:rsidRPr="00CA6596">
              <w:rPr>
                <w:rFonts w:cs="Times New Roman"/>
                <w:sz w:val="18"/>
                <w:szCs w:val="18"/>
              </w:rPr>
              <w:br/>
              <w:t xml:space="preserve">в жилых и нежилых помещениях </w:t>
            </w:r>
            <w:r w:rsidRPr="00CA6596">
              <w:rPr>
                <w:rFonts w:cs="Times New Roman"/>
                <w:sz w:val="18"/>
                <w:szCs w:val="18"/>
              </w:rPr>
              <w:br/>
              <w:t>муниципальной собственности</w:t>
            </w:r>
            <w:r w:rsidRPr="00CA6596">
              <w:rPr>
                <w:rFonts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 xml:space="preserve">Федеральный закон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от 23.11.2009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№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261-ФЗ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CA6596">
              <w:rPr>
                <w:rFonts w:cs="Times New Roman"/>
                <w:sz w:val="18"/>
                <w:szCs w:val="18"/>
              </w:rPr>
              <w:t xml:space="preserve">«Об энергосбережении и о повышении энергетической эффективности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CA6596">
              <w:rPr>
                <w:rFonts w:cs="Times New Roman"/>
                <w:sz w:val="18"/>
                <w:szCs w:val="18"/>
              </w:rPr>
              <w:t xml:space="preserve">и о внесении изменений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cs="Times New Roman"/>
                <w:sz w:val="18"/>
                <w:szCs w:val="18"/>
              </w:rPr>
              <w:t>в отдельные законодательные акты Российской Федерации»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значимого роста энергетической и ресурсной эффективности </w:t>
            </w:r>
            <w:r w:rsidR="00A2302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жилищно-коммунальном хозяйстве, промышленном и инфраструктурном строительстве; реализация программы модернизации коммунальной инфраструктуры и улучшение качества предоставляемых коммунальных услуг для 20 млн. человек </w:t>
            </w:r>
            <w:r w:rsidR="00A2302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к 2030 году</w:t>
            </w:r>
          </w:p>
        </w:tc>
      </w:tr>
      <w:tr w:rsidR="00CA6596" w:rsidRPr="00CA6596" w:rsidTr="00CA6596">
        <w:trPr>
          <w:trHeight w:val="1361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нормативных потерь воды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в централизованных системах водоснабжения </w:t>
            </w:r>
          </w:p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при транспортировке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в общем объеме воды, поданной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 водопроводную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с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еть на территории муниципального образования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6,18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9,48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9,48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8,56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572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нормативных потерь тепловой энергии </w:t>
            </w:r>
          </w:p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при ее передаче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в общем объеме переданной тепловой энергии на территории муниципального образования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7,98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10,58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10,58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10,26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232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Доля нормативных потерь электрической энергии </w:t>
            </w:r>
          </w:p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при ее передаче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по распредели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тельным сетям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в общем объеме переданной электрической энергии на территории муниципального образования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СЭР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br/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процент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решение Думы города от 08.06.2015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№ 718-V ДГ «</w:t>
            </w:r>
            <w:r w:rsidRPr="00CA6596">
              <w:rPr>
                <w:rFonts w:cs="Times New Roman"/>
                <w:sz w:val="18"/>
                <w:szCs w:val="18"/>
              </w:rPr>
              <w:t>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A6596" w:rsidRPr="00CA6596" w:rsidTr="00CA6596">
        <w:trPr>
          <w:trHeight w:val="1064"/>
          <w:jc w:val="center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Удельный расход электрической энергии на снабжение органов местного </w:t>
            </w: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самоуправления 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и муниципальных учреждений (в расчете на 1 кв. метр общей площади)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МП</w:t>
            </w:r>
            <w:r w:rsidRPr="00CA6596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кВт*ч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asciiTheme="minorHAnsi" w:hAnsiTheme="minorHAnsi"/>
                <w:sz w:val="22"/>
              </w:rPr>
            </w:pPr>
            <w:r w:rsidRPr="00CA6596">
              <w:rPr>
                <w:rFonts w:cs="Times New Roman"/>
                <w:sz w:val="18"/>
                <w:szCs w:val="18"/>
              </w:rPr>
              <w:t>Федеральный закон от 23.11.2009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CA6596">
              <w:rPr>
                <w:rFonts w:cs="Times New Roman"/>
                <w:sz w:val="18"/>
                <w:szCs w:val="18"/>
              </w:rPr>
              <w:t>№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>261-ФЗ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A6596">
              <w:rPr>
                <w:rFonts w:cs="Times New Roman"/>
                <w:sz w:val="18"/>
                <w:szCs w:val="18"/>
              </w:rPr>
              <w:t xml:space="preserve">«Об энергосбережении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CA6596">
              <w:rPr>
                <w:rFonts w:cs="Times New Roman"/>
                <w:sz w:val="18"/>
                <w:szCs w:val="18"/>
              </w:rPr>
              <w:t>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A659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ДГХ </w:t>
            </w:r>
          </w:p>
        </w:tc>
        <w:tc>
          <w:tcPr>
            <w:tcW w:w="360" w:type="pct"/>
            <w:vMerge/>
            <w:tcBorders>
              <w:left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CA6596" w:rsidRPr="00CA6596" w:rsidRDefault="00CA6596" w:rsidP="00CA6596">
      <w:pPr>
        <w:widowControl w:val="0"/>
        <w:autoSpaceDE w:val="0"/>
        <w:autoSpaceDN w:val="0"/>
        <w:adjustRightInd w:val="0"/>
        <w:spacing w:before="160" w:after="160"/>
        <w:ind w:firstLine="709"/>
        <w:contextualSpacing/>
        <w:outlineLvl w:val="0"/>
        <w:rPr>
          <w:rFonts w:eastAsiaTheme="minorEastAsia" w:cs="Times New Roman"/>
          <w:bCs/>
          <w:sz w:val="24"/>
          <w:szCs w:val="24"/>
          <w:lang w:eastAsia="ru-RU"/>
        </w:rPr>
      </w:pP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Примечания: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1 – муниципальная программа;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2 – Стратегия социально-экономического развития города Сургута до 2036 года с целевыми ориентирами до 2050 года, вектор «Инженерная инфраструктура»;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3 – государственная программа Ханты-Мансийского автономного округа – Югры «Развитие жилищно-коммунального комплекса и энергетики»;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4 – методика расчета показателя утверждена постановлением Администрации города от 21.03.2024 № 1293;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5 – методика расчета показателя утверждена приказом экономического развития Российской Федерации от 28.04.2021 № 231;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6 – показатель рассчитывается как отношение объема фактической субсидии за счет средств регионального бюджета на возмещение недополученных доходов организациям, осуществляющим регулируемый вид деятельности к фактическому объему недополученных доходов получателя субсидии;</w:t>
      </w:r>
    </w:p>
    <w:p w:rsidR="00CA6596" w:rsidRPr="00CA6596" w:rsidRDefault="00CA6596" w:rsidP="00CA6596">
      <w:pPr>
        <w:ind w:firstLine="709"/>
        <w:jc w:val="left"/>
        <w:rPr>
          <w:rFonts w:cs="Times New Roman"/>
        </w:rPr>
      </w:pPr>
      <w:r w:rsidRPr="00CA6596">
        <w:rPr>
          <w:rFonts w:cs="Times New Roman"/>
        </w:rPr>
        <w:t>7 – показатель рассчитывается прямым счетом.</w:t>
      </w:r>
    </w:p>
    <w:p w:rsidR="00CA6596" w:rsidRPr="00CA6596" w:rsidRDefault="00CA6596" w:rsidP="00CA6596">
      <w:pPr>
        <w:widowControl w:val="0"/>
        <w:autoSpaceDE w:val="0"/>
        <w:autoSpaceDN w:val="0"/>
        <w:adjustRightInd w:val="0"/>
        <w:spacing w:before="160" w:after="160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CA6596" w:rsidRPr="00CA6596" w:rsidSect="00144345">
          <w:pgSz w:w="23811" w:h="16838" w:orient="landscape" w:code="8"/>
          <w:pgMar w:top="1134" w:right="567" w:bottom="1134" w:left="1701" w:header="709" w:footer="709" w:gutter="0"/>
          <w:pgNumType w:start="3"/>
          <w:cols w:space="708"/>
          <w:docGrid w:linePitch="360"/>
        </w:sectPr>
      </w:pPr>
      <w:r w:rsidRPr="00CA6596">
        <w:rPr>
          <w:rFonts w:eastAsiaTheme="minorEastAsia" w:cs="Times New Roman"/>
          <w:bCs/>
          <w:szCs w:val="28"/>
          <w:lang w:eastAsia="ru-RU"/>
        </w:rPr>
        <w:tab/>
      </w:r>
    </w:p>
    <w:p w:rsidR="00CA6596" w:rsidRPr="00CA6596" w:rsidRDefault="00CA6596" w:rsidP="00CA6596">
      <w:pPr>
        <w:spacing w:before="160" w:after="160" w:line="259" w:lineRule="auto"/>
        <w:ind w:firstLine="709"/>
        <w:contextualSpacing/>
        <w:jc w:val="left"/>
        <w:rPr>
          <w:rFonts w:cs="Times New Roman"/>
          <w:sz w:val="27"/>
          <w:szCs w:val="27"/>
        </w:rPr>
      </w:pPr>
      <w:r w:rsidRPr="00CA659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CA6596">
        <w:rPr>
          <w:rFonts w:cs="Times New Roman"/>
          <w:szCs w:val="28"/>
        </w:rPr>
        <w:t>Структура муниципальной программы.</w:t>
      </w:r>
      <w:r w:rsidRPr="00CA6596">
        <w:rPr>
          <w:rFonts w:cs="Times New Roman"/>
          <w:szCs w:val="28"/>
        </w:rPr>
        <w:br/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6946"/>
        <w:gridCol w:w="3686"/>
      </w:tblGrid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  <w:r w:rsidRPr="00CA6596">
              <w:rPr>
                <w:rFonts w:cs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Краткое описание ожидаемых эффектов </w:t>
            </w:r>
            <w:r w:rsidRPr="00CA6596">
              <w:rPr>
                <w:rFonts w:cs="Times New Roman"/>
                <w:sz w:val="24"/>
                <w:szCs w:val="24"/>
              </w:rPr>
              <w:br/>
              <w:t xml:space="preserve">от реализации задачи структурного </w:t>
            </w:r>
            <w:r w:rsidRPr="00CA6596">
              <w:rPr>
                <w:rFonts w:cs="Times New Roman"/>
                <w:sz w:val="24"/>
                <w:szCs w:val="24"/>
              </w:rPr>
              <w:br/>
              <w:t>элемента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Связь</w:t>
            </w:r>
            <w:r w:rsidRPr="00CA6596">
              <w:rPr>
                <w:rFonts w:cs="Times New Roman"/>
                <w:sz w:val="24"/>
                <w:szCs w:val="24"/>
              </w:rPr>
              <w:br/>
              <w:t>с показателями</w:t>
            </w:r>
            <w:r w:rsidRPr="00CA6596">
              <w:rPr>
                <w:rFonts w:cs="Times New Roman"/>
                <w:sz w:val="24"/>
                <w:szCs w:val="24"/>
                <w:vertAlign w:val="superscript"/>
              </w:rPr>
              <w:t> </w:t>
            </w:r>
            <w:hyperlink w:anchor="sub_2727" w:history="1"/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1. Муниципальный проект</w:t>
            </w:r>
            <w:r w:rsidRPr="00CA6596">
              <w:rPr>
                <w:rFonts w:eastAsia="TimesNewRoman" w:cs="Times New Roman"/>
                <w:color w:val="FF0000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«Создание (реконструкция) коммунальных объектов»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(куратор – Агафонов Сергей Александрович, заместитель Главы города)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Срок реализации 2025 – 2028</w:t>
            </w:r>
            <w:r w:rsidR="00A23028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  <w:lang w:eastAsia="ru-RU"/>
              </w:rPr>
              <w:t>1.1. Задача «</w:t>
            </w:r>
            <w:r w:rsidRPr="00CA6596">
              <w:rPr>
                <w:rFonts w:cs="Times New Roman"/>
                <w:sz w:val="24"/>
                <w:szCs w:val="24"/>
              </w:rPr>
              <w:t xml:space="preserve">Снижение концентрации вредных веществ в сбросах сточных вод канализационных очистных сооружений </w:t>
            </w:r>
          </w:p>
          <w:p w:rsidR="007A7A8C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до уровня нормативов допустимого сброса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для защиты водных ресурсов».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1.2. Задача «Создание коммунальных объектов, обеспечивающих бесперебойное 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и качественное хозяйственно-питьевое водоснабжение, водоотведение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и противопожарное водоснабжение».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1.3. Задача «Обеспечение строительства </w:t>
            </w:r>
            <w:r w:rsidRPr="00CA6596">
              <w:rPr>
                <w:rFonts w:cs="Times New Roman"/>
                <w:sz w:val="24"/>
                <w:szCs w:val="24"/>
              </w:rPr>
              <w:br/>
              <w:t xml:space="preserve">и реконструкции систем теплоснабжения, водоснабжения и водоотведения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для строительства жилья в микрорайонах города»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4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1. Проведение реконструкции канализационных очистных сооружений и канализационных насосных станций: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4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реконструкция объекта «Очистные сооружения канализационных сточных вод (КОС) город Сургут производительностью 150 000 м3/сутки. Строительство нового блока УФО сточных вод с внутриплощадочными инженерными сетями», 2025 год.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2. Строительство и реконструкция сетей водоснабжения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и водоотведения: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«Магистральный водовод по улице Мелик-Карамова от проезда Тихий до улицы Энергетиков в городе Сургуте», 2025 год;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- «Магистральный водовод по набережной Ивана Кайдалова, проезд Тихий, улица Мелик-Карамова от проспекта Комсомольский до улицы Геологическая в городе Сургуте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(2-ой и 3-й этап строительства)», 2025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2026 годы;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«Водоотведение поселка Юность в городе Сургуте», 2026 год;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«Водоотведение поселка Юность в городе Сургуте», 2026 год.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3. Строительство котельных и сетей теплоснабжения новых </w:t>
            </w:r>
            <w:r w:rsidRPr="00CA6596">
              <w:rPr>
                <w:rFonts w:eastAsia="TimesNewRoman" w:cs="Times New Roman"/>
                <w:sz w:val="24"/>
                <w:szCs w:val="24"/>
              </w:rPr>
              <w:br/>
              <w:t>абонентов, реконструкция объектов теплоснабжения: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- «Котельная № 28 в поселке Юность, тепловой мощностью </w:t>
            </w:r>
            <w:r w:rsidRPr="00CA6596">
              <w:rPr>
                <w:rFonts w:eastAsia="TimesNewRoman" w:cs="Times New Roman"/>
                <w:sz w:val="24"/>
                <w:szCs w:val="24"/>
              </w:rPr>
              <w:br/>
              <w:t>18,5 МВт», 2026</w:t>
            </w:r>
            <w:r w:rsidR="00A23028"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2027 годы;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«Магистральные тепловые сети. Участок сетей теплоснабжения от 1ТК-46 до ТК проект. по ул. И. Киртбая», 2026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2028 годы;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«Тепломагистраль № 1 от 1ТК39-1ТК40-1ТК41-1ТК42-1ТК43 по ул. Магистральная, 2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пуск.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комплекс. Участок сетей теплоснабжения от 1ТК-40 до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1ТК-41», 2027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2028 годы;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«Тепломагистраль № 1 от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1ТК19-1ТК39 по ул.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Магистральная, 1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пуск.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комплекс. Участок сетей теплоснабжения от 1ТК-19 </w:t>
            </w:r>
            <w:r w:rsidRPr="00CA6596">
              <w:rPr>
                <w:rFonts w:eastAsia="TimesNewRoman" w:cs="Times New Roman"/>
                <w:sz w:val="24"/>
                <w:szCs w:val="24"/>
              </w:rPr>
              <w:br/>
              <w:t>до 1ТК-39. Тепломагистраль № 1 от 1ТК39-1ТК40-1ТК41-ТК42-1ТК43 по ул. Магистральная, 2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пуск.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комплекс. Участок сетей теплоснабжения от 1ТК-39 до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1ТК-40», 2027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2028 годы;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«Тепломагистраль № 1 по пр.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Мира от П1 (ПКТС)-1ТК5-1ТК8-1ТК10-1ТК13-1ТК17-1ТК19; от точки А до 1ТК31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ул.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Г. Кукуевицкого до 4ТК1 (котельная №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2) НГДУ. Участок сетей теплоснабжения от 1ТК-13 до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1ТК-19», 2027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2028 годы;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- «Тепломагистраль № 1 от 1ТК39-1ТК40-1ТК41-1ТК42-1ТК43 по ул.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Магистральная, 2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пуск.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комплекс. Участок сетей теплоснабжения от 1ТК-41 до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1ТК-42», 2027</w:t>
            </w:r>
            <w:r>
              <w:rPr>
                <w:rFonts w:eastAsia="TimesNewRoman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CA6596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Pr="00CA6596">
              <w:rPr>
                <w:rFonts w:cs="Times New Roman"/>
                <w:spacing w:val="-4"/>
                <w:sz w:val="24"/>
                <w:szCs w:val="24"/>
              </w:rPr>
              <w:t>построенных/реконструированных/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596">
              <w:rPr>
                <w:rFonts w:cs="Times New Roman"/>
                <w:sz w:val="24"/>
                <w:szCs w:val="24"/>
              </w:rPr>
              <w:t>модернизированных объектов инженерной инфраструктуры;</w:t>
            </w:r>
          </w:p>
          <w:p w:rsid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 доля городского населения, обеспеченного качественной питьевой  водой из систем централизованного водоснабжения;</w:t>
            </w:r>
            <w:r w:rsidRPr="00CA6596">
              <w:rPr>
                <w:rFonts w:cs="Times New Roman"/>
                <w:sz w:val="24"/>
                <w:szCs w:val="24"/>
              </w:rPr>
              <w:br/>
              <w:t xml:space="preserve">- численность населения,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>2. Муниципальный проект «Модернизация коммунальной инфраструктуры»</w:t>
            </w:r>
            <w:r w:rsidRPr="00CA6596">
              <w:rPr>
                <w:rFonts w:eastAsia="TimesNewRoman" w:cs="Times New Roman"/>
                <w:sz w:val="24"/>
                <w:szCs w:val="24"/>
                <w:highlight w:val="white"/>
              </w:rPr>
              <w:t xml:space="preserve"> (куратор – Агафонов Сергей Александрович, заместитель Главы города)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>Срок реализации 2025 – 2028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Задача «Модернизация объектов коммунальной инфраструктуры, обеспечивающих бесперебойное </w:t>
            </w:r>
          </w:p>
          <w:p w:rsidR="007A7A8C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и качественное предоставления коммунальных услуг (в сфере тепло-, водоснабжения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и водоотведения)»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1. Улучшение качества предоставления коммунальных услуг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(в сфере тепло-, водоснабжения и водоотведения) не менее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>3,3 тыс. человек ежегодно.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2. </w:t>
            </w:r>
            <w:r w:rsidRPr="00CA6596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Капитальный ремонт объекта коммунальной инфраструктуры «Коллектор хозбытовой канализации». Инв. № 30236. Участок </w:t>
            </w:r>
            <w:r w:rsidRPr="00CA6596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от КК-сущ. до КК- 13*, L-811 (м) d-800 и участок от КК-19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 КК-20, L-87,3 (м) d-500, расположенные по ул. Островского («Коллектор хозбытовой канализации». Инв. № 30236. Участок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 КК-сущ. до КК-8, расположенный по ул. Островского»),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  <w:lang w:eastAsia="ru-RU"/>
              </w:rPr>
              <w:t>2025 год.</w:t>
            </w:r>
          </w:p>
          <w:p w:rsid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3. Реконструкция объекта «Магистральный напорный канализационный коллектор от КНС-3 (речка «Черная»)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>до мехколонны № 114 (колодец-гаситель)», 2025</w:t>
            </w:r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CA6596">
              <w:rPr>
                <w:rFonts w:eastAsia="Calibri" w:cs="Times New Roman"/>
                <w:sz w:val="24"/>
                <w:szCs w:val="24"/>
              </w:rPr>
              <w:t>2026 годы.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4. «Водопровод по ул. Пушкина, Инв. № 30124. Участок магистрального водовода от УП-1 до ТК-4», 2027 год.</w:t>
            </w:r>
          </w:p>
          <w:p w:rsid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5. «Магистральный водовод по ул. Аэрофлотской 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 w:rsidRPr="00CA6596">
              <w:rPr>
                <w:rFonts w:cs="Times New Roman"/>
                <w:sz w:val="24"/>
                <w:szCs w:val="24"/>
              </w:rPr>
              <w:t xml:space="preserve">(от существующего ВК по ул. 39 «З» до ВК-1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2"/>
              </w:rPr>
            </w:pPr>
            <w:r w:rsidRPr="00CA6596">
              <w:rPr>
                <w:rFonts w:cs="Times New Roman"/>
                <w:sz w:val="24"/>
                <w:szCs w:val="24"/>
              </w:rPr>
              <w:t>по Нефтеюганскому шоссе» (DN450)», 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численность населения,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ind w:right="-113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A6596">
              <w:rPr>
                <w:rFonts w:eastAsia="Calibri" w:cs="Times New Roman"/>
                <w:sz w:val="24"/>
                <w:szCs w:val="24"/>
              </w:rPr>
              <w:t xml:space="preserve">для которого улучшится качество предоставления коммунальных услуг (в сфере тепло-, водоснабжения </w:t>
            </w:r>
            <w:r w:rsidRPr="00CA6596">
              <w:rPr>
                <w:rFonts w:eastAsia="Calibri" w:cs="Times New Roman"/>
                <w:sz w:val="24"/>
                <w:szCs w:val="24"/>
              </w:rPr>
              <w:br/>
              <w:t>и водоотведения), нарастающим итогом с 2025 года</w:t>
            </w: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3. Комплекс процессных мероприятий «Обеспечение надежности и качества предоставления коммунальных услуг» 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Задача «Повышение надежности централизованных систем»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1. Замена ветхих инженерных сетей протяженностью </w:t>
            </w:r>
            <w:r w:rsidRPr="00CA6596">
              <w:rPr>
                <w:rFonts w:eastAsia="TimesNewRoman" w:cs="Times New Roman"/>
                <w:sz w:val="24"/>
                <w:szCs w:val="24"/>
              </w:rPr>
              <w:br/>
              <w:t xml:space="preserve">не менее 9,07 км в однотрубном исчислении в рамках </w:t>
            </w:r>
            <w:r w:rsidRPr="00CA6596">
              <w:rPr>
                <w:rFonts w:eastAsia="TimesNewRoman" w:cs="Times New Roman"/>
                <w:sz w:val="24"/>
                <w:szCs w:val="24"/>
              </w:rPr>
              <w:br/>
              <w:t>региональной программы Ханты-Мансийского автономного округа – Югры «Модернизация систем коммунальной инфраструктуры на 2023-2027 год» и инвестиционных, производственных программ Сургутского городского муниципального унитарного предприятия «Городские тепловые сети» (далее – СГМУП «ГТС»), Сургутского городского муниципального унитарного предприятия «Горводоканал» (далее – СГМУП «Горводоканал»).</w:t>
            </w:r>
          </w:p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2. Обеспечение городского населения качественной питьевой</w:t>
            </w:r>
          </w:p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 водой из источников централизованного водоснабжения.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3. Обеспечение населения в многоквартирных жилых домах услугой централизованного водоотведения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- доля городского населения, обеспеченного качественной питьевой водой из систем централизованного водоснабжения;</w:t>
            </w:r>
          </w:p>
          <w:p w:rsid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- доля замены ветхих инженерных </w:t>
            </w:r>
            <w:r w:rsidRPr="00CA6596">
              <w:rPr>
                <w:rFonts w:cs="Times New Roman"/>
                <w:sz w:val="24"/>
                <w:szCs w:val="24"/>
              </w:rPr>
              <w:br/>
              <w:t xml:space="preserve">сетей теплоснабжения, водоснабжения, водоотведения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 общей протяженности ветхих инженерных сетей теплоснабжения, водоснабжения, водоотведения;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 доля населения в много</w:t>
            </w:r>
            <w:r w:rsidR="00A23028">
              <w:rPr>
                <w:rFonts w:cs="Times New Roman"/>
                <w:sz w:val="24"/>
                <w:szCs w:val="24"/>
              </w:rPr>
              <w:t>-</w:t>
            </w:r>
            <w:r w:rsidRPr="00CA6596">
              <w:rPr>
                <w:rFonts w:cs="Times New Roman"/>
                <w:sz w:val="24"/>
                <w:szCs w:val="24"/>
              </w:rPr>
              <w:t>квартирных жилых домах, охваченных услугой централизованного водоотведения</w:t>
            </w: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4. Комплекс процессных мероприятий </w:t>
            </w:r>
            <w:r w:rsidRPr="00CA6596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«Обеспечение равных прав потребителей на получение энергетических ресурсов» 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Задача «</w:t>
            </w: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Обеспечение устойчивого снабжения потребителей услугами газоснабжения»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1. Возмещение недополученных доходов организациям, осуществляющим реализацию населению сжиженного газа </w:t>
            </w:r>
          </w:p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по социально-ориентированным розничным ценам.</w:t>
            </w:r>
          </w:p>
          <w:p w:rsid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2. Проведение мероприятий в виде информирования </w:t>
            </w:r>
          </w:p>
          <w:p w:rsid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по подготовке населения к использованию газа в соответствии </w:t>
            </w:r>
          </w:p>
          <w:p w:rsidR="00CA6596" w:rsidRPr="00CA6596" w:rsidRDefault="00CA6596" w:rsidP="00CA6596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с региональной программой; согласование схемы расположения объектов газоснабжения города в составе региональной программы газификации; проведение мониторинга сроков исполнения договоров на подключение (технологическое присоединение) к сетям газораспределения – доля неисполненных договоров в установленный срок 0% ежегодно.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3. Мероприятия в части газоснабжения осуществляются в рамках Региональной программы газификации жилищно-коммунального хозяйства, промышленных и иных организаций Ханты-Мансийского автономного округа – Югры до 2030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- доля возмещения недополученных доходов ресурсоснабжающим организациям;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- уровень удовлетворенности </w:t>
            </w:r>
            <w:r w:rsidRPr="00CA6596">
              <w:rPr>
                <w:rFonts w:eastAsia="Times New Roman" w:cs="Times New Roman"/>
                <w:sz w:val="24"/>
                <w:szCs w:val="24"/>
              </w:rPr>
              <w:br/>
              <w:t xml:space="preserve">заявителей эффективностью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процедуры подключения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к газораспределительным сетям</w:t>
            </w: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5. Комплекс процессных мероприятий «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Разработка и актуализация схем тепло-, водоснабжения и водоотведения города Сургута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»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Задача «Обеспечение взаимосвязанного 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развития инженерной инфраструктуры 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и строительства, их синхронизация»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1. Организация разработки схем и проектов развития инженерной инфраструктуры.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2. Разработка и актуализация схем тепло-, водоснабжения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и водоотведения муниципального образования городской округ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Сургут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количество разработанных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и актуализированных схем тепло-, водоснабжения, водоотведения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  <w:highlight w:val="white"/>
              </w:rPr>
            </w:pP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6. Комплекс процессных мероприятий 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«Реализация энергосберегающих мероприятий (проектов) в отраслях экономики</w:t>
            </w:r>
            <w:r w:rsidRPr="00CA6596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C" w:rsidRDefault="00CA6596" w:rsidP="00CA659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6.1. Задача «Снижение удельных показателей потребления энергетических ресурсов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 муниципальном секторе»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снижение удельных расходов энергетических ресурсов 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в муниципальных учреждениях путем проведения энергоэффективных мероприятий</w:t>
            </w:r>
          </w:p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удельный расход электрической энергии на снабжение органов местного самоуправления </w:t>
            </w:r>
          </w:p>
          <w:p w:rsidR="00CA6596" w:rsidRPr="00CA6596" w:rsidRDefault="00CA6596" w:rsidP="00CA65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и муниципальных учреждений </w:t>
            </w:r>
          </w:p>
          <w:p w:rsidR="00CA6596" w:rsidRPr="00CA6596" w:rsidRDefault="00CA6596" w:rsidP="00CA65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(в расчете на 1 кв. метр общей площади)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6.2. Задача «Повышение энергетической </w:t>
            </w: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эффективности централизованных инженерных систем»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1. Повышение энергоэффективности при производстве, </w:t>
            </w:r>
          </w:p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передаче и потреблении энергоресурсов на основе новейшего энергоэффективного оборудования, ресурсосберегающих технологий в муниципальных предприятиях (с привлечением внебюджетных источников муниципальных предприятий СГМУП «ГТС», СГМУП «Горводоканал»).</w:t>
            </w:r>
          </w:p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2. Ликвидация бесхозяйных объектов и обеспечение </w:t>
            </w:r>
          </w:p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их надлежащей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- доля нормативных потерь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воды в централизованных системах водоснабжения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при транспортировке в общем объеме воды, поданной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 xml:space="preserve">в водопроводную сеть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на территории муниципального образования;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- доля нормативных потерь тепловой энергии при ее передаче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в общем объеме переданной </w:t>
            </w:r>
            <w:r w:rsidRPr="00CA6596">
              <w:rPr>
                <w:rFonts w:cs="Times New Roman"/>
                <w:sz w:val="24"/>
                <w:szCs w:val="24"/>
              </w:rPr>
              <w:br/>
              <w:t xml:space="preserve">тепловой энергии на территории муниципального образования; </w:t>
            </w:r>
          </w:p>
          <w:p w:rsid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 xml:space="preserve">- доля нормативных потерь электрической энергии </w:t>
            </w:r>
          </w:p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при ее передаче по распредели</w:t>
            </w:r>
            <w:r w:rsidR="00A23028">
              <w:rPr>
                <w:rFonts w:cs="Times New Roman"/>
                <w:sz w:val="24"/>
                <w:szCs w:val="24"/>
              </w:rPr>
              <w:t>-</w:t>
            </w:r>
            <w:r w:rsidRPr="00CA6596">
              <w:rPr>
                <w:rFonts w:cs="Times New Roman"/>
                <w:sz w:val="24"/>
                <w:szCs w:val="24"/>
              </w:rPr>
              <w:t>тельным сетям в общем объеме переданной электрической энергии на территории муниципального образования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t>6.3. Задача «Реализация энергосберегающих мероприятий в жилищном фонде»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1. Обеспечение учета фактического потребления энергетических ресурсов в муниципальном жилищном фонде.</w:t>
            </w:r>
          </w:p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2. Популяризация энергосбережения и рационального потребления энергоресурсов среди населения.</w:t>
            </w:r>
          </w:p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 xml:space="preserve">3. Организация публикаций в периодических печатных изданиях, на официальном портале Администрации города, выпуски в эфир телепередач о мероприятиях и способах </w:t>
            </w:r>
            <w:r w:rsidRPr="00A23028">
              <w:rPr>
                <w:rFonts w:eastAsia="TimesNewRoman" w:cs="Times New Roman"/>
                <w:spacing w:val="-4"/>
                <w:sz w:val="24"/>
                <w:szCs w:val="24"/>
              </w:rPr>
              <w:t>энергосбережения и повышения энергетической эффективности –</w:t>
            </w:r>
            <w:r w:rsidRPr="00CA6596">
              <w:rPr>
                <w:rFonts w:eastAsia="TimesNewRoman" w:cs="Times New Roman"/>
                <w:sz w:val="24"/>
                <w:szCs w:val="24"/>
              </w:rPr>
              <w:t xml:space="preserve"> </w:t>
            </w:r>
            <w:r w:rsidR="00A23028">
              <w:rPr>
                <w:rFonts w:eastAsia="TimesNewRoman" w:cs="Times New Roman"/>
                <w:sz w:val="24"/>
                <w:szCs w:val="24"/>
              </w:rPr>
              <w:t xml:space="preserve">  </w:t>
            </w:r>
            <w:r w:rsidRPr="00CA6596">
              <w:rPr>
                <w:rFonts w:eastAsia="TimesNewRoman" w:cs="Times New Roman"/>
                <w:sz w:val="24"/>
                <w:szCs w:val="24"/>
              </w:rPr>
              <w:t>3 мероприятия ежегодно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доля индивидуальных приборов учета энергетических ресурсов, установленных (замененных, поверенных) в жилых и нежилых помещениях муниципальной собственности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6596" w:rsidRPr="00CA6596" w:rsidTr="007A7A8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7. Комплекс процессных мероприятий </w:t>
            </w:r>
            <w:r w:rsidRPr="00CA6596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  <w:r w:rsidRPr="00CA6596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A6596" w:rsidRPr="00CA6596" w:rsidTr="007A7A8C">
        <w:trPr>
          <w:trHeight w:val="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cs="Times New Roman"/>
                <w:sz w:val="24"/>
                <w:szCs w:val="24"/>
              </w:rPr>
            </w:pPr>
            <w:r w:rsidRPr="00CA6596">
              <w:rPr>
                <w:rFonts w:cs="Times New Roman"/>
                <w:sz w:val="24"/>
                <w:szCs w:val="24"/>
              </w:rPr>
              <w:t>Ответственный за реализацию: ДГХ</w:t>
            </w: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A6596" w:rsidRPr="00CA6596" w:rsidTr="007A7A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Задача «Обеспечение эффективности </w:t>
            </w:r>
            <w:r w:rsidRPr="00CA65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деятельности ресурсоснабжающих организаций, стабилизация их финансового состояния»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CA6596">
              <w:rPr>
                <w:rFonts w:eastAsia="TimesNewRoman" w:cs="Times New Roman"/>
                <w:sz w:val="24"/>
                <w:szCs w:val="24"/>
              </w:rPr>
              <w:t>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A6596">
              <w:rPr>
                <w:rFonts w:eastAsia="Times New Roman" w:cs="Times New Roman"/>
                <w:sz w:val="24"/>
                <w:szCs w:val="24"/>
              </w:rPr>
              <w:t>доля возмещения недополученных доходов ресурсоснабжающим организациям</w:t>
            </w:r>
          </w:p>
        </w:tc>
      </w:tr>
    </w:tbl>
    <w:p w:rsidR="00CA6596" w:rsidRPr="00CA6596" w:rsidRDefault="00CA6596" w:rsidP="00CA6596">
      <w:pPr>
        <w:autoSpaceDE w:val="0"/>
        <w:autoSpaceDN w:val="0"/>
        <w:adjustRightInd w:val="0"/>
        <w:jc w:val="left"/>
        <w:outlineLvl w:val="0"/>
        <w:rPr>
          <w:rFonts w:cs="Times New Roman"/>
          <w:color w:val="FF0000"/>
          <w:sz w:val="24"/>
          <w:szCs w:val="24"/>
        </w:rPr>
        <w:sectPr w:rsidR="00CA6596" w:rsidRPr="00CA6596" w:rsidSect="00B06B20">
          <w:pgSz w:w="16838" w:h="11906" w:orient="landscape" w:code="9"/>
          <w:pgMar w:top="1701" w:right="567" w:bottom="567" w:left="567" w:header="709" w:footer="709" w:gutter="0"/>
          <w:cols w:space="708"/>
          <w:docGrid w:linePitch="360"/>
        </w:sectPr>
      </w:pPr>
    </w:p>
    <w:p w:rsidR="00CA6596" w:rsidRDefault="00CA6596" w:rsidP="00CA6596">
      <w:pPr>
        <w:ind w:firstLine="709"/>
      </w:pPr>
      <w:r w:rsidRPr="00CA6596">
        <w:t>4. Финансовое обеспечение муниципальной программы.</w:t>
      </w:r>
    </w:p>
    <w:p w:rsidR="00CA6596" w:rsidRDefault="00CA6596" w:rsidP="00CA6596"/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488"/>
        <w:gridCol w:w="1559"/>
        <w:gridCol w:w="1418"/>
        <w:gridCol w:w="1559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CA6596" w:rsidRPr="00CA6596" w:rsidTr="00CA6596">
        <w:trPr>
          <w:trHeight w:val="247"/>
        </w:trPr>
        <w:tc>
          <w:tcPr>
            <w:tcW w:w="2760" w:type="dxa"/>
            <w:vMerge w:val="restart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781" w:type="dxa"/>
            <w:gridSpan w:val="13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CA6596" w:rsidRPr="00CA6596" w:rsidTr="00CA6596">
        <w:trPr>
          <w:trHeight w:val="525"/>
        </w:trPr>
        <w:tc>
          <w:tcPr>
            <w:tcW w:w="2760" w:type="dxa"/>
            <w:vMerge/>
            <w:vAlign w:val="center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CA6596" w:rsidRPr="00CA6596" w:rsidTr="00CA6596">
        <w:trPr>
          <w:trHeight w:val="118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A6596" w:rsidRPr="00CA6596" w:rsidTr="00CA6596">
        <w:trPr>
          <w:trHeight w:val="333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Муниципальная программа (всего), в том числе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717 674 220,23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1 703 489 284,27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671 336 538,71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1 046 837 069,27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196 932 190,00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199 174 190,00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201 511 190,00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203 940 775,00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206 466 190,00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209 096 190,00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211 831 190,00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205 613 190,00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5 773 902 217,48</w:t>
            </w:r>
          </w:p>
        </w:tc>
      </w:tr>
      <w:tr w:rsidR="00CA6596" w:rsidRPr="00CA6596" w:rsidTr="00CA6596">
        <w:trPr>
          <w:trHeight w:val="257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647 619 334,23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1 654 650 828,27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624 218 718,71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1 017 851 879,27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167 947 000,00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170 189 000,00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172 526 000,00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174 955 585,00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177 481 000,00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180 111 000,00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182 846 000,00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176 628 000,00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5 347 024 345,48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42 059 910,44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95 934 700,00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30 744 600,00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37 288 200,00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206 027 410,44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416 367 782,29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1 309 962 100,00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533 743 300,00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886 474 600,00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95 649 000,00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95 647 000,00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95 647 000,00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95 647 000,00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95 647 000,00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95 647 000,00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95 648 000,00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86 588 000,00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3 902 667 782,29</w:t>
            </w:r>
          </w:p>
        </w:tc>
      </w:tr>
      <w:tr w:rsidR="00CA6596" w:rsidRPr="00CA6596" w:rsidTr="00CA6596">
        <w:trPr>
          <w:trHeight w:val="194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189 191 641,50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248 754 028,27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59 730 818,71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94 089 079,27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72 298 000,00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74 542 000,00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76 879 000,00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79 308 585,00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81 834 000,00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84 464 000,00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87 198 000,00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90 040 000,00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1 238 329 152,75</w:t>
            </w:r>
          </w:p>
        </w:tc>
      </w:tr>
      <w:tr w:rsidR="00CA6596" w:rsidRPr="00CA6596" w:rsidTr="00CA6596">
        <w:trPr>
          <w:trHeight w:val="70"/>
        </w:trPr>
        <w:tc>
          <w:tcPr>
            <w:tcW w:w="2760" w:type="dxa"/>
            <w:shd w:val="clear" w:color="000000" w:fill="FFFFFF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8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70 054 886,00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48 838 456,00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47 117 820,00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426 877 872,00</w:t>
            </w:r>
          </w:p>
        </w:tc>
      </w:tr>
      <w:tr w:rsidR="00CA6596" w:rsidRPr="00CA6596" w:rsidTr="00CA6596">
        <w:trPr>
          <w:trHeight w:val="671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1. Муниципальный проект  «Создание (реконструкция) коммунальных объектов»  (всего), в том числе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324 269 080,27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865 123 200,00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380 424 700,00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729 566 600,00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2 299 383 580,27</w:t>
            </w:r>
          </w:p>
        </w:tc>
      </w:tr>
      <w:tr w:rsidR="00CA6596" w:rsidRPr="00CA6596" w:rsidTr="00CA6596">
        <w:trPr>
          <w:trHeight w:val="40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324 269 080,27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865 123 200,00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380 424 700,00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729 566 600,00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2 299 383 580,27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248 816 192,73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785 386 700,00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361 403 200,00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693 088 200,00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2 088 694 292,73</w:t>
            </w:r>
          </w:p>
        </w:tc>
      </w:tr>
      <w:tr w:rsidR="00CA6596" w:rsidRPr="00CA6596" w:rsidTr="00CA6596">
        <w:trPr>
          <w:trHeight w:val="41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75 452 887,54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79 736 500,00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19 021 500,00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36 478 400,00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210 689 287,54</w:t>
            </w:r>
          </w:p>
        </w:tc>
      </w:tr>
      <w:tr w:rsidR="00CA6596" w:rsidRPr="00CA6596" w:rsidTr="00CA6596">
        <w:trPr>
          <w:trHeight w:val="118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825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2. Муниципальный проект  «Модернизация коммунальной инфраструктуры» (всего),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205 044 506,45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633 478 700,00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121 486 735,00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149 990 575,00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1 110 000 516,45</w:t>
            </w:r>
          </w:p>
        </w:tc>
      </w:tr>
      <w:tr w:rsidR="00CA6596" w:rsidRPr="00CA6596" w:rsidTr="00CA6596">
        <w:trPr>
          <w:trHeight w:val="303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205 044 506,45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633 478 700,00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121 486 735,00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149 990 575,00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1 110 000 516,45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42 059 910,44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95 934 700,00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30 744 600,00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37 288 200,00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206 027 410,44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129 117 089,56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430 035 200,00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72 593 600,00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90 161 900,00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721 907 789,56</w:t>
            </w:r>
          </w:p>
        </w:tc>
      </w:tr>
      <w:tr w:rsidR="00CA6596" w:rsidRPr="00CA6596" w:rsidTr="00CA6596">
        <w:trPr>
          <w:trHeight w:val="144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33 867 506,45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107 508 800,00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18 148 535,00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22 540 475,00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182 065 316,45</w:t>
            </w:r>
          </w:p>
        </w:tc>
      </w:tr>
      <w:tr w:rsidR="00CA6596" w:rsidRPr="00CA6596" w:rsidTr="00CA6596">
        <w:trPr>
          <w:trHeight w:val="7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9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3. Комплекс процессных мероприятий «Обеспечение надежности и качества предоставления коммунальных услуг»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43 288 750,00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44 420 750,00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19 998 375,00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18 248 250,00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134 790 589,00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142 565 923,00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144 902 923,00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141 799 174,00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149 857 923,00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152 487 923,00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149 689 589,00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149 004 923,00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1 291 055 092,00</w:t>
            </w:r>
          </w:p>
        </w:tc>
      </w:tr>
      <w:tr w:rsidR="00CA6596" w:rsidRPr="00CA6596" w:rsidTr="00CA6596">
        <w:trPr>
          <w:trHeight w:val="432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43 288 750,00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44 420 750,00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19 998 375,00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18 248 250,00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134 790 589,00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142 565 923,00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144 902 923,00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141 799 174,00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149 857 923,00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152 487 923,00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149 689 589,00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149 004 923,00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ind w:left="-105" w:right="-11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1 291 055 092,00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34 631 000,00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16 868 600,00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15 998 700,00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14 598 600,00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84 796 884,00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84 794 884,00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84 794 884,00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84 794 884,00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84 794 884,00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84 794 884,00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84 795 884,00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75 735 884,00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751 399 972,00</w:t>
            </w:r>
          </w:p>
        </w:tc>
      </w:tr>
      <w:tr w:rsidR="00CA6596" w:rsidRPr="00CA6596" w:rsidTr="00CA6596">
        <w:trPr>
          <w:trHeight w:val="152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8 657 750,00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27 552 150,00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3 999 675,00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3 649 650,00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49 993 705,00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57 771 039,00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60 108 039,00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57 004 290,00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65 063 039,00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67 693 039,00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64 893 705,00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73 269 039,00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539 655 120,00</w:t>
            </w:r>
          </w:p>
        </w:tc>
      </w:tr>
      <w:tr w:rsidR="00CA6596" w:rsidRPr="00CA6596" w:rsidTr="00CA6596">
        <w:trPr>
          <w:trHeight w:val="144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810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4. Комплекс процессных мероприятий «Обеспечение равных прав потребителей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получение энергетических ресурсов»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3 803 500,00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7 432 000,00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8 100 500,00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8 667 300,00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114 820 228,00</w:t>
            </w:r>
          </w:p>
        </w:tc>
      </w:tr>
      <w:tr w:rsidR="00CA6596" w:rsidRPr="00CA6596" w:rsidTr="00CA6596">
        <w:trPr>
          <w:trHeight w:val="289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3 803 500,00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7 432 000,00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8 100 500,00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8 667 300,00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114 820 228,00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3 803 500,00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7 432 000,00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8 100 500,00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8 667 300,00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10 852 116,00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114 820 228,00</w:t>
            </w:r>
          </w:p>
        </w:tc>
      </w:tr>
      <w:tr w:rsidR="00CA6596" w:rsidRPr="00CA6596" w:rsidTr="00CA6596">
        <w:trPr>
          <w:trHeight w:val="30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15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855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5. Комплекс процессных мероприятий «Разработка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актуализация схем тепло-, водоснабжения и водоотведения  города Сургута»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8 365 499,66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8 283 333,33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93 916 498,33</w:t>
            </w:r>
          </w:p>
        </w:tc>
      </w:tr>
      <w:tr w:rsidR="00CA6596" w:rsidRPr="00CA6596" w:rsidTr="00CA6596">
        <w:trPr>
          <w:trHeight w:val="31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8 365 499,66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8 283 333,33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93 916 498,33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178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8 365 499,66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8 200 499,67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8 283 333,33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11 066 667,00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5 533 333,00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93 916 498,33</w:t>
            </w:r>
          </w:p>
        </w:tc>
      </w:tr>
      <w:tr w:rsidR="00CA6596" w:rsidRPr="00CA6596" w:rsidTr="00CA6596">
        <w:trPr>
          <w:trHeight w:val="156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840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6. Комплекс процессных мероприятий «Реализация энергосберегающих мероприятий (проектов)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отраслях экономики»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132 902 883,85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74 594 534,60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57 478 429,04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52 122 410,94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40 222 818,00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638 880 802,43</w:t>
            </w:r>
          </w:p>
        </w:tc>
      </w:tr>
      <w:tr w:rsidR="00CA6596" w:rsidRPr="00CA6596" w:rsidTr="00CA6596">
        <w:trPr>
          <w:trHeight w:val="174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62 847 997,85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25 756 078,60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10 360 609,04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23 137 220,94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212 002 930,43</w:t>
            </w:r>
          </w:p>
        </w:tc>
      </w:tr>
      <w:tr w:rsidR="00CA6596" w:rsidRPr="00CA6596" w:rsidTr="00CA6596">
        <w:trPr>
          <w:trHeight w:val="63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57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7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62 847 997,85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25 756 078,60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10 360 609,04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23 137 220,94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11 237 628,00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212 002 930,43</w:t>
            </w:r>
          </w:p>
        </w:tc>
      </w:tr>
      <w:tr w:rsidR="00CA6596" w:rsidRPr="00CA6596" w:rsidTr="00CA6596">
        <w:trPr>
          <w:trHeight w:val="795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(средства СГМУП «Горводоканал»,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СГМУП «ГТС»)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70 054 886,00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48 838 456,00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47 117 820,00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28 985 190,00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426 877 872,00</w:t>
            </w:r>
          </w:p>
        </w:tc>
      </w:tr>
      <w:tr w:rsidR="00CA6596" w:rsidRPr="00CA6596" w:rsidTr="00CA6596">
        <w:trPr>
          <w:trHeight w:val="2430"/>
        </w:trPr>
        <w:tc>
          <w:tcPr>
            <w:tcW w:w="2760" w:type="dxa"/>
            <w:shd w:val="clear" w:color="auto" w:fill="auto"/>
            <w:hideMark/>
          </w:tcPr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7. Комплекс процессных мероприятий «Возмещение ресурсоснабжающим организациям, осуществляющим регулируемый вид деятельности в сфере тепло-, водоснабжения </w:t>
            </w:r>
          </w:p>
          <w:p w:rsid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</w:t>
            </w:r>
          </w:p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коммунальные услуги»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70 239 600,00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75 647 300,00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79 958 600,00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225 845 500,00</w:t>
            </w:r>
          </w:p>
        </w:tc>
      </w:tr>
      <w:tr w:rsidR="00CA6596" w:rsidRPr="00CA6596" w:rsidTr="00CA6596">
        <w:trPr>
          <w:trHeight w:val="285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бюджет муниципального образования, их них: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70 239 600,00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75 647 300,00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79 958 600,00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225 845 500,00</w:t>
            </w:r>
          </w:p>
        </w:tc>
      </w:tr>
      <w:tr w:rsidR="00CA6596" w:rsidRPr="00CA6596" w:rsidTr="00CA6596">
        <w:trPr>
          <w:trHeight w:val="60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555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70 239 600,00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75 647 300,00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79 958 600,00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225 845 500,00</w:t>
            </w:r>
          </w:p>
        </w:tc>
      </w:tr>
      <w:tr w:rsidR="00CA6596" w:rsidRPr="00CA6596" w:rsidTr="00CA6596">
        <w:trPr>
          <w:trHeight w:val="167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A6596" w:rsidRPr="00CA6596" w:rsidTr="00CA6596">
        <w:trPr>
          <w:trHeight w:val="70"/>
        </w:trPr>
        <w:tc>
          <w:tcPr>
            <w:tcW w:w="2760" w:type="dxa"/>
            <w:shd w:val="clear" w:color="auto" w:fill="auto"/>
            <w:hideMark/>
          </w:tcPr>
          <w:p w:rsidR="00CA6596" w:rsidRPr="00CA6596" w:rsidRDefault="00CA6596" w:rsidP="00CA6596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 </w:t>
            </w:r>
          </w:p>
        </w:tc>
        <w:tc>
          <w:tcPr>
            <w:tcW w:w="148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596" w:rsidRPr="00CA6596" w:rsidRDefault="00CA6596" w:rsidP="00CA659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A659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CA6596" w:rsidRPr="00CA6596" w:rsidRDefault="00CA6596" w:rsidP="00CA6596"/>
    <w:sectPr w:rsidR="00CA6596" w:rsidRPr="00CA6596" w:rsidSect="001443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16" w:rsidRDefault="00653116">
      <w:r>
        <w:separator/>
      </w:r>
    </w:p>
  </w:endnote>
  <w:endnote w:type="continuationSeparator" w:id="0">
    <w:p w:rsidR="00653116" w:rsidRDefault="0065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441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441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441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16" w:rsidRDefault="00653116">
      <w:r>
        <w:separator/>
      </w:r>
    </w:p>
  </w:footnote>
  <w:footnote w:type="continuationSeparator" w:id="0">
    <w:p w:rsidR="00653116" w:rsidRDefault="0065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207842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CA6596" w:rsidRPr="000A5F24" w:rsidRDefault="00CA6596">
        <w:pPr>
          <w:pStyle w:val="a3"/>
          <w:jc w:val="center"/>
          <w:rPr>
            <w:rFonts w:cs="Times New Roman"/>
            <w:sz w:val="20"/>
            <w:szCs w:val="20"/>
          </w:rPr>
        </w:pPr>
        <w:r w:rsidRPr="000A5F24">
          <w:rPr>
            <w:rFonts w:cs="Times New Roman"/>
            <w:sz w:val="20"/>
            <w:szCs w:val="20"/>
          </w:rPr>
          <w:fldChar w:fldCharType="begin"/>
        </w:r>
        <w:r w:rsidRPr="000A5F24">
          <w:rPr>
            <w:rFonts w:cs="Times New Roman"/>
            <w:sz w:val="20"/>
            <w:szCs w:val="20"/>
          </w:rPr>
          <w:instrText>PAGE   \* MERGEFORMAT</w:instrText>
        </w:r>
        <w:r w:rsidRPr="000A5F24">
          <w:rPr>
            <w:rFonts w:cs="Times New Roman"/>
            <w:sz w:val="20"/>
            <w:szCs w:val="20"/>
          </w:rPr>
          <w:fldChar w:fldCharType="separate"/>
        </w:r>
        <w:r w:rsidR="00944126">
          <w:rPr>
            <w:rFonts w:cs="Times New Roman"/>
            <w:noProof/>
            <w:sz w:val="20"/>
            <w:szCs w:val="20"/>
          </w:rPr>
          <w:t>1</w:t>
        </w:r>
        <w:r w:rsidRPr="000A5F24">
          <w:rPr>
            <w:rFonts w:cs="Times New Roman"/>
            <w:sz w:val="20"/>
            <w:szCs w:val="20"/>
          </w:rPr>
          <w:fldChar w:fldCharType="end"/>
        </w:r>
      </w:p>
    </w:sdtContent>
  </w:sdt>
  <w:p w:rsidR="00CA6596" w:rsidRDefault="00CA6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441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D1219">
          <w:rPr>
            <w:rStyle w:val="a7"/>
            <w:noProof/>
            <w:sz w:val="20"/>
          </w:rPr>
          <w:instrText>13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121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121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D1219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D1219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  <w:p w:rsidR="006E704F" w:rsidRDefault="0094412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8907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6596" w:rsidRPr="00CA6596" w:rsidRDefault="00CA6596">
        <w:pPr>
          <w:pStyle w:val="a3"/>
          <w:jc w:val="center"/>
          <w:rPr>
            <w:sz w:val="20"/>
            <w:szCs w:val="20"/>
          </w:rPr>
        </w:pPr>
        <w:r w:rsidRPr="00CA6596">
          <w:rPr>
            <w:sz w:val="20"/>
            <w:szCs w:val="20"/>
          </w:rPr>
          <w:fldChar w:fldCharType="begin"/>
        </w:r>
        <w:r w:rsidRPr="00CA6596">
          <w:rPr>
            <w:sz w:val="20"/>
            <w:szCs w:val="20"/>
          </w:rPr>
          <w:instrText>PAGE   \* MERGEFORMAT</w:instrText>
        </w:r>
        <w:r w:rsidRPr="00CA6596">
          <w:rPr>
            <w:sz w:val="20"/>
            <w:szCs w:val="20"/>
          </w:rPr>
          <w:fldChar w:fldCharType="separate"/>
        </w:r>
        <w:r w:rsidR="001D1219">
          <w:rPr>
            <w:noProof/>
            <w:sz w:val="20"/>
            <w:szCs w:val="20"/>
          </w:rPr>
          <w:t>11</w:t>
        </w:r>
        <w:r w:rsidRPr="00CA6596">
          <w:rPr>
            <w:sz w:val="20"/>
            <w:szCs w:val="20"/>
          </w:rPr>
          <w:fldChar w:fldCharType="end"/>
        </w:r>
      </w:p>
    </w:sdtContent>
  </w:sdt>
  <w:p w:rsidR="00DF6BBC" w:rsidRDefault="009441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96"/>
    <w:rsid w:val="00027338"/>
    <w:rsid w:val="00144345"/>
    <w:rsid w:val="001C51BE"/>
    <w:rsid w:val="001D1219"/>
    <w:rsid w:val="002E5A2C"/>
    <w:rsid w:val="00337298"/>
    <w:rsid w:val="004645D6"/>
    <w:rsid w:val="00637FFC"/>
    <w:rsid w:val="00653116"/>
    <w:rsid w:val="006D4FFF"/>
    <w:rsid w:val="007A7A8C"/>
    <w:rsid w:val="008E185F"/>
    <w:rsid w:val="00944126"/>
    <w:rsid w:val="009C65E0"/>
    <w:rsid w:val="00A23028"/>
    <w:rsid w:val="00AA7956"/>
    <w:rsid w:val="00AC2C5F"/>
    <w:rsid w:val="00B06B20"/>
    <w:rsid w:val="00B41AE5"/>
    <w:rsid w:val="00B72D54"/>
    <w:rsid w:val="00B7563B"/>
    <w:rsid w:val="00C420B6"/>
    <w:rsid w:val="00C5646A"/>
    <w:rsid w:val="00C8636C"/>
    <w:rsid w:val="00CA6596"/>
    <w:rsid w:val="00D11F14"/>
    <w:rsid w:val="00F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BDCAE4-063A-43B3-A3B1-00893CD8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A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A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yperlink" Target="garantF1://79222.0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4581</Words>
  <Characters>26118</Characters>
  <Application>Microsoft Office Word</Application>
  <DocSecurity>0</DocSecurity>
  <Lines>217</Lines>
  <Paragraphs>61</Paragraphs>
  <ScaleCrop>false</ScaleCrop>
  <Company/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2026-02-25T06:54:00Z</cp:lastPrinted>
  <dcterms:created xsi:type="dcterms:W3CDTF">2026-02-27T05:58:00Z</dcterms:created>
  <dcterms:modified xsi:type="dcterms:W3CDTF">2026-02-27T05:58:00Z</dcterms:modified>
</cp:coreProperties>
</file>