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21.06.2018 по 23.06.2018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21.06.2018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Летнии Юрты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Школьная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Югорский тракт(на обочине)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21.06.2018,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22.06.2018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База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Геологоразведчик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Крылова 30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Черемушки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22.06.2018,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23.06.2018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Быстринская 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Быстринская 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Профсоюзов, 55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Сосновая ул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СОТ Чистые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СОТ Чистые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 Индустриальная (дорога)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Школная, 26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Юность пос. Шушинская ул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23.06.2018,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17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21.06.2018 по 23.06.2018,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18:00-19:00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16:00-17:00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