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06.11.2018 по 08.11.2018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06.11.2018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Восточный пром.район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Восточный пром.район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Маяковского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Ч.Мыс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Ч.Мыс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06.11.2018,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07.11.2018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Дачн.кооператив "АВТОМОБИЛИСТ"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Нижневартовское шоссе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Снежный пос.ул.Чехова у магазина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ул.Заводская (станция ржд)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Финский пос.ул.Глухова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07.11.2018,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08.11.2018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пос.Кеддровый 9 (у дороги)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Таёжный пос.Автодорожная 119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ул.Инженерная 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Ч.Мыс ( Рынок АСКАНИЯ)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08.11.2018,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06.11.2018 по 08.11.2018,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42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2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vMerge w:val="restart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