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21.11.2018 по 23.11.2018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21.11.2018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пос.Таёжный, ул.Аэрофлотская 36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пос.Таёжный, ул.Аэрофлотская рядом с остановкой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пос.Таёжный, ул.Аэрофлотская рядом с остановкой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ул.Технологическая Торговый Град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ул.Технологическая Торговый Град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ул.Технологическая Торговый ГрадСеверный промышленнный район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21.11.2018,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22.11.2018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Ч.Мыс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22.11.2018,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23.11.2018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Перекрёсток улиц Зеленая и Затонская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Перекрёсток улиц Зеленая и Затонская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пос.ПСО-34 (около 26 дома)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ПСОК-5 Транспортный Строитель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СТ Чернореченский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Ч.Мыс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23.11.2018,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13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21.11.2018 по 23.11.2018,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