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2E" w:rsidRPr="00CB140D" w:rsidRDefault="0044012E" w:rsidP="0044012E">
      <w:pPr>
        <w:pStyle w:val="2"/>
        <w:rPr>
          <w:rFonts w:ascii="Arial" w:hAnsi="Arial" w:cs="Arial"/>
          <w:sz w:val="24"/>
          <w:u w:val="none"/>
        </w:rPr>
      </w:pPr>
      <w:r w:rsidRPr="00CB140D">
        <w:rPr>
          <w:rFonts w:ascii="Arial" w:hAnsi="Arial" w:cs="Arial"/>
          <w:sz w:val="24"/>
          <w:u w:val="none"/>
        </w:rPr>
        <w:t>ЗЕМЕЛЬНЫЙ НАЛОГ ФИЗИЧЕСКИХ ЛИЦ</w:t>
      </w:r>
    </w:p>
    <w:p w:rsidR="0044012E" w:rsidRPr="00CB140D" w:rsidRDefault="0044012E" w:rsidP="0044012E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Земельный налог (далее – налог) в соответствии с Налоговым кодексом Российской Федерации (далее – Кодекс) устанавливается нормативными правовыми актами представительных органов муниципальных образований (законами городов федерального значения).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b/>
          <w:sz w:val="24"/>
        </w:rPr>
        <w:t xml:space="preserve">ПЛАТЕЛЬЩИКИ НАЛОГА </w:t>
      </w:r>
      <w:r w:rsidRPr="00CB140D">
        <w:rPr>
          <w:rFonts w:ascii="Arial" w:hAnsi="Arial" w:cs="Arial"/>
          <w:sz w:val="24"/>
        </w:rPr>
        <w:t>– лица, обладающие налогооблагаемыми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</w:rPr>
      </w:pPr>
      <w:r w:rsidRPr="00CB140D">
        <w:rPr>
          <w:rFonts w:ascii="Arial" w:hAnsi="Arial" w:cs="Arial"/>
          <w:b/>
          <w:sz w:val="24"/>
        </w:rPr>
        <w:t xml:space="preserve">НЕ ЯВЛЯЮТСЯ ОБЪЕКТОМ НАЛОГООБЛОЖЕНИЯ: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- земельные участки, изъятые из оборота в соответствии с </w:t>
      </w:r>
      <w:hyperlink r:id="rId8" w:history="1">
        <w:r w:rsidRPr="00CB140D">
          <w:rPr>
            <w:rFonts w:ascii="Arial" w:hAnsi="Arial" w:cs="Arial"/>
            <w:bCs/>
            <w:sz w:val="24"/>
          </w:rPr>
          <w:t>законодательством</w:t>
        </w:r>
      </w:hyperlink>
      <w:r w:rsidRPr="00CB140D">
        <w:rPr>
          <w:rFonts w:ascii="Arial" w:hAnsi="Arial" w:cs="Arial"/>
          <w:bCs/>
          <w:sz w:val="24"/>
        </w:rPr>
        <w:t xml:space="preserve"> Российской Федерации;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  <w:proofErr w:type="gramStart"/>
      <w:r w:rsidRPr="00CB140D">
        <w:rPr>
          <w:rFonts w:ascii="Arial" w:hAnsi="Arial" w:cs="Arial"/>
          <w:bCs/>
          <w:sz w:val="24"/>
        </w:rPr>
        <w:t xml:space="preserve">- земельные участки, ограниченные в обороте в соответствии с </w:t>
      </w:r>
      <w:hyperlink r:id="rId9" w:history="1">
        <w:r w:rsidRPr="00CB140D">
          <w:rPr>
            <w:rFonts w:ascii="Arial" w:hAnsi="Arial" w:cs="Arial"/>
            <w:bCs/>
            <w:sz w:val="24"/>
          </w:rPr>
          <w:t>законодательством</w:t>
        </w:r>
      </w:hyperlink>
      <w:r w:rsidRPr="00CB140D">
        <w:rPr>
          <w:rFonts w:ascii="Arial" w:hAnsi="Arial" w:cs="Arial"/>
          <w:bCs/>
          <w:sz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  <w:proofErr w:type="gramEnd"/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- земельные участки из состава </w:t>
      </w:r>
      <w:hyperlink r:id="rId10" w:history="1">
        <w:r w:rsidRPr="00CB140D">
          <w:rPr>
            <w:rFonts w:ascii="Arial" w:hAnsi="Arial" w:cs="Arial"/>
            <w:bCs/>
            <w:sz w:val="24"/>
          </w:rPr>
          <w:t>земель</w:t>
        </w:r>
      </w:hyperlink>
      <w:r w:rsidRPr="00CB140D">
        <w:rPr>
          <w:rFonts w:ascii="Arial" w:hAnsi="Arial" w:cs="Arial"/>
          <w:bCs/>
          <w:sz w:val="24"/>
        </w:rPr>
        <w:t xml:space="preserve"> лесного фонда;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>- земельные участки, входящие в состав общего имущества многоквартирного дома.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proofErr w:type="gramStart"/>
      <w:r w:rsidRPr="00CB140D">
        <w:rPr>
          <w:rFonts w:ascii="Arial" w:hAnsi="Arial" w:cs="Arial"/>
          <w:b/>
          <w:sz w:val="24"/>
        </w:rPr>
        <w:t>НАЛОГ</w:t>
      </w:r>
      <w:r w:rsidRPr="00CB140D">
        <w:rPr>
          <w:rFonts w:ascii="Arial" w:hAnsi="Arial" w:cs="Arial"/>
          <w:sz w:val="24"/>
        </w:rPr>
        <w:t xml:space="preserve">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 (органы Росреестра), сведений нотариусов, органов, осуществляющих регистрацию (миграционный учет) физических лиц (органы МВД России и т.д.), регистрацию актов гражданского состояния (органы ЗАГС и т.д.), органов, осуществляющих выдачу документов, удостоверяющих личность (органы МВД России и т.д.).</w:t>
      </w:r>
      <w:proofErr w:type="gramEnd"/>
    </w:p>
    <w:p w:rsidR="0044012E" w:rsidRPr="00ED7971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Cs w:val="28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</w:rPr>
      </w:pPr>
      <w:r w:rsidRPr="00CB140D">
        <w:rPr>
          <w:rFonts w:ascii="Arial" w:hAnsi="Arial" w:cs="Arial"/>
          <w:b/>
          <w:sz w:val="24"/>
        </w:rPr>
        <w:t xml:space="preserve">ФОРМУЛА РАСЧЕТА НАЛОГА 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4"/>
            </w:rPr>
            <m:t>Налог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>=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>Налоговая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 xml:space="preserve"> 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>база×</m:t>
          </m:r>
          <m:f>
            <m:fPr>
              <m:ctrlPr>
                <w:rPr>
                  <w:rFonts w:ascii="Cambria Math" w:hAnsi="Arial" w:cs="Arial"/>
                  <w:i/>
                  <w:sz w:val="24"/>
                </w:rPr>
              </m:ctrlPr>
            </m:fPr>
            <m:num>
              <m:r>
                <w:rPr>
                  <w:rFonts w:ascii="Cambria Math" w:hAnsi="Arial" w:cs="Arial"/>
                  <w:sz w:val="24"/>
                </w:rPr>
                <m:t>налоговая</m:t>
              </m:r>
              <m:r>
                <w:rPr>
                  <w:rFonts w:ascii="Cambria Math" w:hAnsi="Arial" w:cs="Arial"/>
                  <w:sz w:val="24"/>
                </w:rPr>
                <m:t xml:space="preserve"> </m:t>
              </m:r>
              <m:r>
                <w:rPr>
                  <w:rFonts w:ascii="Cambria Math" w:hAnsi="Arial" w:cs="Arial"/>
                  <w:sz w:val="24"/>
                </w:rPr>
                <m:t>ставка</m:t>
              </m:r>
              <m:r>
                <w:rPr>
                  <w:rFonts w:ascii="Cambria Math" w:hAnsi="Arial" w:cs="Arial"/>
                  <w:sz w:val="24"/>
                </w:rPr>
                <m:t>,%</m:t>
              </m:r>
            </m:num>
            <m:den>
              <m:r>
                <w:rPr>
                  <w:rFonts w:ascii="Cambria Math" w:hAnsi="Arial" w:cs="Arial"/>
                  <w:sz w:val="24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Arial" w:cs="Arial"/>
              <w:sz w:val="24"/>
            </w:rPr>
            <m:t>×доля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 xml:space="preserve"> 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>в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 xml:space="preserve"> </m:t>
          </m:r>
          <m:r>
            <m:rPr>
              <m:sty m:val="bi"/>
            </m:rPr>
            <w:rPr>
              <w:rFonts w:ascii="Cambria Math" w:hAnsi="Arial" w:cs="Arial"/>
              <w:sz w:val="24"/>
            </w:rPr>
            <m:t>праве×</m:t>
          </m:r>
        </m:oMath>
      </m:oMathPara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4"/>
            </w:rPr>
            <m:t>×</m:t>
          </m:r>
          <m:f>
            <m:fPr>
              <m:ctrlPr>
                <w:rPr>
                  <w:rFonts w:ascii="Cambria Math" w:hAnsi="Arial" w:cs="Arial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sz w:val="24"/>
                </w:rPr>
                <m:t>количество</m:t>
              </m:r>
              <m:r>
                <m:rPr>
                  <m:sty m:val="bi"/>
                </m:rPr>
                <w:rPr>
                  <w:rFonts w:ascii="Cambria Math" w:hAnsi="Arial" w:cs="Arial"/>
                  <w:sz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Arial" w:cs="Arial"/>
                  <w:sz w:val="24"/>
                </w:rPr>
                <m:t>месяцев</m:t>
              </m:r>
              <m:r>
                <m:rPr>
                  <m:sty m:val="bi"/>
                </m:rPr>
                <w:rPr>
                  <w:rFonts w:ascii="Cambria Math" w:hAnsi="Arial" w:cs="Arial"/>
                  <w:sz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Arial" w:cs="Arial"/>
                  <w:sz w:val="24"/>
                </w:rPr>
                <m:t>владения</m:t>
              </m:r>
            </m:num>
            <m:den>
              <m:r>
                <w:rPr>
                  <w:rFonts w:ascii="Cambria Math" w:hAnsi="Arial" w:cs="Arial"/>
                  <w:sz w:val="24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Arial" w:cs="Arial"/>
              <w:sz w:val="24"/>
            </w:rPr>
            <m:t>×Коэффициенты</m:t>
          </m:r>
        </m:oMath>
      </m:oMathPara>
    </w:p>
    <w:p w:rsidR="0044012E" w:rsidRPr="00ED7971" w:rsidRDefault="0044012E" w:rsidP="0044012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Cs w:val="28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b/>
          <w:sz w:val="24"/>
        </w:rPr>
        <w:t>НАЛОГОВАЯ БАЗА</w:t>
      </w:r>
      <w:r w:rsidRPr="00CB140D">
        <w:rPr>
          <w:rFonts w:ascii="Arial" w:hAnsi="Arial" w:cs="Arial"/>
          <w:sz w:val="24"/>
        </w:rPr>
        <w:t xml:space="preserve"> – кадастровая стоимость земельного участка, внесенная в Единый государственный реестр недвижимости (далее – ЕГРН) и подлежащая применению с 1 января года, являющего налоговым периодом</w:t>
      </w:r>
      <w:r w:rsidRPr="00CB140D">
        <w:rPr>
          <w:rStyle w:val="a8"/>
          <w:rFonts w:ascii="Arial" w:hAnsi="Arial" w:cs="Arial"/>
          <w:sz w:val="24"/>
        </w:rPr>
        <w:footnoteReference w:id="1"/>
      </w:r>
      <w:r w:rsidRPr="00CB140D">
        <w:rPr>
          <w:rFonts w:ascii="Arial" w:hAnsi="Arial" w:cs="Arial"/>
          <w:sz w:val="24"/>
        </w:rPr>
        <w:t xml:space="preserve">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lastRenderedPageBreak/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ЕГРН сведений, являющихся основанием для определения кадастровой стоимости такого земельного участка.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ЕГРН сведений, являющихся основанием для определения кадастровой стоимости.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proofErr w:type="gramStart"/>
      <w:r w:rsidRPr="00CB140D">
        <w:rPr>
          <w:rFonts w:ascii="Arial" w:hAnsi="Arial" w:cs="Arial"/>
          <w:sz w:val="24"/>
        </w:rPr>
        <w:t>В случае изменения кадастровой стоимости объекта налогообложения вследствие исправления технической ошибки в сведениях ЕГРН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</w:t>
      </w:r>
      <w:proofErr w:type="gramEnd"/>
      <w:r w:rsidRPr="00CB140D">
        <w:rPr>
          <w:rFonts w:ascii="Arial" w:hAnsi="Arial" w:cs="Arial"/>
          <w:sz w:val="24"/>
        </w:rPr>
        <w:t xml:space="preserve"> стоимости, сведения об измененной кадастровой стоимости, внесенные в ЕГРН, учитываются при определении налоговой базы начиная </w:t>
      </w:r>
      <w:proofErr w:type="gramStart"/>
      <w:r w:rsidRPr="00CB140D">
        <w:rPr>
          <w:rFonts w:ascii="Arial" w:hAnsi="Arial" w:cs="Arial"/>
          <w:sz w:val="24"/>
        </w:rPr>
        <w:t>с даты начала</w:t>
      </w:r>
      <w:proofErr w:type="gramEnd"/>
      <w:r w:rsidRPr="00CB140D">
        <w:rPr>
          <w:rFonts w:ascii="Arial" w:hAnsi="Arial" w:cs="Arial"/>
          <w:sz w:val="24"/>
        </w:rPr>
        <w:t xml:space="preserve"> применения для целей налогообложения сведений об изменяемой кадастровой стоимости.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proofErr w:type="gramStart"/>
      <w:r w:rsidRPr="00CB140D">
        <w:rPr>
          <w:rFonts w:ascii="Arial" w:hAnsi="Arial" w:cs="Arial"/>
          <w:sz w:val="24"/>
        </w:rPr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ЕГРН, учитываются при определении налоговой базы начиная с даты начала применения для целей налогообложения кадастровой стоимости, являющейся предметом оспаривания.</w:t>
      </w:r>
      <w:proofErr w:type="gramEnd"/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Справочно: сведения о кадастровой стоимости можно получить через интернет-портал Росреестра «Публичная кадастровая карта» http://maps.rosreestr.ru/PortalOnline/.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proofErr w:type="gramStart"/>
      <w:r w:rsidRPr="00CB140D">
        <w:rPr>
          <w:rFonts w:ascii="Arial" w:hAnsi="Arial" w:cs="Arial"/>
          <w:b/>
          <w:sz w:val="24"/>
        </w:rPr>
        <w:t xml:space="preserve">КОЛИЧЕСТВО МЕСЯЦЕВ ВЛАДЕНИЯ </w:t>
      </w:r>
      <w:r w:rsidRPr="00CB140D">
        <w:rPr>
          <w:rFonts w:ascii="Arial" w:hAnsi="Arial" w:cs="Arial"/>
          <w:sz w:val="24"/>
        </w:rPr>
        <w:t>–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</w:t>
      </w:r>
      <w:proofErr w:type="gramEnd"/>
      <w:r w:rsidRPr="00CB140D">
        <w:rPr>
          <w:rFonts w:ascii="Arial" w:hAnsi="Arial" w:cs="Arial"/>
          <w:sz w:val="24"/>
        </w:rPr>
        <w:t xml:space="preserve"> (</w:t>
      </w:r>
      <w:proofErr w:type="gramStart"/>
      <w:r w:rsidRPr="00CB140D">
        <w:rPr>
          <w:rFonts w:ascii="Arial" w:hAnsi="Arial" w:cs="Arial"/>
          <w:sz w:val="24"/>
        </w:rPr>
        <w:t xml:space="preserve">бессрочном) пользовании, пожизненном наследуемом владении) налогоплательщика, к числу календарных месяцев в налоговом (отчетном) периоде. </w:t>
      </w:r>
      <w:proofErr w:type="gramEnd"/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CB140D">
        <w:rPr>
          <w:rFonts w:ascii="Arial" w:hAnsi="Arial" w:cs="Arial"/>
          <w:sz w:val="24"/>
        </w:rPr>
        <w:t>за полный месяц</w:t>
      </w:r>
      <w:proofErr w:type="gramEnd"/>
      <w:r w:rsidRPr="00CB140D">
        <w:rPr>
          <w:rFonts w:ascii="Arial" w:hAnsi="Arial" w:cs="Arial"/>
          <w:sz w:val="24"/>
        </w:rPr>
        <w:t xml:space="preserve"> принимается месяц возникновения (прекращения) указанного права.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lastRenderedPageBreak/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4012E" w:rsidRPr="00ED7971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8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b/>
          <w:sz w:val="24"/>
        </w:rPr>
        <w:t xml:space="preserve">НАЛОГОВЫЕ СТАВКИ </w:t>
      </w:r>
      <w:r w:rsidRPr="00CB140D">
        <w:rPr>
          <w:rFonts w:ascii="Arial" w:hAnsi="Arial" w:cs="Arial"/>
          <w:sz w:val="24"/>
        </w:rPr>
        <w:t xml:space="preserve">устанавливаются в зависимости от </w:t>
      </w:r>
      <w:hyperlink r:id="rId11" w:history="1">
        <w:r w:rsidRPr="00CB140D">
          <w:rPr>
            <w:rFonts w:ascii="Arial" w:hAnsi="Arial" w:cs="Arial"/>
            <w:sz w:val="24"/>
          </w:rPr>
          <w:t>категории</w:t>
        </w:r>
      </w:hyperlink>
      <w:r w:rsidRPr="00CB140D">
        <w:rPr>
          <w:rFonts w:ascii="Arial" w:hAnsi="Arial" w:cs="Arial"/>
          <w:sz w:val="24"/>
        </w:rPr>
        <w:t xml:space="preserve"> земель и (или) разрешенного использования земельного </w:t>
      </w:r>
      <w:proofErr w:type="spellStart"/>
      <w:r w:rsidRPr="00CB140D">
        <w:rPr>
          <w:rFonts w:ascii="Arial" w:hAnsi="Arial" w:cs="Arial"/>
          <w:sz w:val="24"/>
        </w:rPr>
        <w:t>участка:______________</w:t>
      </w:r>
      <w:r w:rsidRPr="00CB140D">
        <w:rPr>
          <w:rFonts w:ascii="Arial" w:hAnsi="Arial" w:cs="Arial"/>
          <w:sz w:val="24"/>
          <w:u w:val="single"/>
        </w:rPr>
        <w:t>город</w:t>
      </w:r>
      <w:proofErr w:type="spellEnd"/>
      <w:r w:rsidRPr="00CB140D">
        <w:rPr>
          <w:rFonts w:ascii="Arial" w:hAnsi="Arial" w:cs="Arial"/>
          <w:sz w:val="24"/>
          <w:u w:val="single"/>
        </w:rPr>
        <w:t xml:space="preserve"> Сургут</w:t>
      </w:r>
      <w:r w:rsidRPr="00CB140D">
        <w:rPr>
          <w:rFonts w:ascii="Arial" w:hAnsi="Arial" w:cs="Arial"/>
          <w:sz w:val="24"/>
        </w:rPr>
        <w:t>__________________________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5289"/>
        <w:gridCol w:w="1794"/>
        <w:gridCol w:w="28"/>
        <w:gridCol w:w="1778"/>
      </w:tblGrid>
      <w:tr w:rsidR="0044012E" w:rsidRPr="00CB140D" w:rsidTr="009F12AC">
        <w:tc>
          <w:tcPr>
            <w:tcW w:w="325" w:type="dxa"/>
            <w:vMerge w:val="restart"/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vMerge w:val="restart"/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Категория (вид использования)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b/>
                <w:sz w:val="20"/>
                <w:szCs w:val="20"/>
              </w:rPr>
              <w:t>Налоговая ставка (Решение Сургутской городской Думы от 26.10.2005 № 505-</w:t>
            </w:r>
            <w:r w:rsidRPr="00CB140D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CB140D">
              <w:rPr>
                <w:rFonts w:ascii="Arial" w:hAnsi="Arial" w:cs="Arial"/>
                <w:b/>
                <w:sz w:val="20"/>
                <w:szCs w:val="20"/>
              </w:rPr>
              <w:t xml:space="preserve"> (в редакции от 26.09.2019   № 476 – </w:t>
            </w:r>
            <w:r w:rsidRPr="00CB140D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CB140D">
              <w:rPr>
                <w:rFonts w:ascii="Arial" w:hAnsi="Arial" w:cs="Arial"/>
                <w:b/>
                <w:sz w:val="20"/>
                <w:szCs w:val="20"/>
              </w:rPr>
              <w:t xml:space="preserve"> ДГ)</w:t>
            </w:r>
            <w:proofErr w:type="gramEnd"/>
          </w:p>
        </w:tc>
      </w:tr>
      <w:tr w:rsidR="009F12AC" w:rsidRPr="00CB140D" w:rsidTr="009F12AC">
        <w:tc>
          <w:tcPr>
            <w:tcW w:w="325" w:type="dxa"/>
            <w:vMerge/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vMerge/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2020 г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9F12AC" w:rsidP="009F1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2021 г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назначения: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solid" w:color="E1EBF7" w:fill="DDE9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используемые для сельскохозяйственного производства</w:t>
            </w:r>
          </w:p>
        </w:tc>
        <w:tc>
          <w:tcPr>
            <w:tcW w:w="1822" w:type="dxa"/>
            <w:gridSpan w:val="2"/>
            <w:shd w:val="solid" w:color="E1EBF7" w:fill="DDE9F7"/>
          </w:tcPr>
          <w:p w:rsidR="009F12AC" w:rsidRPr="00CB140D" w:rsidRDefault="009F12AC" w:rsidP="00A4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0,3 %</w:t>
            </w:r>
          </w:p>
        </w:tc>
        <w:tc>
          <w:tcPr>
            <w:tcW w:w="1778" w:type="dxa"/>
            <w:shd w:val="solid" w:color="E1EBF7" w:fill="DDE9F7"/>
          </w:tcPr>
          <w:p w:rsidR="009F12AC" w:rsidRPr="00CB140D" w:rsidRDefault="009F12AC" w:rsidP="00A4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auto"/>
          </w:tcPr>
          <w:p w:rsidR="009F12AC" w:rsidRPr="00CB140D" w:rsidRDefault="009F12AC" w:rsidP="00967175">
            <w:pPr>
              <w:pStyle w:val="a3"/>
              <w:autoSpaceDE w:val="0"/>
              <w:autoSpaceDN w:val="0"/>
              <w:adjustRightInd w:val="0"/>
              <w:spacing w:after="120" w:line="480" w:lineRule="auto"/>
              <w:ind w:left="283" w:firstLine="0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A41C49" w:rsidP="00A41C49">
            <w:pPr>
              <w:pStyle w:val="a3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>0,16 %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9F12AC" w:rsidRPr="00CB140D" w:rsidRDefault="009F12AC" w:rsidP="00A41C49">
            <w:pPr>
              <w:pStyle w:val="a3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0,19 %</w:t>
            </w:r>
          </w:p>
        </w:tc>
      </w:tr>
      <w:tr w:rsidR="009F12AC" w:rsidRPr="00CB140D" w:rsidTr="009F12AC">
        <w:trPr>
          <w:trHeight w:val="1597"/>
        </w:trPr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44012E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Иные земельные участки, отнесенные к категории земель сельскохозяйственного назначения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A4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A4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Земли населенных пунктов: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 xml:space="preserve">Земельные участки, предназначенные для размещения домов </w:t>
            </w:r>
            <w:proofErr w:type="spellStart"/>
            <w:r w:rsidRPr="00CB140D">
              <w:rPr>
                <w:rFonts w:ascii="Arial" w:hAnsi="Arial" w:cs="Arial"/>
                <w:sz w:val="20"/>
                <w:szCs w:val="20"/>
              </w:rPr>
              <w:t>среднеэтажной</w:t>
            </w:r>
            <w:proofErr w:type="spellEnd"/>
            <w:r w:rsidRPr="00CB140D">
              <w:rPr>
                <w:rFonts w:ascii="Arial" w:hAnsi="Arial" w:cs="Arial"/>
                <w:sz w:val="20"/>
                <w:szCs w:val="20"/>
              </w:rPr>
              <w:t xml:space="preserve"> и многоэтажной жилой застройки, за исключением земельных участков, входящих в состав общего имущества многоквартирного дома: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sz w:val="20"/>
                <w:szCs w:val="20"/>
              </w:rPr>
              <w:t>занятые жилищным фондом и объектами инженерной инфраструктуры жилищно-коммунального комплекса или приобретенные (предоставленные) для жилищного строительства</w:t>
            </w:r>
            <w:proofErr w:type="gramEnd"/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0,11 %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F1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0,16 %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доля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1,1 %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0,24 %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F1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0,26 %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0,5 %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0,8 %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0,16 %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F1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0,19 %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 xml:space="preserve">Земельные участки, предназначенные для размещения объектов торговли, общественного </w:t>
            </w:r>
            <w:r w:rsidRPr="00CB140D">
              <w:rPr>
                <w:rFonts w:ascii="Arial" w:hAnsi="Arial" w:cs="Arial"/>
                <w:sz w:val="20"/>
                <w:szCs w:val="20"/>
              </w:rPr>
              <w:lastRenderedPageBreak/>
              <w:t>питания, бытового обслуживания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lastRenderedPageBreak/>
              <w:t>0,9 %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1,16 %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F12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1,24 %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0,8 %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C32EE4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0,8 %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C32EE4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1,16 %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C32EE4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1,24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CB140D">
              <w:rPr>
                <w:rFonts w:ascii="Arial" w:hAnsi="Arial" w:cs="Arial"/>
                <w:sz w:val="20"/>
                <w:szCs w:val="20"/>
              </w:rPr>
              <w:t xml:space="preserve"> транспорта, энергетики и связи,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822" w:type="dxa"/>
            <w:gridSpan w:val="2"/>
            <w:shd w:val="clear" w:color="auto" w:fill="E1EBF7"/>
          </w:tcPr>
          <w:p w:rsidR="009F12AC" w:rsidRPr="00CB140D" w:rsidRDefault="009F12AC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</w:t>
            </w:r>
            <w:r w:rsidR="00C32EE4" w:rsidRPr="00CB140D">
              <w:rPr>
                <w:rFonts w:ascii="Arial" w:hAnsi="Arial" w:cs="Arial"/>
                <w:sz w:val="20"/>
                <w:szCs w:val="20"/>
              </w:rPr>
              <w:t>16</w:t>
            </w:r>
            <w:r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778" w:type="dxa"/>
            <w:shd w:val="clear" w:color="auto" w:fill="E1EBF7"/>
          </w:tcPr>
          <w:p w:rsidR="009F12AC" w:rsidRPr="00CB140D" w:rsidRDefault="00C32EE4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1,24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794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794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Федерации,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794" w:type="dxa"/>
            <w:shd w:val="clear" w:color="auto" w:fill="E1EBF7"/>
          </w:tcPr>
          <w:p w:rsidR="009F12AC" w:rsidRPr="00CB140D" w:rsidRDefault="009F12AC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</w:t>
            </w:r>
            <w:r w:rsidR="00C32EE4" w:rsidRPr="00CB140D">
              <w:rPr>
                <w:rFonts w:ascii="Arial" w:hAnsi="Arial" w:cs="Arial"/>
                <w:sz w:val="20"/>
                <w:szCs w:val="20"/>
              </w:rPr>
              <w:t>16</w:t>
            </w:r>
            <w:r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9F12AC" w:rsidP="00C32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</w:t>
            </w:r>
            <w:r w:rsidR="00C32EE4" w:rsidRPr="00CB140D">
              <w:rPr>
                <w:rFonts w:ascii="Arial" w:hAnsi="Arial" w:cs="Arial"/>
                <w:sz w:val="20"/>
                <w:szCs w:val="20"/>
              </w:rPr>
              <w:t>24</w:t>
            </w:r>
            <w:r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794" w:type="dxa"/>
            <w:shd w:val="clear" w:color="auto" w:fill="E1EBF7"/>
          </w:tcPr>
          <w:p w:rsidR="009F12AC" w:rsidRPr="00CB140D" w:rsidRDefault="00C32EE4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0,8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C32EE4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</w:t>
            </w:r>
            <w:r w:rsidR="009F12AC" w:rsidRPr="00CB140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794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0,3 %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0,3 %</w:t>
            </w:r>
          </w:p>
        </w:tc>
      </w:tr>
      <w:tr w:rsidR="009F12AC" w:rsidRPr="00CB140D" w:rsidTr="009F12AC">
        <w:tc>
          <w:tcPr>
            <w:tcW w:w="325" w:type="dxa"/>
            <w:shd w:val="clear" w:color="auto" w:fill="auto"/>
          </w:tcPr>
          <w:p w:rsidR="009F12AC" w:rsidRPr="00CB140D" w:rsidRDefault="009F12AC" w:rsidP="004401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Иные категории земель</w:t>
            </w:r>
          </w:p>
        </w:tc>
        <w:tc>
          <w:tcPr>
            <w:tcW w:w="1794" w:type="dxa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  <w:tc>
          <w:tcPr>
            <w:tcW w:w="1806" w:type="dxa"/>
            <w:gridSpan w:val="2"/>
            <w:shd w:val="clear" w:color="auto" w:fill="E1EBF7"/>
          </w:tcPr>
          <w:p w:rsidR="009F12AC" w:rsidRPr="00CB140D" w:rsidRDefault="009F12AC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1,5 %</w:t>
            </w:r>
          </w:p>
        </w:tc>
      </w:tr>
    </w:tbl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CB140D">
        <w:rPr>
          <w:rFonts w:ascii="Arial" w:hAnsi="Arial" w:cs="Arial"/>
          <w:sz w:val="24"/>
        </w:rPr>
        <w:t>образования</w:t>
      </w:r>
      <w:proofErr w:type="gramEnd"/>
      <w:r w:rsidRPr="00CB140D">
        <w:rPr>
          <w:rFonts w:ascii="Arial" w:hAnsi="Arial" w:cs="Arial"/>
          <w:sz w:val="24"/>
        </w:rPr>
        <w:t xml:space="preserve"> на территории Российской Федерации, Вы можете ознакомиться на сайте ФНС России </w:t>
      </w:r>
      <w:hyperlink r:id="rId12" w:history="1">
        <w:r w:rsidR="00C70EDC" w:rsidRPr="00CB140D">
          <w:rPr>
            <w:rStyle w:val="a7"/>
            <w:rFonts w:ascii="Arial" w:hAnsi="Arial" w:cs="Arial"/>
            <w:sz w:val="24"/>
          </w:rPr>
          <w:t>www.nalog.</w:t>
        </w:r>
        <w:r w:rsidR="00C70EDC" w:rsidRPr="00CB140D">
          <w:rPr>
            <w:rStyle w:val="a7"/>
            <w:rFonts w:ascii="Arial" w:hAnsi="Arial" w:cs="Arial"/>
            <w:sz w:val="24"/>
            <w:lang w:val="en-JM"/>
          </w:rPr>
          <w:t>gov</w:t>
        </w:r>
        <w:r w:rsidR="00C70EDC" w:rsidRPr="00CB140D">
          <w:rPr>
            <w:rStyle w:val="a7"/>
            <w:rFonts w:ascii="Arial" w:hAnsi="Arial" w:cs="Arial"/>
            <w:sz w:val="24"/>
          </w:rPr>
          <w:t>.ru</w:t>
        </w:r>
      </w:hyperlink>
      <w:r w:rsidRPr="00CB140D">
        <w:rPr>
          <w:rFonts w:ascii="Arial" w:hAnsi="Arial" w:cs="Arial"/>
          <w:sz w:val="24"/>
        </w:rPr>
        <w:t>, в интернет-сервисе «Справочная информация о ставках и льготах по имущественным налогам».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</w:rPr>
      </w:pPr>
      <w:r w:rsidRPr="00CB140D">
        <w:rPr>
          <w:rFonts w:ascii="Arial" w:hAnsi="Arial" w:cs="Arial"/>
          <w:b/>
          <w:sz w:val="24"/>
        </w:rPr>
        <w:t xml:space="preserve">КОЭФФИЦИЕНТЫ 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</w:t>
      </w:r>
      <w:r w:rsidRPr="00CB140D">
        <w:rPr>
          <w:rFonts w:ascii="Arial" w:hAnsi="Arial" w:cs="Arial"/>
          <w:b/>
          <w:bCs/>
          <w:sz w:val="24"/>
        </w:rPr>
        <w:t>коэффициента 2</w:t>
      </w:r>
      <w:r w:rsidRPr="00CB140D">
        <w:rPr>
          <w:rFonts w:ascii="Arial" w:hAnsi="Arial" w:cs="Arial"/>
          <w:bCs/>
          <w:sz w:val="24"/>
        </w:rPr>
        <w:t xml:space="preserve"> в течение трехлетнего срока </w:t>
      </w:r>
      <w:proofErr w:type="gramStart"/>
      <w:r w:rsidRPr="00CB140D">
        <w:rPr>
          <w:rFonts w:ascii="Arial" w:hAnsi="Arial" w:cs="Arial"/>
          <w:bCs/>
          <w:sz w:val="24"/>
        </w:rPr>
        <w:t>строительства</w:t>
      </w:r>
      <w:proofErr w:type="gramEnd"/>
      <w:r w:rsidRPr="00CB140D">
        <w:rPr>
          <w:rFonts w:ascii="Arial" w:hAnsi="Arial" w:cs="Arial"/>
          <w:bCs/>
          <w:sz w:val="24"/>
        </w:rPr>
        <w:t xml:space="preserve"> начиная с даты государственной регистрации прав на данные участки вплоть до государственной регистрации прав на построенный объект недвижимости. 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</w:t>
      </w:r>
      <w:r w:rsidRPr="00CB140D">
        <w:rPr>
          <w:rFonts w:ascii="Arial" w:hAnsi="Arial" w:cs="Arial"/>
          <w:b/>
          <w:bCs/>
          <w:sz w:val="24"/>
        </w:rPr>
        <w:t>коэффициента 1</w:t>
      </w:r>
      <w:r w:rsidRPr="00CB140D">
        <w:rPr>
          <w:rFonts w:ascii="Arial" w:hAnsi="Arial" w:cs="Arial"/>
          <w:bCs/>
          <w:sz w:val="24"/>
        </w:rPr>
        <w:t>, признается суммой излишне уплаченного налога и подлежит зачету (возврату) налогоплательщику.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</w:t>
      </w:r>
      <w:r w:rsidRPr="00CB140D">
        <w:rPr>
          <w:rFonts w:ascii="Arial" w:hAnsi="Arial" w:cs="Arial"/>
          <w:b/>
          <w:bCs/>
          <w:sz w:val="24"/>
        </w:rPr>
        <w:t>коэффициента 4</w:t>
      </w:r>
      <w:r w:rsidRPr="00CB140D">
        <w:rPr>
          <w:rFonts w:ascii="Arial" w:hAnsi="Arial" w:cs="Arial"/>
          <w:bCs/>
          <w:sz w:val="24"/>
        </w:rPr>
        <w:t xml:space="preserve"> в течение периода, превышающего трехлетний срок строительства, вплоть до даты государственной регистрации прав на построенный объект недвижимости. 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</w:rPr>
      </w:pPr>
      <w:r w:rsidRPr="00CB140D">
        <w:rPr>
          <w:rFonts w:ascii="Arial" w:hAnsi="Arial" w:cs="Arial"/>
          <w:bCs/>
          <w:sz w:val="24"/>
        </w:rPr>
        <w:t xml:space="preserve">В отношении земельных участков, приобретенных в собственность для индивидуального жилищного строительства, исчисление суммы налога производится с учетом </w:t>
      </w:r>
      <w:r w:rsidRPr="00CB140D">
        <w:rPr>
          <w:rFonts w:ascii="Arial" w:hAnsi="Arial" w:cs="Arial"/>
          <w:b/>
          <w:bCs/>
          <w:sz w:val="24"/>
        </w:rPr>
        <w:t>коэффициента 2</w:t>
      </w:r>
      <w:r w:rsidRPr="00CB140D">
        <w:rPr>
          <w:rFonts w:ascii="Arial" w:hAnsi="Arial" w:cs="Arial"/>
          <w:bCs/>
          <w:sz w:val="24"/>
        </w:rPr>
        <w:t xml:space="preserve"> по истечении 10 лет </w:t>
      </w:r>
      <w:proofErr w:type="gramStart"/>
      <w:r w:rsidRPr="00CB140D">
        <w:rPr>
          <w:rFonts w:ascii="Arial" w:hAnsi="Arial" w:cs="Arial"/>
          <w:bCs/>
          <w:sz w:val="24"/>
        </w:rPr>
        <w:t>с даты</w:t>
      </w:r>
      <w:proofErr w:type="gramEnd"/>
      <w:r w:rsidRPr="00CB140D">
        <w:rPr>
          <w:rFonts w:ascii="Arial" w:hAnsi="Arial" w:cs="Arial"/>
          <w:bCs/>
          <w:sz w:val="24"/>
        </w:rPr>
        <w:t xml:space="preserve"> государственной регистрации прав на данные участки вплоть до государственной регистрации прав на построенный объект недвижимости.</w:t>
      </w:r>
    </w:p>
    <w:p w:rsidR="0044012E" w:rsidRPr="00CB140D" w:rsidRDefault="0044012E" w:rsidP="004401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В случае</w:t>
      </w:r>
      <w:proofErr w:type="gramStart"/>
      <w:r w:rsidRPr="00CB140D">
        <w:rPr>
          <w:rFonts w:ascii="Arial" w:hAnsi="Arial" w:cs="Arial"/>
          <w:sz w:val="24"/>
        </w:rPr>
        <w:t>,</w:t>
      </w:r>
      <w:proofErr w:type="gramEnd"/>
      <w:r w:rsidRPr="00CB140D">
        <w:rPr>
          <w:rFonts w:ascii="Arial" w:hAnsi="Arial" w:cs="Arial"/>
          <w:sz w:val="24"/>
        </w:rPr>
        <w:t xml:space="preserve"> если сумма налога, исчисленная в отношении земельного участка в соответствии со статьей 396 Кодекса (без учета положений пунктов 7, 7</w:t>
      </w:r>
      <w:r w:rsidRPr="00CB140D">
        <w:rPr>
          <w:rFonts w:ascii="Arial" w:hAnsi="Arial" w:cs="Arial"/>
          <w:sz w:val="24"/>
          <w:vertAlign w:val="superscript"/>
        </w:rPr>
        <w:t>1</w:t>
      </w:r>
      <w:r w:rsidRPr="00CB140D">
        <w:rPr>
          <w:rFonts w:ascii="Arial" w:hAnsi="Arial" w:cs="Arial"/>
          <w:sz w:val="24"/>
        </w:rPr>
        <w:t>, абзаца пятого пункта 10 статьи 396 Кодекса), превышает сумму налога, исчисленную в отношении этого земельного участка (без учета положений пунктов 7, 7</w:t>
      </w:r>
      <w:r w:rsidRPr="00CB140D">
        <w:rPr>
          <w:rFonts w:ascii="Arial" w:hAnsi="Arial" w:cs="Arial"/>
          <w:sz w:val="24"/>
          <w:vertAlign w:val="superscript"/>
        </w:rPr>
        <w:t>1</w:t>
      </w:r>
      <w:r w:rsidRPr="00CB140D">
        <w:rPr>
          <w:rFonts w:ascii="Arial" w:hAnsi="Arial" w:cs="Arial"/>
          <w:sz w:val="24"/>
        </w:rPr>
        <w:t xml:space="preserve">, абзаца пятого пункта 10 статьи 396 Кодекса) за предыдущий налоговый период с учетом </w:t>
      </w:r>
      <w:r w:rsidRPr="00CB140D">
        <w:rPr>
          <w:rFonts w:ascii="Arial" w:hAnsi="Arial" w:cs="Arial"/>
          <w:b/>
          <w:sz w:val="24"/>
        </w:rPr>
        <w:t>коэффициента 1,1</w:t>
      </w:r>
      <w:r w:rsidRPr="00CB140D">
        <w:rPr>
          <w:rFonts w:ascii="Arial" w:hAnsi="Arial" w:cs="Arial"/>
          <w:sz w:val="24"/>
        </w:rPr>
        <w:t xml:space="preserve">, сумма </w:t>
      </w:r>
      <w:proofErr w:type="gramStart"/>
      <w:r w:rsidRPr="00CB140D">
        <w:rPr>
          <w:rFonts w:ascii="Arial" w:hAnsi="Arial" w:cs="Arial"/>
          <w:sz w:val="24"/>
        </w:rPr>
        <w:t>налога подлежит уплате налогоплательщиками - физическими лицами в размере, равном сумме налога, исчисленной в соответствии со статьей 396 Кодекса (без учета положений пунктов 7, 7</w:t>
      </w:r>
      <w:r w:rsidRPr="00CB140D">
        <w:rPr>
          <w:rFonts w:ascii="Arial" w:hAnsi="Arial" w:cs="Arial"/>
          <w:sz w:val="24"/>
          <w:vertAlign w:val="superscript"/>
        </w:rPr>
        <w:t>1</w:t>
      </w:r>
      <w:r w:rsidRPr="00CB140D">
        <w:rPr>
          <w:rFonts w:ascii="Arial" w:hAnsi="Arial" w:cs="Arial"/>
          <w:sz w:val="24"/>
        </w:rPr>
        <w:t>, абзаца пятого пункта 10 статьи 396 Кодекса) за предыдущий налоговый период с учетом коэффициента 1,1, а также с учетом положений пунктов 7, 7</w:t>
      </w:r>
      <w:r w:rsidRPr="00CB140D">
        <w:rPr>
          <w:rFonts w:ascii="Arial" w:hAnsi="Arial" w:cs="Arial"/>
          <w:sz w:val="24"/>
          <w:vertAlign w:val="superscript"/>
        </w:rPr>
        <w:t>1</w:t>
      </w:r>
      <w:r w:rsidRPr="00CB140D">
        <w:rPr>
          <w:rFonts w:ascii="Arial" w:hAnsi="Arial" w:cs="Arial"/>
          <w:sz w:val="24"/>
        </w:rPr>
        <w:t>, абзаца пятого пункта 10 статьи 396 Кодекса, примененных к налоговому периоду, за который</w:t>
      </w:r>
      <w:proofErr w:type="gramEnd"/>
      <w:r w:rsidRPr="00CB140D">
        <w:rPr>
          <w:rFonts w:ascii="Arial" w:hAnsi="Arial" w:cs="Arial"/>
          <w:sz w:val="24"/>
        </w:rPr>
        <w:t xml:space="preserve"> исчисляется сумма налога.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Положения настоящего пункта не применяются при исчислении налога с учетом положений пунктов 15 и 16 настоящей статьи 396 Кодекса.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4"/>
        </w:rPr>
      </w:pPr>
      <w:r w:rsidRPr="00CB140D">
        <w:rPr>
          <w:rFonts w:ascii="Arial" w:hAnsi="Arial" w:cs="Arial"/>
          <w:b/>
          <w:sz w:val="24"/>
        </w:rPr>
        <w:t xml:space="preserve">ПОРЯДОК НАЛОГООБЛОЖЕНИЯ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Налоговые уведомления об уплате налога направляются </w:t>
      </w:r>
      <w:proofErr w:type="gramStart"/>
      <w:r w:rsidRPr="00CB140D">
        <w:rPr>
          <w:rFonts w:ascii="Arial" w:hAnsi="Arial" w:cs="Arial"/>
          <w:sz w:val="24"/>
        </w:rPr>
        <w:t>плательщикам-физическим</w:t>
      </w:r>
      <w:proofErr w:type="gramEnd"/>
      <w:r w:rsidRPr="00CB140D">
        <w:rPr>
          <w:rFonts w:ascii="Arial" w:hAnsi="Arial" w:cs="Arial"/>
          <w:sz w:val="24"/>
        </w:rPr>
        <w:t xml:space="preserve"> лицам не позднее 30 дней до наступления срока уплаты налога. Для </w:t>
      </w:r>
      <w:r w:rsidRPr="00CB140D">
        <w:rPr>
          <w:rFonts w:ascii="Arial" w:hAnsi="Arial" w:cs="Arial"/>
          <w:sz w:val="24"/>
        </w:rPr>
        <w:lastRenderedPageBreak/>
        <w:t xml:space="preserve">пользователей «Личного кабинета налогоплательщика» на сайте ФНС России налоговые уведомления размещаются в «Личном кабинете».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Срок уплаты налога – </w:t>
      </w:r>
      <w:r w:rsidRPr="00CB140D">
        <w:rPr>
          <w:rFonts w:ascii="Arial" w:hAnsi="Arial" w:cs="Arial"/>
          <w:b/>
          <w:sz w:val="24"/>
        </w:rPr>
        <w:t>не позднее 1 декабря года</w:t>
      </w:r>
      <w:r w:rsidRPr="00CB140D">
        <w:rPr>
          <w:rFonts w:ascii="Arial" w:hAnsi="Arial" w:cs="Arial"/>
          <w:sz w:val="24"/>
        </w:rPr>
        <w:t xml:space="preserve">, следующего за истекшим налоговым периодом. Если срок уплаты налога приходится на нерабочий день, то он переносится на ближайший рабочий день.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4012E" w:rsidRPr="00CB140D" w:rsidRDefault="0044012E" w:rsidP="0044012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4"/>
        </w:rPr>
      </w:pPr>
      <w:r w:rsidRPr="00CB140D">
        <w:rPr>
          <w:rFonts w:ascii="Arial" w:hAnsi="Arial" w:cs="Arial"/>
          <w:b/>
          <w:sz w:val="24"/>
        </w:rPr>
        <w:t xml:space="preserve">НАЛОГОВЫЕ ЛЬГОТЫ </w:t>
      </w:r>
      <w:bookmarkStart w:id="0" w:name="Par0"/>
      <w:bookmarkEnd w:id="0"/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9069"/>
      </w:tblGrid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Героев Советского Союза, Героев Российской Федерации, полных кавалеров ордена Славы</w:t>
            </w:r>
          </w:p>
        </w:tc>
      </w:tr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инвалидов I и II групп инвалидности</w:t>
            </w:r>
          </w:p>
        </w:tc>
      </w:tr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pStyle w:val="a3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инвалидов с детства, детей-инвалидов</w:t>
            </w:r>
          </w:p>
        </w:tc>
      </w:tr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shd w:val="clear" w:color="auto" w:fill="E1EB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</w:tr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B140D">
              <w:rPr>
                <w:rFonts w:ascii="Arial" w:hAnsi="Arial" w:cs="Arial"/>
                <w:sz w:val="22"/>
                <w:szCs w:val="22"/>
              </w:rPr>
              <w:t xml:space="preserve">физических лиц, имеющих право на получение социальной поддержки в соответствии с </w:t>
            </w:r>
            <w:hyperlink r:id="rId13" w:history="1">
              <w:r w:rsidRPr="00CB140D">
                <w:rPr>
                  <w:rFonts w:ascii="Arial" w:hAnsi="Arial" w:cs="Arial"/>
                  <w:sz w:val="22"/>
                  <w:szCs w:val="22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2"/>
                <w:szCs w:val="22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hyperlink r:id="rId14" w:history="1">
              <w:r w:rsidRPr="00CB140D">
                <w:rPr>
                  <w:rFonts w:ascii="Arial" w:hAnsi="Arial" w:cs="Arial"/>
                  <w:sz w:val="22"/>
                  <w:szCs w:val="22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2"/>
                <w:szCs w:val="22"/>
              </w:rPr>
      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CB140D">
              <w:rPr>
                <w:rFonts w:ascii="Arial" w:hAnsi="Arial" w:cs="Arial"/>
                <w:sz w:val="22"/>
                <w:szCs w:val="22"/>
              </w:rPr>
              <w:t>Теча</w:t>
            </w:r>
            <w:proofErr w:type="spellEnd"/>
            <w:r w:rsidRPr="00CB140D">
              <w:rPr>
                <w:rFonts w:ascii="Arial" w:hAnsi="Arial" w:cs="Arial"/>
                <w:sz w:val="22"/>
                <w:szCs w:val="22"/>
              </w:rPr>
              <w:t>» и в соответствии с</w:t>
            </w:r>
            <w:proofErr w:type="gramEnd"/>
            <w:r w:rsidRPr="00CB140D">
              <w:rPr>
                <w:rFonts w:ascii="Arial" w:hAnsi="Arial" w:cs="Arial"/>
                <w:sz w:val="22"/>
                <w:szCs w:val="22"/>
              </w:rPr>
              <w:t xml:space="preserve"> Федеральным </w:t>
            </w:r>
            <w:hyperlink r:id="rId15" w:history="1">
              <w:r w:rsidRPr="00CB140D">
                <w:rPr>
                  <w:rFonts w:ascii="Arial" w:hAnsi="Arial" w:cs="Arial"/>
                  <w:sz w:val="22"/>
                  <w:szCs w:val="22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2"/>
                <w:szCs w:val="22"/>
              </w:rPr>
      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44012E" w:rsidRPr="00CB140D" w:rsidTr="00967175">
        <w:tc>
          <w:tcPr>
            <w:tcW w:w="426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shd w:val="clear" w:color="auto" w:fill="E1EB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44012E" w:rsidRPr="00CB140D" w:rsidTr="0096717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44012E" w:rsidRPr="00CB140D" w:rsidTr="0096717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44012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E1EB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</w:tr>
      <w:tr w:rsidR="0044012E" w:rsidRPr="00CB140D" w:rsidTr="00967175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(применяется с 01.01.2019 года)</w:t>
            </w:r>
          </w:p>
        </w:tc>
      </w:tr>
      <w:tr w:rsidR="0044012E" w:rsidRPr="00CB140D" w:rsidTr="0096717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40D">
              <w:rPr>
                <w:rFonts w:ascii="Arial" w:hAnsi="Arial" w:cs="Arial"/>
                <w:sz w:val="22"/>
                <w:szCs w:val="22"/>
              </w:rPr>
              <w:t>физических лиц, имеющих трех и более несовершеннолетних детей</w:t>
            </w:r>
          </w:p>
        </w:tc>
      </w:tr>
    </w:tbl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Уменьшение налоговой базы (налоговый вычет) производится в отношении одного земельного участка по выбору налогоплательщика.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применяется налоговый вычет.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</w:t>
      </w:r>
      <w:r w:rsidRPr="00CB140D">
        <w:rPr>
          <w:rFonts w:ascii="Arial" w:hAnsi="Arial" w:cs="Arial"/>
          <w:sz w:val="24"/>
        </w:rPr>
        <w:lastRenderedPageBreak/>
        <w:t xml:space="preserve">вычет предоставляется в отношении одного земельного участка с максимальной исчисленной суммой налога.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Освобождаются от налогообложения физические лица, относящиеся к коренным малочисленным </w:t>
      </w:r>
      <w:hyperlink r:id="rId16" w:history="1">
        <w:r w:rsidRPr="00CB140D">
          <w:rPr>
            <w:rFonts w:ascii="Arial" w:hAnsi="Arial" w:cs="Arial"/>
            <w:sz w:val="24"/>
          </w:rPr>
          <w:t>народам</w:t>
        </w:r>
      </w:hyperlink>
      <w:r w:rsidRPr="00CB140D">
        <w:rPr>
          <w:rFonts w:ascii="Arial" w:hAnsi="Arial" w:cs="Arial"/>
          <w:sz w:val="24"/>
        </w:rPr>
        <w:t xml:space="preserve">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промыслов. </w:t>
      </w:r>
    </w:p>
    <w:p w:rsidR="0044012E" w:rsidRPr="00CB140D" w:rsidRDefault="0044012E" w:rsidP="004401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земельного участка. 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Дополнительные налоговые льготы установлены </w:t>
      </w:r>
      <w:r w:rsidRPr="00CB140D">
        <w:rPr>
          <w:rFonts w:ascii="Arial" w:hAnsi="Arial" w:cs="Arial"/>
          <w:sz w:val="24"/>
          <w:u w:val="single"/>
        </w:rPr>
        <w:t xml:space="preserve"> Решением Думы города Сургута "Об утверждении Положения о земельном налоге на территории муниципального образования города Сургута"                                                                           от 26.10.2005 № 505-III ГД</w:t>
      </w:r>
      <w:r w:rsidRPr="00CB140D">
        <w:rPr>
          <w:rFonts w:ascii="Arial" w:hAnsi="Arial" w:cs="Arial"/>
          <w:sz w:val="24"/>
        </w:rPr>
        <w:t>______________________________________</w:t>
      </w:r>
    </w:p>
    <w:p w:rsidR="0044012E" w:rsidRPr="00CB140D" w:rsidRDefault="0044012E" w:rsidP="0044012E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                                                 реквизиты акта органа местного самоуправления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3808"/>
        <w:gridCol w:w="2342"/>
        <w:gridCol w:w="2806"/>
      </w:tblGrid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Категория налогоплательщиков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Размер льготы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40D">
              <w:rPr>
                <w:rFonts w:ascii="Arial" w:hAnsi="Arial" w:cs="Arial"/>
                <w:b/>
                <w:sz w:val="20"/>
                <w:szCs w:val="20"/>
              </w:rPr>
              <w:t>Документ-основание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Копия удостоверения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Ветераны и инвалиды Великой Отечественной войны, ветераны и инвалиды боевых действий;</w:t>
            </w: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Копия удостоверения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140D">
              <w:rPr>
                <w:rFonts w:ascii="Arial" w:hAnsi="Arial" w:cs="Arial"/>
                <w:bCs/>
                <w:sz w:val="20"/>
                <w:szCs w:val="20"/>
              </w:rPr>
              <w:t>Инвалиды I и II группы, а также неработающие инвалиды III группы</w:t>
            </w: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Копия справки об инвалидности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Инвалиды с детства</w:t>
            </w: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Копия справки об инвалидности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40D">
              <w:rPr>
                <w:rFonts w:ascii="Arial" w:hAnsi="Arial" w:cs="Arial"/>
                <w:sz w:val="20"/>
                <w:szCs w:val="20"/>
              </w:rPr>
              <w:t xml:space="preserve">Лица, имеющие право на получение социальной поддержки в соответствии с </w:t>
            </w:r>
            <w:hyperlink r:id="rId17" w:history="1">
              <w:r w:rsidRPr="00CB140D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0"/>
                <w:szCs w:val="20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</w:t>
            </w:r>
            <w:hyperlink r:id="rId18" w:history="1">
              <w:r w:rsidRPr="00CB140D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0"/>
                <w:szCs w:val="20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      </w:r>
            <w:proofErr w:type="gramEnd"/>
            <w:r w:rsidRPr="00CB140D">
              <w:rPr>
                <w:rFonts w:ascii="Arial" w:hAnsi="Arial" w:cs="Arial"/>
                <w:sz w:val="20"/>
                <w:szCs w:val="20"/>
              </w:rPr>
              <w:t xml:space="preserve"> "Маяк" и сбросов радиоактивных отходов в реку </w:t>
            </w:r>
            <w:proofErr w:type="spellStart"/>
            <w:r w:rsidRPr="00CB140D">
              <w:rPr>
                <w:rFonts w:ascii="Arial" w:hAnsi="Arial" w:cs="Arial"/>
                <w:sz w:val="20"/>
                <w:szCs w:val="20"/>
              </w:rPr>
              <w:t>Теча</w:t>
            </w:r>
            <w:proofErr w:type="spellEnd"/>
            <w:r w:rsidRPr="00CB140D">
              <w:rPr>
                <w:rFonts w:ascii="Arial" w:hAnsi="Arial" w:cs="Arial"/>
                <w:sz w:val="20"/>
                <w:szCs w:val="20"/>
              </w:rPr>
              <w:t xml:space="preserve">" (с изменениями и дополнениями от 07.08.2000, 29.12.2001, 22.09.2004, 29.12.2004) и в соответствии с Федеральным </w:t>
            </w:r>
            <w:hyperlink r:id="rId19" w:history="1">
              <w:r w:rsidRPr="00CB140D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CB140D">
              <w:rPr>
                <w:rFonts w:ascii="Arial" w:hAnsi="Arial" w:cs="Arial"/>
                <w:sz w:val="20"/>
                <w:szCs w:val="20"/>
              </w:rPr>
              <w:t xml:space="preserve"> от 10.01.2002 N 2-ФЗ "О социальных гарантиях гражданам Российской Федерации, подвергшимся радиационному воздействию вследствие ядерных испытаний на Семипалатинском </w:t>
            </w:r>
            <w:r w:rsidRPr="00CB140D">
              <w:rPr>
                <w:rFonts w:ascii="Arial" w:hAnsi="Arial" w:cs="Arial"/>
                <w:sz w:val="20"/>
                <w:szCs w:val="20"/>
              </w:rPr>
              <w:lastRenderedPageBreak/>
              <w:t>полигоне"</w:t>
            </w: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Копия удостоверения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iCs/>
                <w:sz w:val="20"/>
                <w:szCs w:val="20"/>
              </w:rPr>
              <w:t>Копия справки об инвалидности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 xml:space="preserve">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</w:t>
            </w:r>
            <w:bookmarkStart w:id="1" w:name="_GoBack"/>
            <w:bookmarkEnd w:id="1"/>
            <w:r w:rsidRPr="00CB140D">
              <w:rPr>
                <w:rFonts w:ascii="Arial" w:hAnsi="Arial" w:cs="Arial"/>
                <w:sz w:val="20"/>
                <w:szCs w:val="20"/>
              </w:rPr>
              <w:t>военных объектах;</w:t>
            </w: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140D">
              <w:rPr>
                <w:rFonts w:ascii="Arial" w:hAnsi="Arial" w:cs="Arial"/>
                <w:iCs/>
                <w:sz w:val="20"/>
                <w:szCs w:val="20"/>
              </w:rPr>
              <w:t>Копия справки об инвалидности</w:t>
            </w:r>
          </w:p>
        </w:tc>
      </w:tr>
      <w:tr w:rsidR="0044012E" w:rsidRPr="00CB140D" w:rsidTr="00C70EDC">
        <w:tc>
          <w:tcPr>
            <w:tcW w:w="258" w:type="dxa"/>
            <w:shd w:val="clear" w:color="auto" w:fill="auto"/>
          </w:tcPr>
          <w:p w:rsidR="0044012E" w:rsidRPr="00CB140D" w:rsidRDefault="0044012E" w:rsidP="0044012E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Члены многодетных семей.</w:t>
            </w:r>
          </w:p>
          <w:p w:rsidR="0044012E" w:rsidRPr="00CB140D" w:rsidRDefault="0044012E" w:rsidP="00967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0D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806" w:type="dxa"/>
            <w:shd w:val="solid" w:color="E1EBF7" w:fill="DDE9F7"/>
          </w:tcPr>
          <w:p w:rsidR="0044012E" w:rsidRPr="00CB140D" w:rsidRDefault="0044012E" w:rsidP="00967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140D">
              <w:rPr>
                <w:rFonts w:ascii="Arial" w:hAnsi="Arial" w:cs="Arial"/>
                <w:iCs/>
                <w:sz w:val="20"/>
                <w:szCs w:val="20"/>
              </w:rPr>
              <w:t>Копия удостоверения единого образца</w:t>
            </w:r>
          </w:p>
        </w:tc>
      </w:tr>
    </w:tbl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proofErr w:type="gramStart"/>
      <w:r w:rsidRPr="00CB140D">
        <w:rPr>
          <w:rFonts w:ascii="Arial" w:hAnsi="Arial" w:cs="Arial"/>
          <w:sz w:val="24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20" w:history="1">
        <w:r w:rsidRPr="00CB140D">
          <w:rPr>
            <w:rFonts w:ascii="Arial" w:hAnsi="Arial" w:cs="Arial"/>
            <w:sz w:val="24"/>
          </w:rPr>
          <w:t>приказ ФНС России от 14.11.2017 № ММВ-7-21/897@</w:t>
        </w:r>
      </w:hyperlink>
      <w:r w:rsidRPr="00CB140D">
        <w:rPr>
          <w:rFonts w:ascii="Arial" w:hAnsi="Arial" w:cs="Arial"/>
          <w:sz w:val="24"/>
        </w:rPr>
        <w:t>), а также документы, подтверждающие право налогоплательщика на налоговую</w:t>
      </w:r>
      <w:proofErr w:type="gramEnd"/>
      <w:r w:rsidRPr="00CB140D">
        <w:rPr>
          <w:rFonts w:ascii="Arial" w:hAnsi="Arial" w:cs="Arial"/>
          <w:sz w:val="24"/>
        </w:rPr>
        <w:t xml:space="preserve"> льготу. 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В случае</w:t>
      </w:r>
      <w:proofErr w:type="gramStart"/>
      <w:r w:rsidRPr="00CB140D">
        <w:rPr>
          <w:rFonts w:ascii="Arial" w:hAnsi="Arial" w:cs="Arial"/>
          <w:sz w:val="24"/>
        </w:rPr>
        <w:t>,</w:t>
      </w:r>
      <w:proofErr w:type="gramEnd"/>
      <w:r w:rsidRPr="00CB140D">
        <w:rPr>
          <w:rFonts w:ascii="Arial" w:hAnsi="Arial" w:cs="Arial"/>
          <w:sz w:val="24"/>
        </w:rPr>
        <w:t xml:space="preserve"> если налогоплательщик, относящийся к одной из категорий лиц, указанных в подпунктах 2 - 4, 7 - 10 пункта 5 статьи 391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</w:t>
      </w:r>
      <w:proofErr w:type="gramStart"/>
      <w:r w:rsidRPr="00CB140D">
        <w:rPr>
          <w:rFonts w:ascii="Arial" w:hAnsi="Arial" w:cs="Arial"/>
          <w:sz w:val="24"/>
        </w:rPr>
        <w:t>полученных</w:t>
      </w:r>
      <w:proofErr w:type="gramEnd"/>
      <w:r w:rsidRPr="00CB140D">
        <w:rPr>
          <w:rFonts w:ascii="Arial" w:hAnsi="Arial" w:cs="Arial"/>
          <w:sz w:val="24"/>
        </w:rPr>
        <w:t xml:space="preserve"> налоговым органом в соответствии с федеральными законами.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Подать заявление о предоставлении налоговой льготы и документы, подтверждающие право налогоплательщика на налоговую льготу в налоговый орган можно любым удобным способом: через «</w:t>
      </w:r>
      <w:hyperlink r:id="rId21" w:history="1">
        <w:r w:rsidRPr="00CB140D">
          <w:rPr>
            <w:rFonts w:ascii="Arial" w:hAnsi="Arial" w:cs="Arial"/>
            <w:sz w:val="24"/>
          </w:rPr>
          <w:t>Личный кабинет налогоплательщика</w:t>
        </w:r>
      </w:hyperlink>
      <w:r w:rsidRPr="00CB140D">
        <w:rPr>
          <w:rFonts w:ascii="Arial" w:hAnsi="Arial" w:cs="Arial"/>
          <w:sz w:val="24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44012E" w:rsidRPr="00CB140D" w:rsidRDefault="0044012E" w:rsidP="00440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B140D">
        <w:rPr>
          <w:rFonts w:ascii="Arial" w:hAnsi="Arial" w:cs="Arial"/>
          <w:sz w:val="24"/>
        </w:rPr>
        <w:t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уведомление о предоставлении налоговой льготы либо сообщение об отказе от предоставления налоговой льготы с указанием оснований отказа от предоставления налоговой льготы.</w:t>
      </w:r>
    </w:p>
    <w:p w:rsidR="00967175" w:rsidRPr="00CB140D" w:rsidRDefault="0044012E" w:rsidP="00CB14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CB140D">
        <w:rPr>
          <w:rFonts w:ascii="Arial" w:hAnsi="Arial" w:cs="Arial"/>
          <w:sz w:val="20"/>
          <w:szCs w:val="20"/>
        </w:rPr>
        <w:t>В случае</w:t>
      </w:r>
      <w:proofErr w:type="gramStart"/>
      <w:r w:rsidRPr="00CB140D">
        <w:rPr>
          <w:rFonts w:ascii="Arial" w:hAnsi="Arial" w:cs="Arial"/>
          <w:sz w:val="20"/>
          <w:szCs w:val="20"/>
        </w:rPr>
        <w:t>,</w:t>
      </w:r>
      <w:proofErr w:type="gramEnd"/>
      <w:r w:rsidRPr="00CB140D">
        <w:rPr>
          <w:rFonts w:ascii="Arial" w:hAnsi="Arial" w:cs="Arial"/>
          <w:sz w:val="20"/>
          <w:szCs w:val="20"/>
        </w:rPr>
        <w:t xml:space="preserve">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 законом.</w:t>
      </w:r>
    </w:p>
    <w:sectPr w:rsidR="00967175" w:rsidRPr="00CB140D" w:rsidSect="0044012E">
      <w:headerReference w:type="default" r:id="rId22"/>
      <w:footerReference w:type="default" r:id="rId23"/>
      <w:pgSz w:w="11906" w:h="16838"/>
      <w:pgMar w:top="1134" w:right="850" w:bottom="1134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E9" w:rsidRDefault="008814E9" w:rsidP="0044012E">
      <w:r>
        <w:separator/>
      </w:r>
    </w:p>
  </w:endnote>
  <w:endnote w:type="continuationSeparator" w:id="0">
    <w:p w:rsidR="008814E9" w:rsidRDefault="008814E9" w:rsidP="0044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1350" w:type="dxa"/>
      <w:tblLayout w:type="fixed"/>
      <w:tblLook w:val="00A0" w:firstRow="1" w:lastRow="0" w:firstColumn="1" w:lastColumn="0" w:noHBand="0" w:noVBand="0"/>
    </w:tblPr>
    <w:tblGrid>
      <w:gridCol w:w="1560"/>
      <w:gridCol w:w="3302"/>
      <w:gridCol w:w="2976"/>
      <w:gridCol w:w="3361"/>
    </w:tblGrid>
    <w:tr w:rsidR="0044012E" w:rsidRPr="00BE7326" w:rsidTr="0044012E">
      <w:trPr>
        <w:trHeight w:val="1417"/>
      </w:trPr>
      <w:tc>
        <w:tcPr>
          <w:tcW w:w="1560" w:type="dxa"/>
          <w:shd w:val="clear" w:color="auto" w:fill="0070C0"/>
        </w:tcPr>
        <w:p w:rsidR="0044012E" w:rsidRPr="00BE7326" w:rsidRDefault="0044012E" w:rsidP="00967175">
          <w:pPr>
            <w:pStyle w:val="a5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876300" cy="847725"/>
                <wp:effectExtent l="19050" t="0" r="0" b="0"/>
                <wp:docPr id="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2" w:type="dxa"/>
          <w:shd w:val="clear" w:color="auto" w:fill="0070C0"/>
          <w:vAlign w:val="center"/>
        </w:tcPr>
        <w:p w:rsidR="0044012E" w:rsidRPr="00F32515" w:rsidRDefault="0044012E" w:rsidP="00967175">
          <w:pPr>
            <w:pStyle w:val="a5"/>
            <w:ind w:left="-209"/>
            <w:jc w:val="center"/>
            <w:rPr>
              <w:b/>
              <w:color w:val="FFFFFF" w:themeColor="background1"/>
              <w:sz w:val="22"/>
            </w:rPr>
          </w:pPr>
          <w:r w:rsidRPr="00F32515">
            <w:rPr>
              <w:b/>
              <w:color w:val="FFFFFF" w:themeColor="background1"/>
              <w:sz w:val="22"/>
              <w:szCs w:val="22"/>
            </w:rPr>
            <w:t>Инспекция ФНС России по г</w:t>
          </w:r>
          <w:proofErr w:type="gramStart"/>
          <w:r w:rsidRPr="00F32515">
            <w:rPr>
              <w:b/>
              <w:color w:val="FFFFFF" w:themeColor="background1"/>
              <w:sz w:val="22"/>
              <w:szCs w:val="22"/>
            </w:rPr>
            <w:t>.С</w:t>
          </w:r>
          <w:proofErr w:type="gramEnd"/>
          <w:r w:rsidRPr="00F32515">
            <w:rPr>
              <w:b/>
              <w:color w:val="FFFFFF" w:themeColor="background1"/>
              <w:sz w:val="22"/>
              <w:szCs w:val="22"/>
            </w:rPr>
            <w:t>ургуту Ханты-Мансийского автономного округа – Югры</w:t>
          </w:r>
        </w:p>
      </w:tc>
      <w:tc>
        <w:tcPr>
          <w:tcW w:w="2976" w:type="dxa"/>
          <w:shd w:val="clear" w:color="auto" w:fill="0070C0"/>
          <w:vAlign w:val="center"/>
        </w:tcPr>
        <w:p w:rsidR="0044012E" w:rsidRPr="00F32515" w:rsidRDefault="0044012E" w:rsidP="00967175">
          <w:pPr>
            <w:pStyle w:val="a5"/>
            <w:ind w:left="-109"/>
            <w:jc w:val="center"/>
            <w:rPr>
              <w:b/>
              <w:color w:val="FFFFFF" w:themeColor="background1"/>
              <w:sz w:val="24"/>
            </w:rPr>
          </w:pPr>
          <w:r w:rsidRPr="00F32515">
            <w:rPr>
              <w:b/>
              <w:color w:val="FFFFFF" w:themeColor="background1"/>
              <w:sz w:val="24"/>
              <w:szCs w:val="22"/>
            </w:rPr>
            <w:t>Телефон 8-800-222-22-22</w:t>
          </w:r>
        </w:p>
        <w:p w:rsidR="0044012E" w:rsidRPr="009F12AC" w:rsidRDefault="0044012E" w:rsidP="00967175">
          <w:pPr>
            <w:pStyle w:val="a5"/>
            <w:ind w:left="-109"/>
            <w:jc w:val="center"/>
            <w:rPr>
              <w:color w:val="FFFFFF" w:themeColor="background1"/>
              <w:sz w:val="22"/>
            </w:rPr>
          </w:pPr>
          <w:r w:rsidRPr="00F32515">
            <w:rPr>
              <w:b/>
              <w:color w:val="FFFFFF" w:themeColor="background1"/>
              <w:sz w:val="24"/>
              <w:szCs w:val="22"/>
              <w:lang w:val="en-US"/>
            </w:rPr>
            <w:t>www</w:t>
          </w:r>
          <w:r w:rsidRPr="009F12AC">
            <w:rPr>
              <w:b/>
              <w:color w:val="FFFFFF" w:themeColor="background1"/>
              <w:sz w:val="24"/>
              <w:szCs w:val="22"/>
            </w:rPr>
            <w:t>.</w:t>
          </w:r>
          <w:proofErr w:type="spellStart"/>
          <w:r w:rsidRPr="00F32515">
            <w:rPr>
              <w:b/>
              <w:color w:val="FFFFFF" w:themeColor="background1"/>
              <w:sz w:val="24"/>
              <w:szCs w:val="22"/>
              <w:lang w:val="en-US"/>
            </w:rPr>
            <w:t>nalog</w:t>
          </w:r>
          <w:proofErr w:type="spellEnd"/>
          <w:r w:rsidRPr="009F12AC">
            <w:rPr>
              <w:b/>
              <w:color w:val="FFFFFF" w:themeColor="background1"/>
              <w:sz w:val="24"/>
              <w:szCs w:val="22"/>
            </w:rPr>
            <w:t>.</w:t>
          </w:r>
          <w:proofErr w:type="spellStart"/>
          <w:r w:rsidR="00ED7971">
            <w:rPr>
              <w:b/>
              <w:color w:val="FFFFFF" w:themeColor="background1"/>
              <w:sz w:val="24"/>
              <w:szCs w:val="22"/>
              <w:lang w:val="en-US"/>
            </w:rPr>
            <w:t>gov</w:t>
          </w:r>
          <w:proofErr w:type="spellEnd"/>
          <w:r w:rsidR="00ED7971" w:rsidRPr="009F12AC">
            <w:rPr>
              <w:b/>
              <w:color w:val="FFFFFF" w:themeColor="background1"/>
              <w:sz w:val="24"/>
              <w:szCs w:val="22"/>
            </w:rPr>
            <w:t>.</w:t>
          </w:r>
          <w:proofErr w:type="spellStart"/>
          <w:r w:rsidRPr="00F32515">
            <w:rPr>
              <w:b/>
              <w:color w:val="FFFFFF" w:themeColor="background1"/>
              <w:sz w:val="24"/>
              <w:szCs w:val="22"/>
              <w:lang w:val="en-US"/>
            </w:rPr>
            <w:t>ru</w:t>
          </w:r>
          <w:proofErr w:type="spellEnd"/>
        </w:p>
      </w:tc>
      <w:tc>
        <w:tcPr>
          <w:tcW w:w="3361" w:type="dxa"/>
          <w:shd w:val="clear" w:color="auto" w:fill="0070C0"/>
          <w:vAlign w:val="center"/>
        </w:tcPr>
        <w:p w:rsidR="0044012E" w:rsidRDefault="0044012E" w:rsidP="00967175">
          <w:pPr>
            <w:pStyle w:val="a5"/>
            <w:ind w:left="-108"/>
            <w:jc w:val="both"/>
            <w:rPr>
              <w:b/>
              <w:color w:val="FFFFFF" w:themeColor="background1"/>
              <w:sz w:val="22"/>
            </w:rPr>
          </w:pPr>
          <w:r>
            <w:rPr>
              <w:b/>
              <w:color w:val="FFFFFF" w:themeColor="background1"/>
              <w:sz w:val="22"/>
              <w:szCs w:val="22"/>
            </w:rPr>
            <w:t>Н</w:t>
          </w:r>
          <w:r w:rsidRPr="00F32515">
            <w:rPr>
              <w:b/>
              <w:color w:val="FFFFFF" w:themeColor="background1"/>
              <w:sz w:val="22"/>
              <w:szCs w:val="22"/>
            </w:rPr>
            <w:t>ачальник отдела работы</w:t>
          </w:r>
        </w:p>
        <w:p w:rsidR="0044012E" w:rsidRDefault="0044012E" w:rsidP="00967175">
          <w:pPr>
            <w:pStyle w:val="a5"/>
            <w:ind w:left="-108"/>
            <w:jc w:val="both"/>
            <w:rPr>
              <w:b/>
              <w:color w:val="FFFFFF" w:themeColor="background1"/>
              <w:sz w:val="22"/>
            </w:rPr>
          </w:pPr>
          <w:r w:rsidRPr="00F32515">
            <w:rPr>
              <w:b/>
              <w:color w:val="FFFFFF" w:themeColor="background1"/>
              <w:sz w:val="22"/>
              <w:szCs w:val="22"/>
            </w:rPr>
            <w:t>с налогоплательщиками</w:t>
          </w:r>
        </w:p>
        <w:p w:rsidR="0044012E" w:rsidRDefault="0044012E" w:rsidP="00967175">
          <w:pPr>
            <w:pStyle w:val="a5"/>
            <w:ind w:left="-108"/>
            <w:jc w:val="both"/>
            <w:rPr>
              <w:b/>
              <w:color w:val="FFFFFF" w:themeColor="background1"/>
              <w:sz w:val="22"/>
            </w:rPr>
          </w:pPr>
          <w:r w:rsidRPr="00F32515">
            <w:rPr>
              <w:b/>
              <w:color w:val="FFFFFF" w:themeColor="background1"/>
              <w:sz w:val="22"/>
              <w:szCs w:val="22"/>
            </w:rPr>
            <w:t>____________Н.Н. Прохорова</w:t>
          </w:r>
        </w:p>
        <w:p w:rsidR="0044012E" w:rsidRDefault="0044012E" w:rsidP="00A41C49">
          <w:pPr>
            <w:pStyle w:val="a5"/>
            <w:ind w:left="-108"/>
            <w:jc w:val="both"/>
            <w:rPr>
              <w:color w:val="FFFFFF" w:themeColor="background1"/>
              <w:sz w:val="22"/>
            </w:rPr>
          </w:pPr>
        </w:p>
      </w:tc>
    </w:tr>
  </w:tbl>
  <w:p w:rsidR="0044012E" w:rsidRDefault="004401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E9" w:rsidRDefault="008814E9" w:rsidP="0044012E">
      <w:r>
        <w:separator/>
      </w:r>
    </w:p>
  </w:footnote>
  <w:footnote w:type="continuationSeparator" w:id="0">
    <w:p w:rsidR="008814E9" w:rsidRDefault="008814E9" w:rsidP="0044012E">
      <w:r>
        <w:continuationSeparator/>
      </w:r>
    </w:p>
  </w:footnote>
  <w:footnote w:id="1">
    <w:p w:rsidR="0044012E" w:rsidRPr="00A80AA9" w:rsidRDefault="0044012E" w:rsidP="00440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0AA9">
        <w:rPr>
          <w:rStyle w:val="a8"/>
          <w:rFonts w:ascii="Arial" w:hAnsi="Arial" w:cs="Arial"/>
          <w:sz w:val="20"/>
          <w:szCs w:val="20"/>
        </w:rPr>
        <w:footnoteRef/>
      </w:r>
      <w:r w:rsidRPr="00A80A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0AA9">
        <w:rPr>
          <w:rFonts w:ascii="Arial" w:hAnsi="Arial" w:cs="Arial"/>
          <w:sz w:val="20"/>
          <w:szCs w:val="20"/>
        </w:rPr>
        <w:t>До 1 января года, следующего за годом утверждения на территориях Республики Крым и города федерального значения Севастополя результатов массовой кадастровой оценки земельных участков, налоговая база в отношении земельных участков, расположенных на территориях указанных субъектов Российской Федерации, определяется на основе нормативной цены земли, установленной на 1 января соответствующего налогового периода органами исполнительной власти Республики Крым и города федерального значения Севастополя.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2E" w:rsidRPr="00ED7971" w:rsidRDefault="0044012E" w:rsidP="0044012E">
    <w:pPr>
      <w:tabs>
        <w:tab w:val="left" w:pos="4995"/>
      </w:tabs>
      <w:ind w:firstLine="720"/>
      <w:jc w:val="right"/>
      <w:rPr>
        <w:rFonts w:ascii="Arial" w:hAnsi="Arial" w:cs="Arial"/>
        <w:szCs w:val="28"/>
      </w:rPr>
    </w:pPr>
    <w:r w:rsidRPr="00ED7971">
      <w:rPr>
        <w:rFonts w:ascii="Arial" w:hAnsi="Arial" w:cs="Arial"/>
        <w:b/>
        <w:bCs/>
        <w:szCs w:val="28"/>
        <w:u w:val="single"/>
      </w:rPr>
      <w:t>СТЕНД № 7: Местные налоги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2E"/>
    <w:rsid w:val="000756EC"/>
    <w:rsid w:val="001A0384"/>
    <w:rsid w:val="001C717C"/>
    <w:rsid w:val="00336C82"/>
    <w:rsid w:val="00397696"/>
    <w:rsid w:val="003F7DDF"/>
    <w:rsid w:val="0044012E"/>
    <w:rsid w:val="005E3F02"/>
    <w:rsid w:val="006326B3"/>
    <w:rsid w:val="00864A57"/>
    <w:rsid w:val="008814E9"/>
    <w:rsid w:val="00881E8E"/>
    <w:rsid w:val="00894919"/>
    <w:rsid w:val="008E7C89"/>
    <w:rsid w:val="00955900"/>
    <w:rsid w:val="00967175"/>
    <w:rsid w:val="0098558D"/>
    <w:rsid w:val="009F12AC"/>
    <w:rsid w:val="00A41C49"/>
    <w:rsid w:val="00B61F85"/>
    <w:rsid w:val="00B87796"/>
    <w:rsid w:val="00C32EE4"/>
    <w:rsid w:val="00C70EDC"/>
    <w:rsid w:val="00CB140D"/>
    <w:rsid w:val="00D3712D"/>
    <w:rsid w:val="00EB18E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012E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12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44012E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440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44012E"/>
    <w:rPr>
      <w:color w:val="0000FF"/>
      <w:u w:val="single"/>
    </w:rPr>
  </w:style>
  <w:style w:type="character" w:styleId="a8">
    <w:name w:val="footnote reference"/>
    <w:rsid w:val="0044012E"/>
    <w:rPr>
      <w:vertAlign w:val="superscript"/>
    </w:rPr>
  </w:style>
  <w:style w:type="paragraph" w:styleId="a9">
    <w:name w:val="List Paragraph"/>
    <w:basedOn w:val="a"/>
    <w:uiPriority w:val="34"/>
    <w:qFormat/>
    <w:rsid w:val="004401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0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12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40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012E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12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44012E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440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44012E"/>
    <w:rPr>
      <w:color w:val="0000FF"/>
      <w:u w:val="single"/>
    </w:rPr>
  </w:style>
  <w:style w:type="character" w:styleId="a8">
    <w:name w:val="footnote reference"/>
    <w:rsid w:val="0044012E"/>
    <w:rPr>
      <w:vertAlign w:val="superscript"/>
    </w:rPr>
  </w:style>
  <w:style w:type="paragraph" w:styleId="a9">
    <w:name w:val="List Paragraph"/>
    <w:basedOn w:val="a"/>
    <w:uiPriority w:val="34"/>
    <w:qFormat/>
    <w:rsid w:val="004401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0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12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40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01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232DBFD75EEA1C96BCF2E6B3F0FEE123ABEDF7867D07A4DDA700D84E3EC29B35E72334EE130E0B3w3J" TargetMode="External"/><Relationship Id="rId13" Type="http://schemas.openxmlformats.org/officeDocument/2006/relationships/hyperlink" Target="consultantplus://offline/ref=4489E57DF83D207F2F354D5D35E4982DA12403A65AF3A0FDFD896F22F864BC3EDBBEA7FEB1681553CFP9K" TargetMode="External"/><Relationship Id="rId18" Type="http://schemas.openxmlformats.org/officeDocument/2006/relationships/hyperlink" Target="consultantplus://offline/ref=7EA1E6403E51B4E7A3066401B56845767017F42B81289127BBEFE91A473492588CD716C28AA514D7912EBDBE50h4O5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kfl.nalog.ru/l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hyperlink" Target="consultantplus://offline/ref=7EA1E6403E51B4E7A3066401B5684576711FF2258C229127BBEFE91A473492588CD716C28AA514D7912EBDBE50h4O5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2FD190C44A5594250C649BDBEBDF74421336BA255C3EA51CA40360FC57076A0DB1109465A017C4K5NDK" TargetMode="External"/><Relationship Id="rId20" Type="http://schemas.openxmlformats.org/officeDocument/2006/relationships/hyperlink" Target="https://www.nalog.ru/rn77/about_fts/docs/709992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55A272B65FD05FD809308EC660963B60F5A5ECCAAF9299B1B8CF6AB8A677D4242F6C011315976Ah9R0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89E57DF83D207F2F354D5D35E4982DA12403A65AF2A0FDFD896F22F8C6P4K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CE232DBFD75EEA1C96BCF2E6B3F0FEE123ABEDF7867D07A4DDA700D84E3EC29B35E72334EE13AE4B3w3J" TargetMode="External"/><Relationship Id="rId19" Type="http://schemas.openxmlformats.org/officeDocument/2006/relationships/hyperlink" Target="consultantplus://offline/ref=7EA1E6403E51B4E7A3066401B5684576711FF2258E2B9127BBEFE91A473492588CD716C28AA514D7912EBDBE50h4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232DBFD75EEA1C96BCF2E6B3F0FEE123ABEDF7867D07A4DDA700D84E3EC29B35E72334EE130E6B3w6J" TargetMode="External"/><Relationship Id="rId14" Type="http://schemas.openxmlformats.org/officeDocument/2006/relationships/hyperlink" Target="consultantplus://offline/ref=4489E57DF83D207F2F354D5D35E4982DA12403A854F3A0FDFD896F22F8C6P4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8602</cp:lastModifiedBy>
  <cp:revision>6</cp:revision>
  <cp:lastPrinted>2022-01-28T10:07:00Z</cp:lastPrinted>
  <dcterms:created xsi:type="dcterms:W3CDTF">2022-01-25T05:27:00Z</dcterms:created>
  <dcterms:modified xsi:type="dcterms:W3CDTF">2022-01-28T10:07:00Z</dcterms:modified>
</cp:coreProperties>
</file>