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A7E" w:rsidRPr="00DE7A7E" w:rsidRDefault="00DE7A7E" w:rsidP="00DE7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DE7A7E" w:rsidRDefault="00DE7A7E" w:rsidP="00DE7A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реализации</w:t>
      </w:r>
      <w:r w:rsidR="00CF09EE" w:rsidRPr="00CF09EE">
        <w:rPr>
          <w:rFonts w:ascii="Times New Roman" w:hAnsi="Times New Roman" w:cs="Times New Roman"/>
          <w:sz w:val="28"/>
          <w:szCs w:val="28"/>
        </w:rPr>
        <w:t xml:space="preserve"> </w:t>
      </w:r>
      <w:r w:rsidR="00CF09EE" w:rsidRPr="00E33EA7">
        <w:rPr>
          <w:rFonts w:ascii="Times New Roman" w:hAnsi="Times New Roman" w:cs="Times New Roman"/>
          <w:sz w:val="28"/>
          <w:szCs w:val="28"/>
        </w:rPr>
        <w:t>вектора</w:t>
      </w:r>
      <w:r w:rsidR="000C639F">
        <w:rPr>
          <w:rFonts w:ascii="Times New Roman" w:hAnsi="Times New Roman" w:cs="Times New Roman"/>
          <w:sz w:val="28"/>
          <w:szCs w:val="28"/>
        </w:rPr>
        <w:t xml:space="preserve"> </w:t>
      </w:r>
      <w:r w:rsidR="00CF09EE" w:rsidRPr="00E33EA7">
        <w:rPr>
          <w:rFonts w:ascii="Times New Roman" w:hAnsi="Times New Roman" w:cs="Times New Roman"/>
          <w:sz w:val="28"/>
          <w:szCs w:val="28"/>
        </w:rPr>
        <w:t>«</w:t>
      </w:r>
      <w:r w:rsidR="00D55DF6">
        <w:rPr>
          <w:rFonts w:ascii="Times New Roman" w:hAnsi="Times New Roman" w:cs="Times New Roman"/>
          <w:sz w:val="28"/>
          <w:szCs w:val="28"/>
        </w:rPr>
        <w:t>Комфортная среда</w:t>
      </w:r>
      <w:r w:rsidR="00CF09E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«</w:t>
      </w:r>
      <w:r w:rsidR="00D55DF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и качество жизни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55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транспортной инфраструктуры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Стратегии социально-экономического развития </w:t>
      </w:r>
      <w:r w:rsidR="00D55D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Сургут</w:t>
      </w:r>
      <w:r w:rsidR="00D55D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Ханты-Мансийского автономного округа – Югры на период до 203</w:t>
      </w:r>
      <w:r w:rsidR="00D55D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55DF6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целевыми ориентирами до 2050 года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3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</w:t>
      </w:r>
      <w:r w:rsidR="00B630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B63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2024 года)</w:t>
      </w:r>
    </w:p>
    <w:p w:rsidR="00B6304F" w:rsidRPr="00DE7A7E" w:rsidRDefault="00B6304F" w:rsidP="00DE7A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A7E" w:rsidRPr="00DE7A7E" w:rsidRDefault="00DE7A7E" w:rsidP="00DE7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DE7A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Стратегическая цель и вектора развития.</w:t>
      </w:r>
    </w:p>
    <w:p w:rsidR="00D55DF6" w:rsidRPr="00D55DF6" w:rsidRDefault="00D55DF6" w:rsidP="00DE7A7E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D55DF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Цель вектора - формирование комфортной городской среды (включая систему благоустроенных общественных пространств, в том числе зеленые насаждения общего пользования, жилищное строительство, сбалансированную транспортную инфраструктуру и инженерную инфраструктуру)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6304F" w:rsidRPr="00B6304F" w:rsidRDefault="00B6304F" w:rsidP="00B6304F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6304F">
        <w:rPr>
          <w:color w:val="22272F"/>
          <w:sz w:val="28"/>
          <w:szCs w:val="28"/>
        </w:rPr>
        <w:t>Задачи вектора в части транспортной инфраструктуры:</w:t>
      </w:r>
    </w:p>
    <w:p w:rsidR="00B6304F" w:rsidRPr="00B6304F" w:rsidRDefault="00B6304F" w:rsidP="00B6304F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6304F">
        <w:rPr>
          <w:color w:val="22272F"/>
          <w:sz w:val="28"/>
          <w:szCs w:val="28"/>
        </w:rPr>
        <w:t>- комплексное развитие улично-дорожной сети;</w:t>
      </w:r>
    </w:p>
    <w:p w:rsidR="00B6304F" w:rsidRPr="00B6304F" w:rsidRDefault="00B6304F" w:rsidP="00B6304F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6304F">
        <w:rPr>
          <w:color w:val="22272F"/>
          <w:sz w:val="28"/>
          <w:szCs w:val="28"/>
        </w:rPr>
        <w:t>- оптимизация времени в пути для пассажиров по обозначенным направлениям;</w:t>
      </w:r>
    </w:p>
    <w:p w:rsidR="00B6304F" w:rsidRPr="00B6304F" w:rsidRDefault="00B6304F" w:rsidP="00B6304F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6304F">
        <w:rPr>
          <w:color w:val="22272F"/>
          <w:sz w:val="28"/>
          <w:szCs w:val="28"/>
        </w:rPr>
        <w:t>- организация новых автобусных линий движения и установка остановочных павильонов;</w:t>
      </w:r>
    </w:p>
    <w:p w:rsidR="00B6304F" w:rsidRPr="00B6304F" w:rsidRDefault="00B6304F" w:rsidP="00B6304F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6304F">
        <w:rPr>
          <w:color w:val="22272F"/>
          <w:sz w:val="28"/>
          <w:szCs w:val="28"/>
        </w:rPr>
        <w:t>- создание связанной сети пешеходных и велосипедных путей сообщения между отдельными микрорайонами и районами города;</w:t>
      </w:r>
    </w:p>
    <w:p w:rsidR="00B6304F" w:rsidRPr="00B6304F" w:rsidRDefault="00B6304F" w:rsidP="00B6304F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6304F">
        <w:rPr>
          <w:color w:val="22272F"/>
          <w:sz w:val="28"/>
          <w:szCs w:val="28"/>
        </w:rPr>
        <w:t>- повышение привлекательности передвижений на велосипедах и средствах индивидуальной мобильности (СИМ)</w:t>
      </w:r>
    </w:p>
    <w:p w:rsidR="00DE7A7E" w:rsidRPr="00DE7A7E" w:rsidRDefault="00DE7A7E" w:rsidP="00DE7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F" w:rsidRDefault="00DE7A7E" w:rsidP="00DE7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DE7A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Анализ достижения плановых значений целевых показателей Стратегии социально-экономического развития </w:t>
      </w:r>
      <w:r w:rsidR="00B6304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B6304F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Сургут</w:t>
      </w:r>
      <w:r w:rsidR="00B630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6304F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Ханты-Мансийского автономного округа – Югры на период до 203</w:t>
      </w:r>
      <w:r w:rsidR="00B630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6304F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B6304F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целевыми ориентирами до 2050 года</w:t>
      </w:r>
    </w:p>
    <w:p w:rsidR="00AA6E23" w:rsidRPr="00A13BE0" w:rsidRDefault="00AA6E23" w:rsidP="00DE7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E0">
        <w:rPr>
          <w:rFonts w:ascii="Times New Roman" w:hAnsi="Times New Roman" w:cs="Times New Roman"/>
          <w:sz w:val="28"/>
          <w:szCs w:val="28"/>
        </w:rPr>
        <w:t xml:space="preserve">Анализ достижения плановых значений целевых показателей Стратегии социально-экономического развития </w:t>
      </w:r>
      <w:r w:rsidR="001E28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1E28F6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Сургут</w:t>
      </w:r>
      <w:r w:rsidR="001E28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28F6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Ханты-Мансийского автономного округа – Югры на период до 203</w:t>
      </w:r>
      <w:r w:rsidR="001E28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E28F6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2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целевыми ориентирами до 2050 года за </w:t>
      </w:r>
      <w:r w:rsidR="001E28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1E2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2024 года</w:t>
      </w:r>
      <w:r w:rsidR="00923D6A" w:rsidRPr="00923D6A">
        <w:rPr>
          <w:rFonts w:ascii="Times New Roman" w:hAnsi="Times New Roman" w:cs="Times New Roman"/>
          <w:sz w:val="28"/>
          <w:szCs w:val="28"/>
        </w:rPr>
        <w:t xml:space="preserve"> </w:t>
      </w:r>
      <w:r w:rsidRPr="00A13BE0">
        <w:rPr>
          <w:rFonts w:ascii="Times New Roman" w:hAnsi="Times New Roman" w:cs="Times New Roman"/>
          <w:sz w:val="28"/>
          <w:szCs w:val="28"/>
        </w:rPr>
        <w:t xml:space="preserve">представлен в приложении </w:t>
      </w:r>
      <w:r w:rsidR="00692101">
        <w:rPr>
          <w:rFonts w:ascii="Times New Roman" w:hAnsi="Times New Roman" w:cs="Times New Roman"/>
          <w:sz w:val="28"/>
          <w:szCs w:val="28"/>
        </w:rPr>
        <w:t xml:space="preserve">1 </w:t>
      </w:r>
      <w:r w:rsidRPr="00A13BE0">
        <w:rPr>
          <w:rFonts w:ascii="Times New Roman" w:hAnsi="Times New Roman" w:cs="Times New Roman"/>
          <w:sz w:val="28"/>
          <w:szCs w:val="28"/>
        </w:rPr>
        <w:t>к отчету.</w:t>
      </w:r>
    </w:p>
    <w:p w:rsidR="00DE7A7E" w:rsidRDefault="001E28F6" w:rsidP="00DE7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E0">
        <w:rPr>
          <w:rFonts w:ascii="Times New Roman" w:hAnsi="Times New Roman" w:cs="Times New Roman"/>
          <w:sz w:val="28"/>
          <w:szCs w:val="28"/>
        </w:rPr>
        <w:t xml:space="preserve">Анализ достижения плановых значений целевых показателей Стратегии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Сургут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Ханты-Мансийского автономного округа – Югры на период до 203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целевыми ориентирами до 2050 года 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2024 года</w:t>
      </w:r>
      <w:r w:rsidR="00727325" w:rsidRPr="0072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EA7">
        <w:rPr>
          <w:rFonts w:ascii="Times New Roman" w:hAnsi="Times New Roman" w:cs="Times New Roman"/>
          <w:sz w:val="28"/>
          <w:szCs w:val="28"/>
        </w:rPr>
        <w:t>вектора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EA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Комфортная среда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и качество жизни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транспортной инфраструктуры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A7E" w:rsidRPr="00A13B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показал следующее:</w:t>
      </w:r>
    </w:p>
    <w:p w:rsidR="001E28F6" w:rsidRPr="00F00B64" w:rsidRDefault="001E28F6" w:rsidP="00DE7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2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0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показателю 58. «</w:t>
      </w:r>
      <w:r w:rsidRPr="00F00B64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Удовлетворенность качеством и доступностью автомобильных дорог</w:t>
      </w:r>
      <w:r w:rsidR="00E5479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, %</w:t>
      </w:r>
      <w:r w:rsidRPr="00F00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00B64" w:rsidRDefault="00F00B64" w:rsidP="00F00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города от 23.01.2024 № 158 «Об утверждении плана-графика социологических исследований </w:t>
      </w:r>
      <w:r>
        <w:rPr>
          <w:rFonts w:ascii="Times New Roman" w:hAnsi="Times New Roman" w:cs="Times New Roman"/>
          <w:sz w:val="28"/>
          <w:szCs w:val="28"/>
        </w:rPr>
        <w:br/>
        <w:t xml:space="preserve">на 2024 год» с марта по сентябрь 2024 года проводится полевой этап социологического исследования на тему: «Уровень социального самочувствия жителей муниципального образования», в рамках которого определяется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уровень удовлетворенности населения </w:t>
      </w:r>
      <w:r w:rsidRPr="001E28F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качеством и доступностью автомобильных доро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Не позднее 30 ноября 2024 года муниципальным казенным учреждением «Наш город» будет предоставлен отчет заказчикам исследования – структурным подразделениям Администрации города. В связи с этим информация о достижении планового значения целевого показателя </w:t>
      </w:r>
      <w:r w:rsidRPr="001E28F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E28F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Удовлетворенность качеством и доступностью автомобильных дорог</w:t>
      </w:r>
      <w:r w:rsidRPr="001E28F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отчете за первое полугодие 2024 года отсутствует и будет предоставлена в отчете по итогам 2024 года. </w:t>
      </w:r>
    </w:p>
    <w:p w:rsidR="001E28F6" w:rsidRDefault="001E28F6" w:rsidP="00DE7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8F6" w:rsidRDefault="001E28F6" w:rsidP="00DE7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0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показателю 59. «</w:t>
      </w:r>
      <w:r w:rsidRPr="00F00B64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Удовлетворенность качеством транспортного обслуживания пассажирским транспортом общего пользования</w:t>
      </w:r>
      <w:r w:rsidR="00E5479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, %</w:t>
      </w:r>
      <w:r w:rsidRPr="00F00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00B64" w:rsidRDefault="00F00B64" w:rsidP="00F00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города от 23.01.2024 № 158 «Об утверждении плана-графика социологических исследований </w:t>
      </w:r>
      <w:r>
        <w:rPr>
          <w:rFonts w:ascii="Times New Roman" w:hAnsi="Times New Roman" w:cs="Times New Roman"/>
          <w:sz w:val="28"/>
          <w:szCs w:val="28"/>
        </w:rPr>
        <w:br/>
        <w:t xml:space="preserve">на 2024 год» с марта по сентябрь 2024 года проводится полевой этап социологического исследования на тему: «Уровень социального самочувствия жителей муниципального образования», в рамках которого определяется уровень удовлетворенности населения </w:t>
      </w:r>
      <w:r w:rsidRPr="001E28F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качеством транспортного обслуживания пассажирским транспортом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. Не позднее 30 ноября 2024 года муниципальным казенным учреждением «Наш город» будет предоставлен отчет заказчикам исследования – структурным подразделениям Администрации города. В связи с этим информация о достижении планового значения целевого показателя </w:t>
      </w:r>
      <w:r w:rsidRPr="001E28F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E28F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Удовлетворенность качеством транспортного обслуживания пассажирским транспортом общего пользования</w:t>
      </w:r>
      <w:r w:rsidRPr="001E28F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отчете за первое полугодие 2024 года отсутствует и будет предоставлена в отчете по итогам 2024 года. </w:t>
      </w:r>
    </w:p>
    <w:p w:rsidR="00F00B64" w:rsidRDefault="00F00B64" w:rsidP="00F00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0B64" w:rsidRPr="00796EC0" w:rsidRDefault="00F00B64" w:rsidP="00F00B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EC0">
        <w:rPr>
          <w:rFonts w:ascii="Times New Roman" w:hAnsi="Times New Roman" w:cs="Times New Roman"/>
          <w:b/>
          <w:sz w:val="28"/>
          <w:szCs w:val="28"/>
        </w:rPr>
        <w:t>- по показателю 60. «</w:t>
      </w:r>
      <w:r w:rsidRPr="00796EC0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Обеспеченность велосипедными дорожками (территории жилой и общественно-деловой застройки)</w:t>
      </w:r>
      <w:r w:rsidR="00E54797" w:rsidRPr="00796EC0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, км/км</w:t>
      </w:r>
      <w:r w:rsidR="00E54797" w:rsidRPr="00796EC0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  <w:vertAlign w:val="superscript"/>
        </w:rPr>
        <w:t>2</w:t>
      </w:r>
      <w:r w:rsidRPr="00796EC0">
        <w:rPr>
          <w:rFonts w:ascii="Times New Roman" w:hAnsi="Times New Roman" w:cs="Times New Roman"/>
          <w:b/>
          <w:sz w:val="28"/>
          <w:szCs w:val="28"/>
        </w:rPr>
        <w:t>»</w:t>
      </w:r>
    </w:p>
    <w:p w:rsidR="00796EC0" w:rsidRPr="00E27A3B" w:rsidRDefault="00796EC0" w:rsidP="00796E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EC0">
        <w:rPr>
          <w:rFonts w:ascii="Times New Roman" w:hAnsi="Times New Roman" w:cs="Times New Roman"/>
          <w:sz w:val="28"/>
          <w:szCs w:val="28"/>
        </w:rPr>
        <w:t xml:space="preserve">Достижение показателя обеспеченности велосипедными дорожками территорий жилой и общественно-деловой застройки планируется достичь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96EC0">
        <w:rPr>
          <w:rFonts w:ascii="Times New Roman" w:hAnsi="Times New Roman" w:cs="Times New Roman"/>
          <w:sz w:val="28"/>
          <w:szCs w:val="28"/>
        </w:rPr>
        <w:t xml:space="preserve">в рамках завершения строительства объекта «Магистральная дорога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6EC0">
        <w:rPr>
          <w:rFonts w:ascii="Times New Roman" w:hAnsi="Times New Roman" w:cs="Times New Roman"/>
          <w:sz w:val="28"/>
          <w:szCs w:val="28"/>
        </w:rPr>
        <w:t>на участках: ул. 16 "ЮР" от ул. 3 "ЮР" до примыкания к ул. Никольская; ул. 3 "ЮР" от ул. 16 "ЮР" до 18 "ЮР"; ул. 18 "ЮР" от 3 "ЮР" до примыкания к ул. Энгельса в г. Сургуте». Завершение строительства дороги запланирована на 4 квартал 2024 года.</w:t>
      </w:r>
    </w:p>
    <w:p w:rsidR="00F00B64" w:rsidRDefault="00F00B64" w:rsidP="00F00B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B64" w:rsidRPr="00F60560" w:rsidRDefault="00F00B64" w:rsidP="00F00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797">
        <w:rPr>
          <w:rFonts w:ascii="Times New Roman" w:hAnsi="Times New Roman" w:cs="Times New Roman"/>
          <w:b/>
          <w:sz w:val="28"/>
          <w:szCs w:val="28"/>
        </w:rPr>
        <w:t>- по показателю 61</w:t>
      </w:r>
      <w:r w:rsidR="00E54797">
        <w:rPr>
          <w:rFonts w:ascii="Times New Roman" w:hAnsi="Times New Roman" w:cs="Times New Roman"/>
          <w:b/>
          <w:sz w:val="28"/>
          <w:szCs w:val="28"/>
        </w:rPr>
        <w:t>.</w:t>
      </w:r>
      <w:r w:rsidRPr="00E5479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54797" w:rsidRPr="00E5479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</w:r>
      <w:r w:rsidR="00E5479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, %</w:t>
      </w:r>
      <w:r w:rsidRPr="00E54797">
        <w:rPr>
          <w:rFonts w:ascii="Times New Roman" w:hAnsi="Times New Roman" w:cs="Times New Roman"/>
          <w:b/>
          <w:sz w:val="28"/>
          <w:szCs w:val="28"/>
        </w:rPr>
        <w:t>»</w:t>
      </w:r>
      <w:r w:rsidR="00F60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560" w:rsidRPr="00F60560">
        <w:rPr>
          <w:rFonts w:ascii="Times New Roman" w:hAnsi="Times New Roman" w:cs="Times New Roman"/>
          <w:sz w:val="28"/>
          <w:szCs w:val="28"/>
        </w:rPr>
        <w:t xml:space="preserve">значение показателя на </w:t>
      </w:r>
      <w:r w:rsidR="00F60560" w:rsidRPr="00F6056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60560" w:rsidRPr="00F60560">
        <w:rPr>
          <w:rFonts w:ascii="Times New Roman" w:hAnsi="Times New Roman" w:cs="Times New Roman"/>
          <w:sz w:val="28"/>
          <w:szCs w:val="28"/>
        </w:rPr>
        <w:t xml:space="preserve"> полугодие 2024 года составляет </w:t>
      </w:r>
      <w:r w:rsidR="00F60560">
        <w:rPr>
          <w:rFonts w:ascii="Times New Roman" w:hAnsi="Times New Roman" w:cs="Times New Roman"/>
          <w:sz w:val="28"/>
          <w:szCs w:val="28"/>
        </w:rPr>
        <w:t>– 84,9 % (осталось на уровне итога 2023 года), при плановом значении на 2024 год – 86,0%. О достижении данного показателя информация будет представлена по итогам 2024 года, по окончании всех ремонтных работ.</w:t>
      </w:r>
    </w:p>
    <w:p w:rsidR="00F00B64" w:rsidRDefault="00F00B64" w:rsidP="00DE7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797" w:rsidRDefault="00E54797" w:rsidP="00DE7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6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- по показателю 62. «</w:t>
      </w:r>
      <w:r w:rsidRPr="00796EC0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Доля площади территории города, находящаяся в нормативном радиусе пешеходной доступности от остановочных пунктов, %</w:t>
      </w:r>
      <w:r w:rsidRPr="00796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96EC0" w:rsidRPr="00F02C5D" w:rsidRDefault="00796EC0" w:rsidP="00796E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EC0">
        <w:rPr>
          <w:rFonts w:ascii="Times New Roman" w:hAnsi="Times New Roman" w:cs="Times New Roman"/>
          <w:color w:val="000000" w:themeColor="text1"/>
          <w:sz w:val="28"/>
          <w:szCs w:val="28"/>
        </w:rPr>
        <w:t>Площадь территории муниципального образования, обеспеченная 400-метровой доступностью от автобусных остановок, составляет 6840,3 гектар. В настоящее время 75% территории селитебной части города обеспечена остановками 400-метровой доступностью от автобусных остановок.</w:t>
      </w:r>
    </w:p>
    <w:p w:rsidR="00F60560" w:rsidRDefault="00F60560" w:rsidP="00DE7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560" w:rsidRDefault="00F60560" w:rsidP="00DE7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по показателю 63. «</w:t>
      </w:r>
      <w:r w:rsidRPr="00F60560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Доля теплых остановочных павильонов</w:t>
      </w:r>
      <w:r w:rsidRPr="00F60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D364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6410" w:rsidRPr="00F60560">
        <w:rPr>
          <w:rFonts w:ascii="Times New Roman" w:hAnsi="Times New Roman" w:cs="Times New Roman"/>
          <w:sz w:val="28"/>
          <w:szCs w:val="28"/>
        </w:rPr>
        <w:t xml:space="preserve">значение показателя на </w:t>
      </w:r>
      <w:r w:rsidR="00D36410" w:rsidRPr="00F6056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36410" w:rsidRPr="00F60560">
        <w:rPr>
          <w:rFonts w:ascii="Times New Roman" w:hAnsi="Times New Roman" w:cs="Times New Roman"/>
          <w:sz w:val="28"/>
          <w:szCs w:val="28"/>
        </w:rPr>
        <w:t xml:space="preserve"> полугодие 2024 года составляет </w:t>
      </w:r>
      <w:r w:rsidR="00D36410">
        <w:rPr>
          <w:rFonts w:ascii="Times New Roman" w:hAnsi="Times New Roman" w:cs="Times New Roman"/>
          <w:sz w:val="28"/>
          <w:szCs w:val="28"/>
        </w:rPr>
        <w:t>–</w:t>
      </w:r>
      <w:r w:rsidR="00D36410">
        <w:rPr>
          <w:rFonts w:ascii="Times New Roman" w:hAnsi="Times New Roman" w:cs="Times New Roman"/>
          <w:sz w:val="28"/>
          <w:szCs w:val="28"/>
        </w:rPr>
        <w:t xml:space="preserve"> 17,23 %, при плановом значении – 20 %.</w:t>
      </w:r>
    </w:p>
    <w:p w:rsidR="00F60560" w:rsidRPr="00F60560" w:rsidRDefault="00F60560" w:rsidP="00DE7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0710" w:rsidRPr="005A0710" w:rsidRDefault="005A0710" w:rsidP="005A0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A7E" w:rsidRPr="00DE7A7E" w:rsidRDefault="00DE7A7E" w:rsidP="00DE7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Раздел </w:t>
      </w:r>
      <w:r w:rsidRPr="00DE7A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Анализ реализации мероприятий, флагманских проектов </w:t>
      </w:r>
      <w:r w:rsidR="00BF19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проектов плана мероприятий по реализации Стратегии.</w:t>
      </w:r>
    </w:p>
    <w:p w:rsidR="00DE7A7E" w:rsidRPr="00DE7A7E" w:rsidRDefault="00DE7A7E" w:rsidP="00DE7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Анализ реализации плана мероприятий по реализации </w:t>
      </w:r>
      <w:r w:rsidR="00692101" w:rsidRPr="00A13BE0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</w:t>
      </w:r>
      <w:r w:rsidR="006921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692101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Сургут</w:t>
      </w:r>
      <w:r w:rsidR="006921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92101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Ханты-Мансийского автономного округа – Югры на период до 203</w:t>
      </w:r>
      <w:r w:rsidR="006921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92101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692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целевыми ориентирами до 2050 года за </w:t>
      </w:r>
      <w:r w:rsidR="006921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92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2024 года</w:t>
      </w:r>
      <w:r w:rsidR="00692101" w:rsidRPr="0072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101" w:rsidRPr="00E33EA7">
        <w:rPr>
          <w:rFonts w:ascii="Times New Roman" w:hAnsi="Times New Roman" w:cs="Times New Roman"/>
          <w:sz w:val="28"/>
          <w:szCs w:val="28"/>
        </w:rPr>
        <w:t>вектора</w:t>
      </w:r>
      <w:r w:rsidR="00692101">
        <w:rPr>
          <w:rFonts w:ascii="Times New Roman" w:hAnsi="Times New Roman" w:cs="Times New Roman"/>
          <w:sz w:val="28"/>
          <w:szCs w:val="28"/>
        </w:rPr>
        <w:t xml:space="preserve"> </w:t>
      </w:r>
      <w:r w:rsidR="00692101" w:rsidRPr="00E33EA7">
        <w:rPr>
          <w:rFonts w:ascii="Times New Roman" w:hAnsi="Times New Roman" w:cs="Times New Roman"/>
          <w:sz w:val="28"/>
          <w:szCs w:val="28"/>
        </w:rPr>
        <w:t>«</w:t>
      </w:r>
      <w:r w:rsidR="00692101">
        <w:rPr>
          <w:rFonts w:ascii="Times New Roman" w:hAnsi="Times New Roman" w:cs="Times New Roman"/>
          <w:sz w:val="28"/>
          <w:szCs w:val="28"/>
        </w:rPr>
        <w:t>Комфортная среда</w:t>
      </w:r>
      <w:r w:rsidR="0069210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92101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«</w:t>
      </w:r>
      <w:r w:rsidR="0069210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и качество жизни</w:t>
      </w:r>
      <w:r w:rsidR="00692101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92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транспортной инфраструктуры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в приложении 2 к отчету.</w:t>
      </w:r>
    </w:p>
    <w:p w:rsidR="00DE7A7E" w:rsidRPr="00DE7A7E" w:rsidRDefault="00DE7A7E" w:rsidP="00DE7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DE7A7E" w:rsidRPr="00DE7A7E" w:rsidRDefault="00ED3B54" w:rsidP="00ED3B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E7A7E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DE7A7E" w:rsidRPr="00DE7A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DE7A7E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A6E23" w:rsidRPr="00E2060C">
        <w:rPr>
          <w:rFonts w:ascii="Times New Roman" w:hAnsi="Times New Roman" w:cs="Times New Roman"/>
          <w:sz w:val="28"/>
          <w:szCs w:val="28"/>
        </w:rPr>
        <w:t>По результатам проведенного анализа можно сделать следующие выводы</w:t>
      </w:r>
      <w:r w:rsidR="00DE7A7E"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7A7E" w:rsidRPr="00DE7A7E" w:rsidRDefault="00DE7A7E" w:rsidP="004279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По результатам оценки выполнения показателей можно сделать вывод 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промежуточном достижении стратегической цели </w:t>
      </w:r>
      <w:r w:rsidR="000C639F" w:rsidRPr="000C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вектора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7A7E" w:rsidRPr="00DE7A7E" w:rsidRDefault="00DE7A7E" w:rsidP="00DE7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A7E" w:rsidRPr="00DE7A7E" w:rsidRDefault="00DE7A7E" w:rsidP="00DE7A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107" w:rsidRDefault="00F02107" w:rsidP="001F4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02107" w:rsidSect="00ED1003">
          <w:pgSz w:w="11906" w:h="16838"/>
          <w:pgMar w:top="992" w:right="851" w:bottom="992" w:left="1701" w:header="709" w:footer="709" w:gutter="0"/>
          <w:cols w:space="708"/>
          <w:docGrid w:linePitch="360"/>
        </w:sectPr>
      </w:pPr>
      <w:r w:rsidRPr="00F02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D62" w:rsidRPr="00922D18" w:rsidRDefault="0005771F" w:rsidP="000577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</w:t>
      </w:r>
      <w:r w:rsidR="00A05D62" w:rsidRPr="00922D18">
        <w:rPr>
          <w:rFonts w:ascii="Times New Roman" w:hAnsi="Times New Roman" w:cs="Times New Roman"/>
          <w:sz w:val="28"/>
          <w:szCs w:val="28"/>
        </w:rPr>
        <w:t xml:space="preserve">Приложение 1 к отчету                                                                                                                               </w:t>
      </w:r>
    </w:p>
    <w:p w:rsidR="00A05D62" w:rsidRPr="0005580E" w:rsidRDefault="0005771F" w:rsidP="00692101">
      <w:pPr>
        <w:spacing w:after="0" w:line="240" w:lineRule="auto"/>
        <w:ind w:left="90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A05D62" w:rsidRDefault="00A05D62" w:rsidP="00A05D62">
      <w:pPr>
        <w:spacing w:after="0" w:line="240" w:lineRule="auto"/>
        <w:ind w:left="102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</w:p>
    <w:p w:rsidR="00923D6A" w:rsidRDefault="00692101" w:rsidP="00A05D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BE0">
        <w:rPr>
          <w:rFonts w:ascii="Times New Roman" w:hAnsi="Times New Roman" w:cs="Times New Roman"/>
          <w:sz w:val="28"/>
          <w:szCs w:val="28"/>
        </w:rPr>
        <w:t xml:space="preserve">Анализ достижения плановых значений целевых показателей Стратегии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Сургут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Ханты-Мансийского автономного округа – Югры на период до 203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целевыми ориентирами до 2050 года 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2024 года</w:t>
      </w:r>
      <w:r w:rsidRPr="0072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EA7">
        <w:rPr>
          <w:rFonts w:ascii="Times New Roman" w:hAnsi="Times New Roman" w:cs="Times New Roman"/>
          <w:sz w:val="28"/>
          <w:szCs w:val="28"/>
        </w:rPr>
        <w:t>вектора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EA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Комфортная среда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и качество жизни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транспортной инфраструктуры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83"/>
        <w:gridCol w:w="2551"/>
        <w:gridCol w:w="2552"/>
        <w:gridCol w:w="2658"/>
      </w:tblGrid>
      <w:tr w:rsidR="00A05D62" w:rsidRPr="00692101" w:rsidTr="00A5741B">
        <w:tc>
          <w:tcPr>
            <w:tcW w:w="7083" w:type="dxa"/>
          </w:tcPr>
          <w:p w:rsidR="00A05D62" w:rsidRPr="00692101" w:rsidRDefault="00A05D62" w:rsidP="00A5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10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551" w:type="dxa"/>
          </w:tcPr>
          <w:p w:rsidR="00A05D62" w:rsidRPr="00692101" w:rsidRDefault="00A05D62" w:rsidP="00A5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10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A05D62" w:rsidRDefault="00A05D62" w:rsidP="00692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10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92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2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101">
              <w:rPr>
                <w:rFonts w:ascii="Times New Roman" w:hAnsi="Times New Roman" w:cs="Times New Roman"/>
                <w:sz w:val="24"/>
                <w:szCs w:val="24"/>
              </w:rPr>
              <w:t>– 2026</w:t>
            </w:r>
          </w:p>
          <w:p w:rsidR="00692101" w:rsidRPr="00692101" w:rsidRDefault="00692101" w:rsidP="006921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этап)</w:t>
            </w:r>
          </w:p>
        </w:tc>
        <w:tc>
          <w:tcPr>
            <w:tcW w:w="2552" w:type="dxa"/>
          </w:tcPr>
          <w:p w:rsidR="00A05D62" w:rsidRPr="00692101" w:rsidRDefault="00A05D62" w:rsidP="00A5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101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692101" w:rsidRDefault="00692101" w:rsidP="006F3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</w:t>
            </w:r>
          </w:p>
          <w:p w:rsidR="00A05D62" w:rsidRPr="00692101" w:rsidRDefault="00692101" w:rsidP="006F3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года)</w:t>
            </w:r>
          </w:p>
        </w:tc>
        <w:tc>
          <w:tcPr>
            <w:tcW w:w="2658" w:type="dxa"/>
          </w:tcPr>
          <w:p w:rsidR="00A05D62" w:rsidRPr="00692101" w:rsidRDefault="00A05D62" w:rsidP="00A5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101">
              <w:rPr>
                <w:rFonts w:ascii="Times New Roman" w:hAnsi="Times New Roman" w:cs="Times New Roman"/>
                <w:sz w:val="24"/>
                <w:szCs w:val="24"/>
              </w:rPr>
              <w:t>Исполнение %</w:t>
            </w:r>
          </w:p>
          <w:p w:rsidR="00A05D62" w:rsidRPr="00692101" w:rsidRDefault="00A05D62" w:rsidP="00A5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101" w:rsidRPr="00692101" w:rsidTr="00A5741B">
        <w:tc>
          <w:tcPr>
            <w:tcW w:w="14844" w:type="dxa"/>
            <w:gridSpan w:val="4"/>
          </w:tcPr>
          <w:p w:rsidR="00692101" w:rsidRPr="00692101" w:rsidRDefault="00692101" w:rsidP="0069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«Уровень и качество жизни»</w:t>
            </w:r>
          </w:p>
        </w:tc>
      </w:tr>
      <w:tr w:rsidR="00692101" w:rsidRPr="00796EC0" w:rsidTr="00A5741B">
        <w:tc>
          <w:tcPr>
            <w:tcW w:w="14844" w:type="dxa"/>
            <w:gridSpan w:val="4"/>
          </w:tcPr>
          <w:p w:rsidR="00692101" w:rsidRPr="00796EC0" w:rsidRDefault="00692101" w:rsidP="0069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EC0">
              <w:rPr>
                <w:rFonts w:ascii="Times New Roman" w:hAnsi="Times New Roman" w:cs="Times New Roman"/>
                <w:sz w:val="24"/>
                <w:szCs w:val="24"/>
              </w:rPr>
              <w:t>Вектор «Комфортная среда</w:t>
            </w:r>
            <w:r w:rsidRPr="00796E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A57155" w:rsidRPr="00796EC0" w:rsidTr="00692101">
        <w:tc>
          <w:tcPr>
            <w:tcW w:w="7083" w:type="dxa"/>
          </w:tcPr>
          <w:p w:rsidR="00A57155" w:rsidRPr="00796EC0" w:rsidRDefault="00A57155" w:rsidP="00A57155">
            <w:pP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58. Удовлетворенность качеством и доступностью автомобильных дорог, %</w:t>
            </w:r>
          </w:p>
        </w:tc>
        <w:tc>
          <w:tcPr>
            <w:tcW w:w="2551" w:type="dxa"/>
          </w:tcPr>
          <w:p w:rsidR="00A57155" w:rsidRPr="00796EC0" w:rsidRDefault="00A57155" w:rsidP="00A57155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2552" w:type="dxa"/>
          </w:tcPr>
          <w:p w:rsidR="00A57155" w:rsidRPr="00796EC0" w:rsidRDefault="00A57155" w:rsidP="00A57155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8" w:type="dxa"/>
          </w:tcPr>
          <w:p w:rsidR="00A57155" w:rsidRPr="00796EC0" w:rsidRDefault="00A57155" w:rsidP="00A57155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-</w:t>
            </w:r>
          </w:p>
        </w:tc>
      </w:tr>
      <w:tr w:rsidR="00A57155" w:rsidRPr="00796EC0" w:rsidTr="00A5741B">
        <w:tc>
          <w:tcPr>
            <w:tcW w:w="7083" w:type="dxa"/>
          </w:tcPr>
          <w:p w:rsidR="00A57155" w:rsidRPr="00796EC0" w:rsidRDefault="00A57155" w:rsidP="00A57155">
            <w:pP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59. Удовлетворенность качеством транспортного обслуживания пассажирским транспортом общего пользования, %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57155" w:rsidRPr="00796EC0" w:rsidRDefault="00A57155" w:rsidP="00A57155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2552" w:type="dxa"/>
          </w:tcPr>
          <w:p w:rsidR="00A57155" w:rsidRPr="00796EC0" w:rsidRDefault="00A57155" w:rsidP="00A5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A57155" w:rsidRPr="00796EC0" w:rsidRDefault="00A57155" w:rsidP="00A5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6EC0" w:rsidRPr="00796EC0" w:rsidTr="005D45C1">
        <w:tc>
          <w:tcPr>
            <w:tcW w:w="7083" w:type="dxa"/>
          </w:tcPr>
          <w:p w:rsidR="00796EC0" w:rsidRPr="00796EC0" w:rsidRDefault="00796EC0" w:rsidP="005D45C1">
            <w:pP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vertAlign w:val="superscript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60. Обеспеченность велосипедными дорожками (территории жилой и общественно-деловой застройки), км/км</w:t>
            </w:r>
            <w:r w:rsidRPr="00796EC0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96EC0" w:rsidRPr="00796EC0" w:rsidRDefault="00796EC0" w:rsidP="005D45C1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2552" w:type="dxa"/>
          </w:tcPr>
          <w:p w:rsidR="00796EC0" w:rsidRPr="00796EC0" w:rsidRDefault="00796EC0" w:rsidP="005D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58" w:type="dxa"/>
          </w:tcPr>
          <w:p w:rsidR="00796EC0" w:rsidRPr="00796EC0" w:rsidRDefault="00796EC0" w:rsidP="005D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EC0" w:rsidRPr="00796EC0" w:rsidTr="005D45C1">
        <w:tc>
          <w:tcPr>
            <w:tcW w:w="7083" w:type="dxa"/>
          </w:tcPr>
          <w:p w:rsidR="00796EC0" w:rsidRPr="00796EC0" w:rsidRDefault="00796EC0" w:rsidP="005D45C1">
            <w:pP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61.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значения, %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96EC0" w:rsidRPr="00796EC0" w:rsidRDefault="00796EC0" w:rsidP="005D45C1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2552" w:type="dxa"/>
          </w:tcPr>
          <w:p w:rsidR="00796EC0" w:rsidRPr="00796EC0" w:rsidRDefault="00796EC0" w:rsidP="005D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C0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2658" w:type="dxa"/>
          </w:tcPr>
          <w:p w:rsidR="00796EC0" w:rsidRPr="00796EC0" w:rsidRDefault="00796EC0" w:rsidP="005D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C0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796EC0" w:rsidRPr="00A5741B" w:rsidTr="005D45C1">
        <w:tc>
          <w:tcPr>
            <w:tcW w:w="7083" w:type="dxa"/>
          </w:tcPr>
          <w:p w:rsidR="00796EC0" w:rsidRPr="00796EC0" w:rsidRDefault="00796EC0" w:rsidP="005D45C1">
            <w:pP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62. Доля площади территории города, находящаяся в нормативном радиусе пешеходной доступности от остановочных пунктов, %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96EC0" w:rsidRPr="00796EC0" w:rsidRDefault="00796EC0" w:rsidP="005D45C1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2552" w:type="dxa"/>
          </w:tcPr>
          <w:p w:rsidR="00796EC0" w:rsidRPr="00796EC0" w:rsidRDefault="00796EC0" w:rsidP="005D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C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2658" w:type="dxa"/>
          </w:tcPr>
          <w:p w:rsidR="00796EC0" w:rsidRPr="00796EC0" w:rsidRDefault="00796EC0" w:rsidP="005D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C0">
              <w:rPr>
                <w:rFonts w:ascii="Times New Roman" w:hAnsi="Times New Roman" w:cs="Times New Roman"/>
                <w:sz w:val="24"/>
                <w:szCs w:val="24"/>
              </w:rPr>
              <w:t>88 %</w:t>
            </w:r>
          </w:p>
        </w:tc>
      </w:tr>
      <w:tr w:rsidR="00692101" w:rsidRPr="00A5741B" w:rsidTr="00A5741B">
        <w:tc>
          <w:tcPr>
            <w:tcW w:w="7083" w:type="dxa"/>
          </w:tcPr>
          <w:p w:rsidR="00692101" w:rsidRPr="00692101" w:rsidRDefault="00692101" w:rsidP="00692101">
            <w:pP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5741B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63. </w:t>
            </w:r>
            <w:r w:rsidRPr="00692101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Доля теплых остановочных павильонов</w:t>
            </w:r>
            <w:r w:rsidRPr="00A5741B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92101" w:rsidRPr="00692101" w:rsidRDefault="00692101" w:rsidP="00692101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692101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552" w:type="dxa"/>
          </w:tcPr>
          <w:p w:rsidR="00692101" w:rsidRPr="00A5741B" w:rsidRDefault="005F040C" w:rsidP="0069210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040C">
              <w:rPr>
                <w:rFonts w:ascii="Times New Roman" w:hAnsi="Times New Roman" w:cs="Times New Roman"/>
                <w:sz w:val="24"/>
                <w:szCs w:val="24"/>
              </w:rPr>
              <w:t>17,23</w:t>
            </w:r>
          </w:p>
        </w:tc>
        <w:tc>
          <w:tcPr>
            <w:tcW w:w="2658" w:type="dxa"/>
          </w:tcPr>
          <w:p w:rsidR="00692101" w:rsidRPr="00A5741B" w:rsidRDefault="005F040C" w:rsidP="0069210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040C">
              <w:rPr>
                <w:rFonts w:ascii="Times New Roman" w:hAnsi="Times New Roman" w:cs="Times New Roman"/>
                <w:sz w:val="24"/>
                <w:szCs w:val="24"/>
              </w:rPr>
              <w:t>86,15</w:t>
            </w:r>
          </w:p>
        </w:tc>
      </w:tr>
    </w:tbl>
    <w:p w:rsidR="00A05D62" w:rsidRPr="00A5741B" w:rsidRDefault="00A05D62" w:rsidP="00A0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5D62" w:rsidRDefault="00A05D62" w:rsidP="00A05D6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0F48FF" w:rsidRDefault="000F48FF" w:rsidP="00A05D6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0F48FF" w:rsidRDefault="000F48FF" w:rsidP="00A05D6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5741B" w:rsidRDefault="00A5741B" w:rsidP="00A05D6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05D62" w:rsidRDefault="00A05D62" w:rsidP="00A05D6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05771F" w:rsidRPr="00922D18" w:rsidRDefault="0005771F" w:rsidP="0005771F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922D1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2D18">
        <w:rPr>
          <w:rFonts w:ascii="Times New Roman" w:hAnsi="Times New Roman" w:cs="Times New Roman"/>
          <w:sz w:val="28"/>
          <w:szCs w:val="28"/>
        </w:rPr>
        <w:t xml:space="preserve"> к отчету                                                                                                                               </w:t>
      </w:r>
    </w:p>
    <w:p w:rsidR="00A05D62" w:rsidRPr="00C62A2D" w:rsidRDefault="00A05D62" w:rsidP="00A05D62">
      <w:pPr>
        <w:spacing w:after="0" w:line="240" w:lineRule="auto"/>
        <w:ind w:left="10206"/>
        <w:rPr>
          <w:rFonts w:ascii="Times New Roman" w:hAnsi="Times New Roman" w:cs="Times New Roman"/>
        </w:rPr>
      </w:pPr>
      <w:r w:rsidRPr="00C62A2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</w:p>
    <w:p w:rsidR="00A5741B" w:rsidRDefault="00041BDB" w:rsidP="00041B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реализации плана мероприятий по реализации </w:t>
      </w:r>
      <w:r w:rsidRPr="00A13BE0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Сургут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Ханты-Мансийского автономного округа – Югры на период до 203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целевыми ориентирами до 2050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2024 года</w:t>
      </w:r>
      <w:r w:rsidRPr="0072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EA7">
        <w:rPr>
          <w:rFonts w:ascii="Times New Roman" w:hAnsi="Times New Roman" w:cs="Times New Roman"/>
          <w:sz w:val="28"/>
          <w:szCs w:val="28"/>
        </w:rPr>
        <w:t>вектора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EA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Комфортная среда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и качество жизни</w:t>
      </w:r>
      <w:r w:rsidRPr="00DE7A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транспортной инфраструктуры</w:t>
      </w:r>
    </w:p>
    <w:p w:rsidR="00A5741B" w:rsidRDefault="00A5741B" w:rsidP="00A05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4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7"/>
        <w:gridCol w:w="42"/>
        <w:gridCol w:w="5369"/>
        <w:gridCol w:w="96"/>
        <w:gridCol w:w="1723"/>
        <w:gridCol w:w="114"/>
        <w:gridCol w:w="1177"/>
        <w:gridCol w:w="265"/>
        <w:gridCol w:w="2570"/>
      </w:tblGrid>
      <w:tr w:rsidR="00A5741B" w:rsidRPr="00D36410" w:rsidTr="0010673B">
        <w:tc>
          <w:tcPr>
            <w:tcW w:w="4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Наименование мероприятия/события</w:t>
            </w:r>
          </w:p>
        </w:tc>
        <w:tc>
          <w:tcPr>
            <w:tcW w:w="5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Ожидаемый результат реализации мероприятия/события</w:t>
            </w:r>
          </w:p>
          <w:p w:rsidR="00A5741B" w:rsidRPr="00D36410" w:rsidRDefault="00A5741B" w:rsidP="00A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(влияние на целевой показатель вектора)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Источник финансового обеспечения</w:t>
            </w:r>
          </w:p>
        </w:tc>
        <w:tc>
          <w:tcPr>
            <w:tcW w:w="1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Срок реализации мероприятия/ события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hAnsi="Times New Roman" w:cs="Times New Roman"/>
              </w:rPr>
              <w:t>Приводится информация об исполнении (неисполнении) с приведением внутренних и внешних условий, повлиявших на исполнение (неисполнение)</w:t>
            </w:r>
          </w:p>
        </w:tc>
      </w:tr>
      <w:tr w:rsidR="00A5741B" w:rsidRPr="00D36410" w:rsidTr="0010673B">
        <w:tc>
          <w:tcPr>
            <w:tcW w:w="15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 Транспортная инфраструктура</w:t>
            </w:r>
          </w:p>
        </w:tc>
      </w:tr>
      <w:tr w:rsidR="00A5741B" w:rsidRPr="00D36410" w:rsidTr="0010673B">
        <w:tc>
          <w:tcPr>
            <w:tcW w:w="15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Реализация мероприятий вектора обеспечивает выполнение целевых показателей: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58. Удовлетворенность качеством и доступностью автомобильных дорог - 90,0% в 2050 году;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59. Удовлетворенность качеством транспортного обслуживания пассажирским транспортом общего пользования - 90,0% в 2050 году;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60. Обеспеченность велосипедными дорожками (территории жилой и общественно-деловой застройки) - 0,30 км/кв. км в 2050 году;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61.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 - 100,0% в 2050 году;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62. Доля площади территории города, находящаяся в нормативном радиусе пешеходной доступности от остановочных пунктов - 100,0% в 2050 году;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63. Доля теплых остановочных павильонов - 100,0% в 2050 году</w:t>
            </w:r>
          </w:p>
        </w:tc>
      </w:tr>
      <w:tr w:rsidR="00A5741B" w:rsidRPr="00D36410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3.1.3.1. Мероприятия по нормативно-правовому, организационному обеспечению, регулированию развития транспортной инфраструктуры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обеспечивает достижение целевых показателей 58, 59, 60, 61, 62, 63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х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х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</w:tr>
      <w:tr w:rsidR="00A5741B" w:rsidRPr="00D36410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3.1.3.1.1. Организация разработки схем и проектов развития транспортной инфраструктуры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утверждение корректировок соответствующих муниципальных программ, согласно разработанным схемам и проектам развития транспортной инфраструктуры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целевых показателей 46, 58, 61)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 требуется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ежегодно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5741B" w:rsidRPr="00D36410" w:rsidRDefault="00D36410" w:rsidP="00D36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В рамках муниципальной программы «Развитие транспортной системы города </w:t>
            </w: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</w:t>
            </w: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ургута»</w:t>
            </w:r>
          </w:p>
        </w:tc>
      </w:tr>
      <w:tr w:rsidR="00A5741B" w:rsidRPr="00D36410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3.1.3.1.2. Подготовка изменений, дополнений по вопросам развития улично-дорожной сети, интеллектуальных транспортных систем, городского пассажирского транспорта, вопросам развития велосипедной и пешеходной инфраструктуры в соответствующую муниципальную программу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утверждение корректировок соответствующих муниципальных программ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целевых показателей 58, 59, 60, 61, 62, 63)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 требуется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ежегодно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5741B" w:rsidRPr="00D36410" w:rsidRDefault="00D36410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В рамках муниципальной программы «Развитие транспортной системы города </w:t>
            </w: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</w:t>
            </w: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ургута»</w:t>
            </w:r>
          </w:p>
        </w:tc>
      </w:tr>
      <w:tr w:rsidR="00796EC0" w:rsidRPr="00792C62" w:rsidTr="005D45C1">
        <w:trPr>
          <w:trHeight w:val="240"/>
        </w:trPr>
        <w:tc>
          <w:tcPr>
            <w:tcW w:w="4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EC0" w:rsidRPr="00792C62" w:rsidRDefault="00796EC0" w:rsidP="005D45C1">
            <w:pPr>
              <w:spacing w:after="0" w:line="240" w:lineRule="auto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  <w:r w:rsidRPr="00792C62">
              <w:rPr>
                <w:rFonts w:ascii="PT Serif" w:eastAsia="Times New Roman" w:hAnsi="PT Serif" w:cs="Times New Roman"/>
                <w:color w:val="22272F"/>
                <w:lang w:eastAsia="ru-RU"/>
              </w:rPr>
              <w:t>3.1.3.1.3. Организация разработки схемы и проекта развития велосипедной и пешеходной инфраструктуры города Сургута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EC0" w:rsidRPr="00792C62" w:rsidRDefault="00796EC0" w:rsidP="005D45C1">
            <w:pPr>
              <w:spacing w:after="0" w:line="240" w:lineRule="auto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  <w:r w:rsidRPr="00792C62">
              <w:rPr>
                <w:rFonts w:ascii="PT Serif" w:eastAsia="Times New Roman" w:hAnsi="PT Serif" w:cs="Times New Roman"/>
                <w:color w:val="22272F"/>
                <w:lang w:eastAsia="ru-RU"/>
              </w:rPr>
              <w:t>обеспечивает достижение целевого показателя 46, 60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EC0" w:rsidRPr="00792C62" w:rsidRDefault="00796EC0" w:rsidP="005D45C1">
            <w:pPr>
              <w:spacing w:after="0" w:line="240" w:lineRule="auto"/>
              <w:jc w:val="both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  <w:r w:rsidRPr="00792C62">
              <w:rPr>
                <w:rFonts w:ascii="PT Serif" w:eastAsia="Times New Roman" w:hAnsi="PT Serif" w:cs="Times New Roman"/>
                <w:color w:val="22272F"/>
                <w:lang w:eastAsia="ru-RU"/>
              </w:rPr>
              <w:t> </w:t>
            </w:r>
          </w:p>
          <w:p w:rsidR="00796EC0" w:rsidRPr="00792C62" w:rsidRDefault="00796EC0" w:rsidP="005D45C1">
            <w:pPr>
              <w:spacing w:after="0" w:line="240" w:lineRule="auto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  <w:r w:rsidRPr="00792C62">
              <w:rPr>
                <w:rFonts w:ascii="PT Serif" w:eastAsia="Times New Roman" w:hAnsi="PT Serif" w:cs="Times New Roman"/>
                <w:color w:val="22272F"/>
                <w:lang w:eastAsia="ru-RU"/>
              </w:rPr>
              <w:t>бюджетные и внебюджетные средства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EC0" w:rsidRPr="00792C62" w:rsidRDefault="00796EC0" w:rsidP="005D45C1">
            <w:pPr>
              <w:spacing w:after="0" w:line="240" w:lineRule="auto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  <w:r w:rsidRPr="00792C62">
              <w:rPr>
                <w:rFonts w:ascii="PT Serif" w:eastAsia="Times New Roman" w:hAnsi="PT Serif" w:cs="Times New Roman"/>
                <w:color w:val="22272F"/>
                <w:lang w:eastAsia="ru-RU"/>
              </w:rPr>
              <w:t>2026 год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96EC0" w:rsidRPr="00C6423E" w:rsidRDefault="00796EC0" w:rsidP="005D4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C6423E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Срок исполнения не наступил. В 4 квартале 2024 планируется сформировать документацию для проведения муниципальной закупки для внесения изменений в программу комплексного развития транспортной инфраструктуры</w:t>
            </w:r>
          </w:p>
        </w:tc>
      </w:tr>
      <w:tr w:rsidR="00796EC0" w:rsidRPr="00792C62" w:rsidTr="005D45C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EC0" w:rsidRPr="00792C62" w:rsidRDefault="00796EC0" w:rsidP="005D45C1">
            <w:pPr>
              <w:spacing w:after="0" w:line="240" w:lineRule="auto"/>
              <w:jc w:val="both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EC0" w:rsidRPr="00792C62" w:rsidRDefault="00796EC0" w:rsidP="005D45C1">
            <w:pPr>
              <w:spacing w:after="0" w:line="240" w:lineRule="auto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  <w:r w:rsidRPr="00792C62">
              <w:rPr>
                <w:rFonts w:ascii="PT Serif" w:eastAsia="Times New Roman" w:hAnsi="PT Serif" w:cs="Times New Roman"/>
                <w:color w:val="22272F"/>
                <w:lang w:eastAsia="ru-RU"/>
              </w:rPr>
              <w:t>разработана схема и проект развития велосипедной и пешеходной инфраструктуры, разработана соответствующая документация по планировке территории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EC0" w:rsidRPr="00792C62" w:rsidRDefault="00796EC0" w:rsidP="005D45C1">
            <w:pPr>
              <w:spacing w:after="0" w:line="240" w:lineRule="auto"/>
              <w:jc w:val="both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EC0" w:rsidRPr="00792C62" w:rsidRDefault="00796EC0" w:rsidP="005D45C1">
            <w:pPr>
              <w:spacing w:after="0" w:line="240" w:lineRule="auto"/>
              <w:jc w:val="both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6EC0" w:rsidRPr="00792C62" w:rsidRDefault="00796EC0" w:rsidP="005D45C1">
            <w:pPr>
              <w:spacing w:after="0" w:line="240" w:lineRule="auto"/>
              <w:jc w:val="both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</w:p>
        </w:tc>
      </w:tr>
      <w:tr w:rsidR="00796EC0" w:rsidRPr="00A5741B" w:rsidTr="005D45C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EC0" w:rsidRPr="00792C62" w:rsidRDefault="00796EC0" w:rsidP="005D45C1">
            <w:pPr>
              <w:spacing w:after="0" w:line="240" w:lineRule="auto"/>
              <w:jc w:val="both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EC0" w:rsidRPr="00792C62" w:rsidRDefault="00796EC0" w:rsidP="005D45C1">
            <w:pPr>
              <w:spacing w:after="0" w:line="240" w:lineRule="auto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  <w:r w:rsidRPr="00792C62">
              <w:rPr>
                <w:rFonts w:ascii="PT Serif" w:eastAsia="Times New Roman" w:hAnsi="PT Serif" w:cs="Times New Roman"/>
                <w:color w:val="22272F"/>
                <w:lang w:eastAsia="ru-RU"/>
              </w:rPr>
              <w:t>утверждение схемы и проект развития велосипедной и пешеходной инфраструктуры к 2026 году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EC0" w:rsidRPr="00792C62" w:rsidRDefault="00796EC0" w:rsidP="005D45C1">
            <w:pPr>
              <w:spacing w:after="0" w:line="240" w:lineRule="auto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  <w:r w:rsidRPr="00792C62">
              <w:rPr>
                <w:rFonts w:ascii="PT Serif" w:eastAsia="Times New Roman" w:hAnsi="PT Serif" w:cs="Times New Roman"/>
                <w:color w:val="22272F"/>
                <w:lang w:eastAsia="ru-RU"/>
              </w:rPr>
              <w:t>не требуется</w:t>
            </w:r>
          </w:p>
        </w:tc>
        <w:tc>
          <w:tcPr>
            <w:tcW w:w="12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EC0" w:rsidRPr="00A5741B" w:rsidRDefault="00796EC0" w:rsidP="005D45C1">
            <w:pPr>
              <w:spacing w:after="0" w:line="240" w:lineRule="auto"/>
              <w:jc w:val="both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6EC0" w:rsidRPr="00A5741B" w:rsidRDefault="00796EC0" w:rsidP="005D45C1">
            <w:pPr>
              <w:spacing w:after="0" w:line="240" w:lineRule="auto"/>
              <w:jc w:val="both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</w:p>
        </w:tc>
      </w:tr>
      <w:tr w:rsidR="00A5741B" w:rsidRPr="00D36410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3.1.3.1.4. Осуществление мониторинга удовлетворенности населения качеством транспортного обслуживания пассажирским транспортом общего пользования, качеством и доступностью автомобильных дорог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достижение доли удовлетворенности населения качеством транспортного обслуживания пассажирским транспортом общего пользования: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2026 году - не менее 23,3%;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2031 году - не менее 37,2%;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2036 году - не менее 51,1%;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2044 году - не менее 73,3%;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2050 году - не менее 90,0%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достижение доли удовлетворенности населения качеством и доступностью автомобильных дорог: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2026 году - не менее 51,8%;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2031 году - не менее 59,7%;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2036 году - не менее 67,7%;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2044 году - не менее 80,4%;</w:t>
            </w:r>
          </w:p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2050 году - не менее 90,0%</w:t>
            </w:r>
          </w:p>
          <w:p w:rsidR="00A5741B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целевых показателей 58, 59)</w:t>
            </w:r>
          </w:p>
          <w:p w:rsidR="00792C62" w:rsidRPr="00D36410" w:rsidRDefault="00792C62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бюджетные средства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5741B" w:rsidRPr="00D36410" w:rsidRDefault="00A5741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5741B" w:rsidRPr="00D36410" w:rsidRDefault="00041BDB" w:rsidP="00A57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hAnsi="Times New Roman" w:cs="Times New Roman"/>
              </w:rPr>
              <w:t xml:space="preserve">В рамках </w:t>
            </w:r>
            <w:r w:rsidRPr="00D36410">
              <w:rPr>
                <w:rFonts w:ascii="Times New Roman" w:hAnsi="Times New Roman" w:cs="Times New Roman"/>
              </w:rPr>
              <w:t>социологического исследования</w:t>
            </w:r>
            <w:r w:rsidRPr="00D36410">
              <w:rPr>
                <w:rFonts w:ascii="Times New Roman" w:hAnsi="Times New Roman" w:cs="Times New Roman"/>
              </w:rPr>
              <w:t>, предоставляется по итогу  года</w:t>
            </w:r>
          </w:p>
        </w:tc>
      </w:tr>
      <w:tr w:rsidR="00792C62" w:rsidRPr="00792C62" w:rsidTr="0010673B">
        <w:trPr>
          <w:trHeight w:val="240"/>
        </w:trPr>
        <w:tc>
          <w:tcPr>
            <w:tcW w:w="4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792C62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2C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3.1.3.1.5. Разработка и утверждение генеральной схемы очистки территории городского округа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792C62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2C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обеспечивает достижение целевого показателя 46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792C62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2C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бюджетные и внебюджетные средства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792C62" w:rsidRDefault="00792C62" w:rsidP="0079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2C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</w:t>
            </w:r>
          </w:p>
          <w:p w:rsidR="00792C62" w:rsidRPr="00792C62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2C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2024 год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92C62" w:rsidRPr="00792C62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2C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Выполняется в</w:t>
            </w:r>
            <w:r w:rsidRPr="00792C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рамках муниципальной программы «Развитие транспортной системы города Сургута»</w:t>
            </w:r>
            <w:r w:rsidRPr="00792C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в части содержания автомобильных дорог, тротуаров, внутриквартальных проездов находящихся на содержании.</w:t>
            </w:r>
          </w:p>
        </w:tc>
      </w:tr>
      <w:tr w:rsidR="00792C62" w:rsidRPr="00792C62" w:rsidTr="001067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2C62" w:rsidRPr="00792C62" w:rsidRDefault="00792C62" w:rsidP="0079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792C62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2C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разработка генеральной схемы очистки территории городского округа - 2024 год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2C62" w:rsidRPr="00792C62" w:rsidRDefault="00792C62" w:rsidP="0079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2C62" w:rsidRPr="00792C62" w:rsidRDefault="00792C62" w:rsidP="0079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2C62" w:rsidRPr="00792C62" w:rsidRDefault="00792C62" w:rsidP="0079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</w:tr>
      <w:tr w:rsidR="00792C62" w:rsidRPr="00792C62" w:rsidTr="001067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2C62" w:rsidRPr="00792C62" w:rsidRDefault="00792C62" w:rsidP="0079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792C62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2C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реализация генеральной схемы очистки территории городского округа - постоянно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2C62" w:rsidRPr="00792C62" w:rsidRDefault="00792C62" w:rsidP="0079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792C62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2C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постоянно</w:t>
            </w: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2C62" w:rsidRPr="00792C62" w:rsidRDefault="00792C62" w:rsidP="0079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</w:tr>
      <w:tr w:rsidR="00792C62" w:rsidRPr="00BA3AC0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BA3A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3.1.3.2. Мероприятия по инфраструктурному обеспечению развития транспортной инфраструктуры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BA3A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обеспечивает достижение целевых показателей 2, 6, 46, 58, 59, 60, 61, 63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BA3A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х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BA3A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х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92C62" w:rsidRPr="00BA3A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</w:tr>
      <w:tr w:rsidR="00792C62" w:rsidRPr="00D36410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796E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3.1.3.2.1. Строительство улично-дорожной сети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796E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строительство улично-дорожной сети:</w:t>
            </w:r>
          </w:p>
          <w:p w:rsidR="00792C62" w:rsidRPr="00796E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2026 году увеличение протяженности на 4,09 км;</w:t>
            </w:r>
          </w:p>
          <w:p w:rsidR="00792C62" w:rsidRPr="00796E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2031 году увеличение протяженности на 18,96 км;</w:t>
            </w:r>
          </w:p>
          <w:p w:rsidR="00792C62" w:rsidRPr="00796E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2036 году увеличение протяженности на 26,75 км;</w:t>
            </w:r>
          </w:p>
          <w:p w:rsidR="00792C62" w:rsidRPr="00796E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2044 году увеличение протяженности на 42,2 км;</w:t>
            </w:r>
          </w:p>
          <w:p w:rsidR="00792C62" w:rsidRPr="00796E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2050 году увеличение протяженности на 36,1 км</w:t>
            </w:r>
          </w:p>
          <w:p w:rsidR="00792C62" w:rsidRPr="00796E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целевого показателя 6, 46, 58)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796E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бюджетные и (или) внебюджетные средства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2C62" w:rsidRPr="00796EC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92C62" w:rsidRPr="00BC3A44" w:rsidRDefault="00792C62" w:rsidP="00792C62">
            <w:pPr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  <w:r w:rsidRPr="00796EC0">
              <w:rPr>
                <w:rFonts w:ascii="PT Serif" w:eastAsia="Times New Roman" w:hAnsi="PT Serif" w:cs="Times New Roman"/>
                <w:color w:val="22272F"/>
                <w:lang w:eastAsia="ru-RU"/>
              </w:rPr>
              <w:t>Завершение строительства дороги запланирована на 4 квартал 2024 года.</w:t>
            </w:r>
          </w:p>
          <w:p w:rsidR="00792C62" w:rsidRPr="00D36410" w:rsidRDefault="00792C62" w:rsidP="00792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</w:tr>
      <w:tr w:rsidR="0042027F" w:rsidRPr="0042027F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3.1.3.2.2. Обновление парка пассажирских транспортных средств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обновление подвижного состава, доля транспортных средств (автобусы), соответствующих техническим характеристикам, %: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2024 - 2026 до 73%;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2027 - 2031 до 79%;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2032 - 2036 до 84%;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2037 - 2044 до 93%;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2045 - 2050 до 100%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целевого показателя 46, 59)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бюджетные и (или) внебюджетные средства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 1 полугодии 2024 года АО «СПОПАТ» приобретено 40 новых автобусов. Показатель равен 44%</w:t>
            </w:r>
          </w:p>
        </w:tc>
      </w:tr>
      <w:tr w:rsidR="0042027F" w:rsidRPr="0042027F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3.1.3.2.3. Организация выделенных полос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организация выделенных автобусных полос: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2026 год до 6,0 км;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2027 год до 8,5 км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целевого показателя 59)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бюджетные средства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поэтапно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</w:tr>
      <w:tr w:rsidR="0042027F" w:rsidRPr="00D36410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3.1.3.2.4. Повышение качества управления и организации транспортного обслуживания населения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пунктуальность транспортного обслуживания - 100%;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ежегодное число погибших и раненых в ДТП с участием пассажирского транспорта - 0 человек;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ценовая доступность поездок по муниципальным маршрутам регулярных перевозок - не более 7%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целевого показателя 59, 63)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бюджетные средства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- За 1 полугодие 2024 года регулярность транспортного обслуживания – 57%.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 xml:space="preserve">- число погибших и раненых в ДТП с участием пассажирского транспорта- 0 </w:t>
            </w:r>
            <w:proofErr w:type="spellStart"/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челевек</w:t>
            </w:r>
            <w:proofErr w:type="spellEnd"/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.</w:t>
            </w:r>
          </w:p>
          <w:p w:rsidR="0042027F" w:rsidRPr="0042027F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42027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- ценовая доступность поездок по муниципальным маршрутам регулярных перевозок обеспечивается в соответствии с приказом Региональной службы по тарифам Ханты-Мансийского автономного округа – Югры «Об установлении предельных максимальных тарифов на перевозки пассажиров и багажа автомобильным транспортом по муниципальным маршрутам регулярных перевозок и межмуниципальным маршрутам регулярных перевозок в границах Ханты-Мансийского автономного округа – Югры»</w:t>
            </w:r>
          </w:p>
        </w:tc>
        <w:bookmarkStart w:id="0" w:name="_GoBack"/>
        <w:bookmarkEnd w:id="0"/>
      </w:tr>
      <w:tr w:rsidR="0042027F" w:rsidRPr="00D36410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D3641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3.1.3.2.5. Установка теплых остановочных павильонов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D3641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установка теплых остановочных павильонов, доля теплых остановочных павильонов, %:</w:t>
            </w:r>
          </w:p>
          <w:p w:rsidR="0042027F" w:rsidRPr="00D3641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2026 году до 20%</w:t>
            </w:r>
          </w:p>
          <w:p w:rsidR="0042027F" w:rsidRPr="00D3641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2031 году до 37%</w:t>
            </w:r>
          </w:p>
          <w:p w:rsidR="0042027F" w:rsidRPr="00D3641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2037 году до 53%</w:t>
            </w:r>
          </w:p>
          <w:p w:rsidR="0042027F" w:rsidRPr="00D3641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2044 году до 80%</w:t>
            </w:r>
          </w:p>
          <w:p w:rsidR="0042027F" w:rsidRPr="00D3641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2050 году до 100%</w:t>
            </w:r>
          </w:p>
          <w:p w:rsidR="0042027F" w:rsidRPr="00D3641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целевого показателя 46, 63)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D3641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бюджетные средства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D3641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3641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027F" w:rsidRPr="00D36410" w:rsidRDefault="0042027F" w:rsidP="0042027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D36410">
              <w:rPr>
                <w:rFonts w:ascii="Times New Roman" w:hAnsi="Times New Roman" w:cs="Times New Roman"/>
              </w:rPr>
              <w:t>В</w:t>
            </w:r>
            <w:r w:rsidRPr="00D36410">
              <w:rPr>
                <w:rFonts w:ascii="Times New Roman" w:hAnsi="Times New Roman" w:cs="Times New Roman"/>
              </w:rPr>
              <w:t xml:space="preserve"> рамках финансовых средств, предусмотренных бюджетом города на 2024 год и плановый период 2025-2026</w:t>
            </w:r>
            <w:r w:rsidRPr="00D36410">
              <w:rPr>
                <w:rFonts w:ascii="Times New Roman" w:hAnsi="Times New Roman" w:cs="Times New Roman"/>
              </w:rPr>
              <w:t xml:space="preserve"> планируется установить 25 остановочных комплекса</w:t>
            </w:r>
          </w:p>
          <w:p w:rsidR="0042027F" w:rsidRPr="00D3641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</w:tr>
      <w:tr w:rsidR="0042027F" w:rsidRPr="00796EC0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3.1.3.2.6. Доступность остановок общественного транспорта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установка новых остановочных павильонов, доля площади застроенной территории города, находящаяся в </w:t>
            </w: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нормативном радиусе пешеходной доступности от остановочных пунктов, %: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2026 году до 75%;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2031 году до 80%;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2036 году до 83%;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2044 году до 85%;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 2050 году до 95%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целевого показателя 46, 63)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 xml:space="preserve">бюджетные и (или) </w:t>
            </w: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внебюджетные средства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ежегодно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027F" w:rsidRPr="00796EC0" w:rsidRDefault="0042027F" w:rsidP="0042027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796EC0">
              <w:rPr>
                <w:rFonts w:ascii="Times New Roman" w:hAnsi="Times New Roman" w:cs="Times New Roman"/>
              </w:rPr>
              <w:t xml:space="preserve">В рамках финансовых средств, предусмотренных </w:t>
            </w:r>
            <w:r w:rsidRPr="00796EC0">
              <w:rPr>
                <w:rFonts w:ascii="Times New Roman" w:hAnsi="Times New Roman" w:cs="Times New Roman"/>
              </w:rPr>
              <w:lastRenderedPageBreak/>
              <w:t>бюджетом города на 2024 год и плановый период 2025-2026 планируется установить 25 остановочных комплекса</w:t>
            </w:r>
            <w:r w:rsidRPr="00796EC0">
              <w:rPr>
                <w:rFonts w:ascii="Times New Roman" w:hAnsi="Times New Roman" w:cs="Times New Roman"/>
              </w:rPr>
              <w:t>.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</w:tr>
      <w:tr w:rsidR="0042027F" w:rsidRPr="00796EC0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3.1.3.2.7. Реализация флагманского проекта "Мобильный город"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строительство велосипедных дорожек в период: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2024 - 2026 годы до 7,9 км;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2027 - 2031 годы до 16,3 км;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2032 - 2036 годы до 8,9 км;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2037 - 2044 годы до 5,8 км;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2045 - 2050 годы до 8,9 км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целевого показателя 2, 46, 60)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бюджетные и (или) внебюджетные средства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027F" w:rsidRPr="00796EC0" w:rsidRDefault="0042027F" w:rsidP="0042027F">
            <w:pPr>
              <w:spacing w:after="0" w:line="240" w:lineRule="auto"/>
              <w:rPr>
                <w:rFonts w:ascii="PT Serif" w:eastAsia="Times New Roman" w:hAnsi="PT Serif" w:cs="Times New Roman"/>
                <w:color w:val="22272F"/>
                <w:lang w:eastAsia="ru-RU"/>
              </w:rPr>
            </w:pPr>
            <w:r w:rsidRPr="00796EC0">
              <w:rPr>
                <w:rFonts w:ascii="PT Serif" w:eastAsia="Times New Roman" w:hAnsi="PT Serif" w:cs="Times New Roman"/>
                <w:color w:val="22272F"/>
                <w:lang w:eastAsia="ru-RU"/>
              </w:rPr>
              <w:t xml:space="preserve">Достижение показателя </w:t>
            </w:r>
            <w:r w:rsidRPr="00796EC0">
              <w:rPr>
                <w:rFonts w:eastAsia="Times New Roman" w:cs="Times New Roman"/>
                <w:color w:val="22272F"/>
                <w:lang w:eastAsia="ru-RU"/>
              </w:rPr>
              <w:t xml:space="preserve">в 2024 году </w:t>
            </w:r>
            <w:r w:rsidRPr="00796EC0">
              <w:rPr>
                <w:rFonts w:ascii="PT Serif" w:eastAsia="Times New Roman" w:hAnsi="PT Serif" w:cs="Times New Roman"/>
                <w:color w:val="22272F"/>
                <w:lang w:eastAsia="ru-RU"/>
              </w:rPr>
              <w:t>планируется достичь в рамках завершения строительства объекта «Магистральная дорога на участках: ул. 16 "ЮР" от ул. 3 "ЮР" до примыкания к ул. Никольская; ул. 3 "ЮР" от ул. 16 "ЮР" до 18 "ЮР"; ул. 18 "ЮР" от 3 "ЮР" до примыкания к ул. Энгельса в г. Сургуте». Завершение строительства дороги запланирована на 4 квартал 2024 года.</w:t>
            </w:r>
          </w:p>
        </w:tc>
      </w:tr>
      <w:tr w:rsidR="0042027F" w:rsidRPr="00796EC0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3.1.3.2.8. Организация и установка средств организации движения пешеходов и велосипедистов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установка средств организации движения (дорожные знаки, разметка, светофоры, пешеходные переходы), определяется проектом организации движения, включая требования по обеспечению условий доступности для инвалидов и иных маломобильных групп населения</w:t>
            </w:r>
          </w:p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целевого показателя 46, 61)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бюджетные средства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027F" w:rsidRPr="00796EC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796EC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 рамках муниципальной программы «Развитие транспортной системы города Сургута»</w:t>
            </w:r>
          </w:p>
        </w:tc>
      </w:tr>
      <w:tr w:rsidR="0042027F" w:rsidRPr="00D36410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DF5DF7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F5DF7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3.1.3.2.9 Обеспечение современных принципов организации мест постоянного и временного хранения личного автотранспорта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DF5DF7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F5DF7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размещение многоуровневых парковок в микрорайонах сложившейся застройки, в том числе при разработке документации по планировке территории, в общем количестве 138,5 тыс. </w:t>
            </w:r>
            <w:proofErr w:type="spellStart"/>
            <w:r w:rsidRPr="00DF5DF7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машино</w:t>
            </w:r>
            <w:proofErr w:type="spellEnd"/>
            <w:r w:rsidRPr="00DF5DF7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-мест;</w:t>
            </w:r>
          </w:p>
          <w:p w:rsidR="0042027F" w:rsidRPr="00DF5DF7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F5DF7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ликвидация 9 объектов ГСК вместимостью 6,6 тыс. мест</w:t>
            </w:r>
          </w:p>
          <w:p w:rsidR="0042027F" w:rsidRPr="00DF5DF7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F5DF7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целевых показателей 46, 58)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DF5DF7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F5DF7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бюджетные и (или) внебюджетные средства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D36410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F5DF7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027F" w:rsidRPr="00D36410" w:rsidRDefault="0042027F" w:rsidP="0042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-</w:t>
            </w:r>
          </w:p>
        </w:tc>
      </w:tr>
      <w:tr w:rsidR="0042027F" w:rsidRPr="00B83F8D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3.1.3.3. Мероприятия по информационно-маркетинговому обеспечению развития транспортной инфраструктуры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обеспечивает достижение целевого показателей 46, 58, 59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х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х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027F" w:rsidRPr="00B83F8D" w:rsidRDefault="0042027F" w:rsidP="0042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-</w:t>
            </w:r>
          </w:p>
        </w:tc>
      </w:tr>
      <w:tr w:rsidR="0042027F" w:rsidRPr="00B83F8D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3.1.3.3.1. Проведение городских конкурсов и практических семинаров среди жителей города</w:t>
            </w:r>
          </w:p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 созданию уникального стиля отдельных элементов транспортной инфраструктуры (остановочных павильонов, подвижного состава, формы водителей, схем и информационных табло, вело-схем, вело-парковок и другое)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организованные мероприятия по созданию уникального стиля отдельных элементов транспортной инфраструктуры - не менее 1 раза в год</w:t>
            </w:r>
          </w:p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целевого показателей 46, 58, 59)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бюджетные и внебюджетные средства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ежегодно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027F" w:rsidRPr="00B83F8D" w:rsidRDefault="0042027F" w:rsidP="0042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-</w:t>
            </w:r>
          </w:p>
        </w:tc>
      </w:tr>
      <w:tr w:rsidR="0042027F" w:rsidRPr="00D36410" w:rsidTr="0010673B">
        <w:tc>
          <w:tcPr>
            <w:tcW w:w="4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3.1.3.3.2. Содействие по развитию системы партнерства с открытыми геоинформационными сервисами для повышения уровня комфорта и информирования жителей и туристов по использованию цифровой модели транспортной инфраструктуры города</w:t>
            </w:r>
          </w:p>
        </w:tc>
        <w:tc>
          <w:tcPr>
            <w:tcW w:w="5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предоставление актуализированной информации открытыми геоинформационными сервисами для развития цифровой модели транспортной инфраструктуры города, ежегодно</w:t>
            </w:r>
          </w:p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(обеспечивает достижение целевого показателей 46, 58, 59)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бюджетные и внебюджетные средства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027F" w:rsidRPr="00B83F8D" w:rsidRDefault="0042027F" w:rsidP="004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ежегодно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027F" w:rsidRPr="00D36410" w:rsidRDefault="0042027F" w:rsidP="0042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B83F8D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-</w:t>
            </w:r>
          </w:p>
        </w:tc>
      </w:tr>
    </w:tbl>
    <w:p w:rsidR="00A5741B" w:rsidRDefault="00A5741B" w:rsidP="00A05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41B" w:rsidRDefault="00A5741B" w:rsidP="00A05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D62" w:rsidRPr="00C62A2D" w:rsidRDefault="00A05D62" w:rsidP="00A05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A2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A05D62" w:rsidRPr="00C62A2D" w:rsidRDefault="00A05D62" w:rsidP="00A05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F20" w:rsidRPr="00027913" w:rsidRDefault="00A05D62" w:rsidP="00751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A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sectPr w:rsidR="00540F20" w:rsidRPr="00027913" w:rsidSect="00792C62">
      <w:pgSz w:w="16838" w:h="11906" w:orient="landscape"/>
      <w:pgMar w:top="709" w:right="992" w:bottom="1843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171D6"/>
    <w:multiLevelType w:val="hybridMultilevel"/>
    <w:tmpl w:val="10C00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72CED"/>
    <w:multiLevelType w:val="multilevel"/>
    <w:tmpl w:val="763E8366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787"/>
    <w:rsid w:val="00000F3E"/>
    <w:rsid w:val="00001015"/>
    <w:rsid w:val="0000101F"/>
    <w:rsid w:val="000046C4"/>
    <w:rsid w:val="0000768E"/>
    <w:rsid w:val="00015ADC"/>
    <w:rsid w:val="00021E0C"/>
    <w:rsid w:val="00022515"/>
    <w:rsid w:val="00026FE9"/>
    <w:rsid w:val="0002737C"/>
    <w:rsid w:val="00027913"/>
    <w:rsid w:val="000309BB"/>
    <w:rsid w:val="00031778"/>
    <w:rsid w:val="00035C9B"/>
    <w:rsid w:val="000401E7"/>
    <w:rsid w:val="00041187"/>
    <w:rsid w:val="00041BDB"/>
    <w:rsid w:val="00045A92"/>
    <w:rsid w:val="00046427"/>
    <w:rsid w:val="00046BCC"/>
    <w:rsid w:val="00054E2B"/>
    <w:rsid w:val="000555D4"/>
    <w:rsid w:val="0005771F"/>
    <w:rsid w:val="00057E36"/>
    <w:rsid w:val="00061F14"/>
    <w:rsid w:val="000641D0"/>
    <w:rsid w:val="00067F1B"/>
    <w:rsid w:val="00070F80"/>
    <w:rsid w:val="00071A8B"/>
    <w:rsid w:val="00071E6C"/>
    <w:rsid w:val="00072AC6"/>
    <w:rsid w:val="00075705"/>
    <w:rsid w:val="00076711"/>
    <w:rsid w:val="0008359D"/>
    <w:rsid w:val="00084B49"/>
    <w:rsid w:val="0008765B"/>
    <w:rsid w:val="00091EFD"/>
    <w:rsid w:val="00093232"/>
    <w:rsid w:val="000941E3"/>
    <w:rsid w:val="00095CE0"/>
    <w:rsid w:val="000977F4"/>
    <w:rsid w:val="000A349A"/>
    <w:rsid w:val="000A4364"/>
    <w:rsid w:val="000B3A5E"/>
    <w:rsid w:val="000B4CA5"/>
    <w:rsid w:val="000B503A"/>
    <w:rsid w:val="000C1305"/>
    <w:rsid w:val="000C156C"/>
    <w:rsid w:val="000C40B1"/>
    <w:rsid w:val="000C6372"/>
    <w:rsid w:val="000C639F"/>
    <w:rsid w:val="000C7F69"/>
    <w:rsid w:val="000D1310"/>
    <w:rsid w:val="000D1E21"/>
    <w:rsid w:val="000D5FF6"/>
    <w:rsid w:val="000E44D0"/>
    <w:rsid w:val="000E46A1"/>
    <w:rsid w:val="000F19FA"/>
    <w:rsid w:val="000F48FF"/>
    <w:rsid w:val="000F70F2"/>
    <w:rsid w:val="001006A6"/>
    <w:rsid w:val="001011D1"/>
    <w:rsid w:val="00102105"/>
    <w:rsid w:val="00102B31"/>
    <w:rsid w:val="001034D4"/>
    <w:rsid w:val="00104B53"/>
    <w:rsid w:val="00104E26"/>
    <w:rsid w:val="0010673B"/>
    <w:rsid w:val="0011235E"/>
    <w:rsid w:val="00116606"/>
    <w:rsid w:val="001211DB"/>
    <w:rsid w:val="00126666"/>
    <w:rsid w:val="001305CE"/>
    <w:rsid w:val="00136730"/>
    <w:rsid w:val="00136CF1"/>
    <w:rsid w:val="00143428"/>
    <w:rsid w:val="00143D2A"/>
    <w:rsid w:val="0014443D"/>
    <w:rsid w:val="00144635"/>
    <w:rsid w:val="00145D86"/>
    <w:rsid w:val="00151A0B"/>
    <w:rsid w:val="0015794B"/>
    <w:rsid w:val="00160705"/>
    <w:rsid w:val="001616F1"/>
    <w:rsid w:val="001630F0"/>
    <w:rsid w:val="001662AF"/>
    <w:rsid w:val="00175C2F"/>
    <w:rsid w:val="00175C7A"/>
    <w:rsid w:val="00176EB7"/>
    <w:rsid w:val="00183324"/>
    <w:rsid w:val="001868FE"/>
    <w:rsid w:val="00187BA2"/>
    <w:rsid w:val="001A0DE4"/>
    <w:rsid w:val="001A1596"/>
    <w:rsid w:val="001A726A"/>
    <w:rsid w:val="001B109A"/>
    <w:rsid w:val="001B37FA"/>
    <w:rsid w:val="001B628B"/>
    <w:rsid w:val="001B65D0"/>
    <w:rsid w:val="001B7C29"/>
    <w:rsid w:val="001C2733"/>
    <w:rsid w:val="001C3B75"/>
    <w:rsid w:val="001E058E"/>
    <w:rsid w:val="001E0D27"/>
    <w:rsid w:val="001E0EEB"/>
    <w:rsid w:val="001E1202"/>
    <w:rsid w:val="001E28F6"/>
    <w:rsid w:val="001E2A67"/>
    <w:rsid w:val="001E4E42"/>
    <w:rsid w:val="001F0331"/>
    <w:rsid w:val="001F24C4"/>
    <w:rsid w:val="001F308D"/>
    <w:rsid w:val="001F348C"/>
    <w:rsid w:val="001F488E"/>
    <w:rsid w:val="00211114"/>
    <w:rsid w:val="00213CD8"/>
    <w:rsid w:val="00217DBA"/>
    <w:rsid w:val="00222008"/>
    <w:rsid w:val="00224997"/>
    <w:rsid w:val="002271D6"/>
    <w:rsid w:val="00227BC2"/>
    <w:rsid w:val="002305F8"/>
    <w:rsid w:val="002319EA"/>
    <w:rsid w:val="00232E37"/>
    <w:rsid w:val="002407DF"/>
    <w:rsid w:val="00244469"/>
    <w:rsid w:val="002459A6"/>
    <w:rsid w:val="00247B0F"/>
    <w:rsid w:val="00247B9A"/>
    <w:rsid w:val="00254C87"/>
    <w:rsid w:val="00257BCF"/>
    <w:rsid w:val="002632DD"/>
    <w:rsid w:val="002643A5"/>
    <w:rsid w:val="00270E7B"/>
    <w:rsid w:val="00272942"/>
    <w:rsid w:val="0027421E"/>
    <w:rsid w:val="002758A8"/>
    <w:rsid w:val="00275931"/>
    <w:rsid w:val="00276605"/>
    <w:rsid w:val="002769CD"/>
    <w:rsid w:val="00280E55"/>
    <w:rsid w:val="00290361"/>
    <w:rsid w:val="002921EB"/>
    <w:rsid w:val="00293C4D"/>
    <w:rsid w:val="00294889"/>
    <w:rsid w:val="00294F7E"/>
    <w:rsid w:val="002955BC"/>
    <w:rsid w:val="002A0A15"/>
    <w:rsid w:val="002A14E7"/>
    <w:rsid w:val="002A36B5"/>
    <w:rsid w:val="002B2787"/>
    <w:rsid w:val="002C080B"/>
    <w:rsid w:val="002C38F3"/>
    <w:rsid w:val="002C6210"/>
    <w:rsid w:val="002D3907"/>
    <w:rsid w:val="002D7EFF"/>
    <w:rsid w:val="002E2554"/>
    <w:rsid w:val="002E6B32"/>
    <w:rsid w:val="002E74A2"/>
    <w:rsid w:val="002F01ED"/>
    <w:rsid w:val="002F1834"/>
    <w:rsid w:val="002F5C7D"/>
    <w:rsid w:val="00300389"/>
    <w:rsid w:val="00300C3A"/>
    <w:rsid w:val="00301120"/>
    <w:rsid w:val="003012C6"/>
    <w:rsid w:val="0030243C"/>
    <w:rsid w:val="0030325A"/>
    <w:rsid w:val="00303F47"/>
    <w:rsid w:val="00304A9B"/>
    <w:rsid w:val="00304D32"/>
    <w:rsid w:val="00307BB7"/>
    <w:rsid w:val="0031287A"/>
    <w:rsid w:val="00313D13"/>
    <w:rsid w:val="00314811"/>
    <w:rsid w:val="00314ECB"/>
    <w:rsid w:val="00316724"/>
    <w:rsid w:val="003246AB"/>
    <w:rsid w:val="00324BC9"/>
    <w:rsid w:val="0033333B"/>
    <w:rsid w:val="00333FC0"/>
    <w:rsid w:val="00334C26"/>
    <w:rsid w:val="00342836"/>
    <w:rsid w:val="00344998"/>
    <w:rsid w:val="00345A35"/>
    <w:rsid w:val="00346541"/>
    <w:rsid w:val="003502BB"/>
    <w:rsid w:val="0035075E"/>
    <w:rsid w:val="003519F5"/>
    <w:rsid w:val="00353577"/>
    <w:rsid w:val="003548F3"/>
    <w:rsid w:val="003564C2"/>
    <w:rsid w:val="00361893"/>
    <w:rsid w:val="00362C14"/>
    <w:rsid w:val="003664D2"/>
    <w:rsid w:val="003746E2"/>
    <w:rsid w:val="00376DF4"/>
    <w:rsid w:val="00381005"/>
    <w:rsid w:val="0038564D"/>
    <w:rsid w:val="003A0074"/>
    <w:rsid w:val="003A5BA7"/>
    <w:rsid w:val="003A7C9E"/>
    <w:rsid w:val="003B4BC9"/>
    <w:rsid w:val="003B5152"/>
    <w:rsid w:val="003C3310"/>
    <w:rsid w:val="003C37F3"/>
    <w:rsid w:val="003C75CB"/>
    <w:rsid w:val="003D0A7B"/>
    <w:rsid w:val="003D2190"/>
    <w:rsid w:val="003E1FC0"/>
    <w:rsid w:val="003E26C0"/>
    <w:rsid w:val="003F39E2"/>
    <w:rsid w:val="003F3C7C"/>
    <w:rsid w:val="00401DCA"/>
    <w:rsid w:val="004049A7"/>
    <w:rsid w:val="00412ABC"/>
    <w:rsid w:val="004130CB"/>
    <w:rsid w:val="00417635"/>
    <w:rsid w:val="0042027F"/>
    <w:rsid w:val="00421593"/>
    <w:rsid w:val="00425280"/>
    <w:rsid w:val="00427986"/>
    <w:rsid w:val="0043121A"/>
    <w:rsid w:val="00435018"/>
    <w:rsid w:val="004411C6"/>
    <w:rsid w:val="004432B1"/>
    <w:rsid w:val="00444F34"/>
    <w:rsid w:val="004507D4"/>
    <w:rsid w:val="00450963"/>
    <w:rsid w:val="004514A6"/>
    <w:rsid w:val="00461FFF"/>
    <w:rsid w:val="00462BFA"/>
    <w:rsid w:val="00463F56"/>
    <w:rsid w:val="0046489F"/>
    <w:rsid w:val="00464B93"/>
    <w:rsid w:val="004700A6"/>
    <w:rsid w:val="00474AF3"/>
    <w:rsid w:val="00474C73"/>
    <w:rsid w:val="00476344"/>
    <w:rsid w:val="00476D06"/>
    <w:rsid w:val="004827EA"/>
    <w:rsid w:val="00483F2F"/>
    <w:rsid w:val="00485BC4"/>
    <w:rsid w:val="004875C3"/>
    <w:rsid w:val="0048760B"/>
    <w:rsid w:val="00492F92"/>
    <w:rsid w:val="00492FEC"/>
    <w:rsid w:val="00496E04"/>
    <w:rsid w:val="004A3487"/>
    <w:rsid w:val="004A57D3"/>
    <w:rsid w:val="004A7200"/>
    <w:rsid w:val="004B0053"/>
    <w:rsid w:val="004B0585"/>
    <w:rsid w:val="004B4E71"/>
    <w:rsid w:val="004D042D"/>
    <w:rsid w:val="004D2691"/>
    <w:rsid w:val="004D2873"/>
    <w:rsid w:val="004D2E12"/>
    <w:rsid w:val="004D2F3E"/>
    <w:rsid w:val="004D3451"/>
    <w:rsid w:val="004D716D"/>
    <w:rsid w:val="004F1FAE"/>
    <w:rsid w:val="004F2C9D"/>
    <w:rsid w:val="004F3C92"/>
    <w:rsid w:val="005035BB"/>
    <w:rsid w:val="00510651"/>
    <w:rsid w:val="0051665D"/>
    <w:rsid w:val="005232D2"/>
    <w:rsid w:val="00526CBA"/>
    <w:rsid w:val="00526D9F"/>
    <w:rsid w:val="005332AD"/>
    <w:rsid w:val="00540F20"/>
    <w:rsid w:val="00543813"/>
    <w:rsid w:val="00545605"/>
    <w:rsid w:val="00552B38"/>
    <w:rsid w:val="00552C1A"/>
    <w:rsid w:val="005559AB"/>
    <w:rsid w:val="005615EE"/>
    <w:rsid w:val="00572063"/>
    <w:rsid w:val="00576549"/>
    <w:rsid w:val="00577114"/>
    <w:rsid w:val="00592F79"/>
    <w:rsid w:val="005A0710"/>
    <w:rsid w:val="005A139B"/>
    <w:rsid w:val="005A224F"/>
    <w:rsid w:val="005A4F50"/>
    <w:rsid w:val="005A5CD6"/>
    <w:rsid w:val="005B03FC"/>
    <w:rsid w:val="005B3C1E"/>
    <w:rsid w:val="005B5AAE"/>
    <w:rsid w:val="005C0234"/>
    <w:rsid w:val="005C43E9"/>
    <w:rsid w:val="005D2044"/>
    <w:rsid w:val="005D65B7"/>
    <w:rsid w:val="005D6ABA"/>
    <w:rsid w:val="005D70D8"/>
    <w:rsid w:val="005E263D"/>
    <w:rsid w:val="005E59E6"/>
    <w:rsid w:val="005E6713"/>
    <w:rsid w:val="005E765B"/>
    <w:rsid w:val="005F040C"/>
    <w:rsid w:val="005F603A"/>
    <w:rsid w:val="005F6FC3"/>
    <w:rsid w:val="005F7BD1"/>
    <w:rsid w:val="00601B57"/>
    <w:rsid w:val="00604BDE"/>
    <w:rsid w:val="00612B4F"/>
    <w:rsid w:val="0061410A"/>
    <w:rsid w:val="00614347"/>
    <w:rsid w:val="00617A7E"/>
    <w:rsid w:val="0062374E"/>
    <w:rsid w:val="006269C4"/>
    <w:rsid w:val="006301A1"/>
    <w:rsid w:val="00634AAA"/>
    <w:rsid w:val="00636E99"/>
    <w:rsid w:val="006371EC"/>
    <w:rsid w:val="006427BB"/>
    <w:rsid w:val="00643364"/>
    <w:rsid w:val="006474BB"/>
    <w:rsid w:val="00650585"/>
    <w:rsid w:val="0065200C"/>
    <w:rsid w:val="006524CF"/>
    <w:rsid w:val="00653580"/>
    <w:rsid w:val="00656DFA"/>
    <w:rsid w:val="00666ABF"/>
    <w:rsid w:val="00672187"/>
    <w:rsid w:val="006823A1"/>
    <w:rsid w:val="00682B86"/>
    <w:rsid w:val="00684858"/>
    <w:rsid w:val="00686290"/>
    <w:rsid w:val="006867B4"/>
    <w:rsid w:val="0069060F"/>
    <w:rsid w:val="00692101"/>
    <w:rsid w:val="00692478"/>
    <w:rsid w:val="0069452B"/>
    <w:rsid w:val="0069584B"/>
    <w:rsid w:val="006A028C"/>
    <w:rsid w:val="006A5891"/>
    <w:rsid w:val="006A701D"/>
    <w:rsid w:val="006A7F20"/>
    <w:rsid w:val="006B54C6"/>
    <w:rsid w:val="006B742F"/>
    <w:rsid w:val="006B7505"/>
    <w:rsid w:val="006B7F39"/>
    <w:rsid w:val="006C08CA"/>
    <w:rsid w:val="006C21FD"/>
    <w:rsid w:val="006C50D9"/>
    <w:rsid w:val="006D18AA"/>
    <w:rsid w:val="006D2A65"/>
    <w:rsid w:val="006D3F04"/>
    <w:rsid w:val="006D5166"/>
    <w:rsid w:val="006E0A11"/>
    <w:rsid w:val="006E3D4B"/>
    <w:rsid w:val="006F0DF6"/>
    <w:rsid w:val="006F341C"/>
    <w:rsid w:val="006F5B34"/>
    <w:rsid w:val="006F6CB1"/>
    <w:rsid w:val="00701DE2"/>
    <w:rsid w:val="00704C51"/>
    <w:rsid w:val="00705FDD"/>
    <w:rsid w:val="00706B93"/>
    <w:rsid w:val="00711354"/>
    <w:rsid w:val="00714E03"/>
    <w:rsid w:val="007158C2"/>
    <w:rsid w:val="007179F0"/>
    <w:rsid w:val="00720788"/>
    <w:rsid w:val="00723CF3"/>
    <w:rsid w:val="00724364"/>
    <w:rsid w:val="00727325"/>
    <w:rsid w:val="007309ED"/>
    <w:rsid w:val="007314B2"/>
    <w:rsid w:val="007330CF"/>
    <w:rsid w:val="007407F1"/>
    <w:rsid w:val="00742AD8"/>
    <w:rsid w:val="007452C9"/>
    <w:rsid w:val="00751919"/>
    <w:rsid w:val="00751BD2"/>
    <w:rsid w:val="007525D8"/>
    <w:rsid w:val="00753123"/>
    <w:rsid w:val="00754C95"/>
    <w:rsid w:val="00755194"/>
    <w:rsid w:val="00761CF0"/>
    <w:rsid w:val="007716CE"/>
    <w:rsid w:val="00771E87"/>
    <w:rsid w:val="00783CF1"/>
    <w:rsid w:val="00792C62"/>
    <w:rsid w:val="00796EC0"/>
    <w:rsid w:val="007A1622"/>
    <w:rsid w:val="007A194A"/>
    <w:rsid w:val="007A64D3"/>
    <w:rsid w:val="007B7020"/>
    <w:rsid w:val="007C0F23"/>
    <w:rsid w:val="007C16F1"/>
    <w:rsid w:val="007C6FEC"/>
    <w:rsid w:val="007D00DA"/>
    <w:rsid w:val="007D31A8"/>
    <w:rsid w:val="007D6938"/>
    <w:rsid w:val="007E0FEC"/>
    <w:rsid w:val="007F2364"/>
    <w:rsid w:val="007F4F99"/>
    <w:rsid w:val="007F51F3"/>
    <w:rsid w:val="007F6DA0"/>
    <w:rsid w:val="00800234"/>
    <w:rsid w:val="008043C6"/>
    <w:rsid w:val="00807117"/>
    <w:rsid w:val="00816A7D"/>
    <w:rsid w:val="00816F70"/>
    <w:rsid w:val="0082041B"/>
    <w:rsid w:val="008229F4"/>
    <w:rsid w:val="0082382A"/>
    <w:rsid w:val="00825D02"/>
    <w:rsid w:val="00826176"/>
    <w:rsid w:val="00835D2C"/>
    <w:rsid w:val="00844492"/>
    <w:rsid w:val="00847D30"/>
    <w:rsid w:val="008503FA"/>
    <w:rsid w:val="0085403B"/>
    <w:rsid w:val="008565B1"/>
    <w:rsid w:val="008604A6"/>
    <w:rsid w:val="00865444"/>
    <w:rsid w:val="0086753F"/>
    <w:rsid w:val="008675C4"/>
    <w:rsid w:val="00870EE7"/>
    <w:rsid w:val="00872561"/>
    <w:rsid w:val="00876979"/>
    <w:rsid w:val="00881280"/>
    <w:rsid w:val="00882A20"/>
    <w:rsid w:val="0088371E"/>
    <w:rsid w:val="00885C04"/>
    <w:rsid w:val="00885F6C"/>
    <w:rsid w:val="00887312"/>
    <w:rsid w:val="00887955"/>
    <w:rsid w:val="0089021E"/>
    <w:rsid w:val="00893DCB"/>
    <w:rsid w:val="00895341"/>
    <w:rsid w:val="00897E2D"/>
    <w:rsid w:val="008A0713"/>
    <w:rsid w:val="008A1B80"/>
    <w:rsid w:val="008A5030"/>
    <w:rsid w:val="008C05F0"/>
    <w:rsid w:val="008C09E5"/>
    <w:rsid w:val="008C2B5A"/>
    <w:rsid w:val="008C2C5F"/>
    <w:rsid w:val="008C7C39"/>
    <w:rsid w:val="008E3C41"/>
    <w:rsid w:val="008F32BA"/>
    <w:rsid w:val="008F7519"/>
    <w:rsid w:val="00906B51"/>
    <w:rsid w:val="0091035E"/>
    <w:rsid w:val="009103E0"/>
    <w:rsid w:val="00911BD3"/>
    <w:rsid w:val="00914B49"/>
    <w:rsid w:val="00917D61"/>
    <w:rsid w:val="0092047C"/>
    <w:rsid w:val="009207D3"/>
    <w:rsid w:val="00922498"/>
    <w:rsid w:val="00922D18"/>
    <w:rsid w:val="00923D6A"/>
    <w:rsid w:val="00925546"/>
    <w:rsid w:val="00927493"/>
    <w:rsid w:val="00930CB6"/>
    <w:rsid w:val="009318F2"/>
    <w:rsid w:val="0094410F"/>
    <w:rsid w:val="0094677D"/>
    <w:rsid w:val="00962E68"/>
    <w:rsid w:val="00964655"/>
    <w:rsid w:val="009671F9"/>
    <w:rsid w:val="009679D2"/>
    <w:rsid w:val="009712FC"/>
    <w:rsid w:val="00971315"/>
    <w:rsid w:val="00971DA4"/>
    <w:rsid w:val="00973E47"/>
    <w:rsid w:val="00984F96"/>
    <w:rsid w:val="00986876"/>
    <w:rsid w:val="009A499F"/>
    <w:rsid w:val="009B01FA"/>
    <w:rsid w:val="009C7AD8"/>
    <w:rsid w:val="009D06E7"/>
    <w:rsid w:val="009D476F"/>
    <w:rsid w:val="009E67ED"/>
    <w:rsid w:val="009E7542"/>
    <w:rsid w:val="009F16F3"/>
    <w:rsid w:val="009F1B73"/>
    <w:rsid w:val="009F3C45"/>
    <w:rsid w:val="00A05D62"/>
    <w:rsid w:val="00A13BE0"/>
    <w:rsid w:val="00A13C19"/>
    <w:rsid w:val="00A14210"/>
    <w:rsid w:val="00A23901"/>
    <w:rsid w:val="00A36634"/>
    <w:rsid w:val="00A400C4"/>
    <w:rsid w:val="00A421EF"/>
    <w:rsid w:val="00A43222"/>
    <w:rsid w:val="00A43B7A"/>
    <w:rsid w:val="00A43E9E"/>
    <w:rsid w:val="00A4558C"/>
    <w:rsid w:val="00A50DA0"/>
    <w:rsid w:val="00A51E8E"/>
    <w:rsid w:val="00A57155"/>
    <w:rsid w:val="00A5737E"/>
    <w:rsid w:val="00A5741B"/>
    <w:rsid w:val="00A57C8F"/>
    <w:rsid w:val="00A6431C"/>
    <w:rsid w:val="00A6542B"/>
    <w:rsid w:val="00A66498"/>
    <w:rsid w:val="00A70855"/>
    <w:rsid w:val="00A71C39"/>
    <w:rsid w:val="00A74690"/>
    <w:rsid w:val="00A74737"/>
    <w:rsid w:val="00A75753"/>
    <w:rsid w:val="00A7770B"/>
    <w:rsid w:val="00A80B14"/>
    <w:rsid w:val="00A85B07"/>
    <w:rsid w:val="00A85E8D"/>
    <w:rsid w:val="00A92AE6"/>
    <w:rsid w:val="00A93EFA"/>
    <w:rsid w:val="00AA006B"/>
    <w:rsid w:val="00AA1027"/>
    <w:rsid w:val="00AA368B"/>
    <w:rsid w:val="00AA6E23"/>
    <w:rsid w:val="00AB02B1"/>
    <w:rsid w:val="00AB2BF4"/>
    <w:rsid w:val="00AB4851"/>
    <w:rsid w:val="00AB4FC9"/>
    <w:rsid w:val="00AB61FA"/>
    <w:rsid w:val="00AB69FA"/>
    <w:rsid w:val="00AC5A6C"/>
    <w:rsid w:val="00AE264C"/>
    <w:rsid w:val="00AE5283"/>
    <w:rsid w:val="00AF1177"/>
    <w:rsid w:val="00AF3C58"/>
    <w:rsid w:val="00B028F2"/>
    <w:rsid w:val="00B07936"/>
    <w:rsid w:val="00B115F6"/>
    <w:rsid w:val="00B11915"/>
    <w:rsid w:val="00B14E50"/>
    <w:rsid w:val="00B15C03"/>
    <w:rsid w:val="00B17B1A"/>
    <w:rsid w:val="00B23ABE"/>
    <w:rsid w:val="00B27050"/>
    <w:rsid w:val="00B34E4A"/>
    <w:rsid w:val="00B420E4"/>
    <w:rsid w:val="00B42EEA"/>
    <w:rsid w:val="00B4674C"/>
    <w:rsid w:val="00B469C6"/>
    <w:rsid w:val="00B50255"/>
    <w:rsid w:val="00B50760"/>
    <w:rsid w:val="00B5279F"/>
    <w:rsid w:val="00B56C87"/>
    <w:rsid w:val="00B60E0D"/>
    <w:rsid w:val="00B61E11"/>
    <w:rsid w:val="00B61EF9"/>
    <w:rsid w:val="00B6304F"/>
    <w:rsid w:val="00B64673"/>
    <w:rsid w:val="00B65DFD"/>
    <w:rsid w:val="00B6639F"/>
    <w:rsid w:val="00B6683A"/>
    <w:rsid w:val="00B71843"/>
    <w:rsid w:val="00B75624"/>
    <w:rsid w:val="00B8200F"/>
    <w:rsid w:val="00B83F8D"/>
    <w:rsid w:val="00B85327"/>
    <w:rsid w:val="00B9269D"/>
    <w:rsid w:val="00B940C5"/>
    <w:rsid w:val="00B9482C"/>
    <w:rsid w:val="00B964CB"/>
    <w:rsid w:val="00BA2E2B"/>
    <w:rsid w:val="00BA3AC0"/>
    <w:rsid w:val="00BA62DE"/>
    <w:rsid w:val="00BB2874"/>
    <w:rsid w:val="00BB4A34"/>
    <w:rsid w:val="00BB4D9D"/>
    <w:rsid w:val="00BB729C"/>
    <w:rsid w:val="00BC409E"/>
    <w:rsid w:val="00BC5079"/>
    <w:rsid w:val="00BC5F98"/>
    <w:rsid w:val="00BD0F89"/>
    <w:rsid w:val="00BD4155"/>
    <w:rsid w:val="00BD41E3"/>
    <w:rsid w:val="00BD606C"/>
    <w:rsid w:val="00BD7762"/>
    <w:rsid w:val="00BD78A8"/>
    <w:rsid w:val="00BD79E3"/>
    <w:rsid w:val="00BF0E44"/>
    <w:rsid w:val="00BF197B"/>
    <w:rsid w:val="00BF1C2B"/>
    <w:rsid w:val="00BF4F04"/>
    <w:rsid w:val="00C00200"/>
    <w:rsid w:val="00C02E31"/>
    <w:rsid w:val="00C12BAA"/>
    <w:rsid w:val="00C12C96"/>
    <w:rsid w:val="00C14657"/>
    <w:rsid w:val="00C17318"/>
    <w:rsid w:val="00C25EB2"/>
    <w:rsid w:val="00C362E8"/>
    <w:rsid w:val="00C41DCC"/>
    <w:rsid w:val="00C445A4"/>
    <w:rsid w:val="00C47ABD"/>
    <w:rsid w:val="00C50A34"/>
    <w:rsid w:val="00C52234"/>
    <w:rsid w:val="00C52385"/>
    <w:rsid w:val="00C52AD0"/>
    <w:rsid w:val="00C57552"/>
    <w:rsid w:val="00C60566"/>
    <w:rsid w:val="00C612D2"/>
    <w:rsid w:val="00C63442"/>
    <w:rsid w:val="00C63DAB"/>
    <w:rsid w:val="00C64219"/>
    <w:rsid w:val="00C6423E"/>
    <w:rsid w:val="00C700E2"/>
    <w:rsid w:val="00C74457"/>
    <w:rsid w:val="00C7579F"/>
    <w:rsid w:val="00C81C95"/>
    <w:rsid w:val="00C82B20"/>
    <w:rsid w:val="00C82E16"/>
    <w:rsid w:val="00C83EBB"/>
    <w:rsid w:val="00C94327"/>
    <w:rsid w:val="00C94AC7"/>
    <w:rsid w:val="00CA1736"/>
    <w:rsid w:val="00CA57E7"/>
    <w:rsid w:val="00CA5D18"/>
    <w:rsid w:val="00CB262D"/>
    <w:rsid w:val="00CB4A19"/>
    <w:rsid w:val="00CB544D"/>
    <w:rsid w:val="00CB5B1D"/>
    <w:rsid w:val="00CB63CA"/>
    <w:rsid w:val="00CC087F"/>
    <w:rsid w:val="00CC142C"/>
    <w:rsid w:val="00CC18F0"/>
    <w:rsid w:val="00CC1A88"/>
    <w:rsid w:val="00CC4277"/>
    <w:rsid w:val="00CC5D4A"/>
    <w:rsid w:val="00CD5A3E"/>
    <w:rsid w:val="00CE3844"/>
    <w:rsid w:val="00CE4FA1"/>
    <w:rsid w:val="00CE6311"/>
    <w:rsid w:val="00CE7D81"/>
    <w:rsid w:val="00CF09EE"/>
    <w:rsid w:val="00CF561A"/>
    <w:rsid w:val="00CF73A4"/>
    <w:rsid w:val="00D16FF3"/>
    <w:rsid w:val="00D17A0D"/>
    <w:rsid w:val="00D22A26"/>
    <w:rsid w:val="00D23E8E"/>
    <w:rsid w:val="00D26D5A"/>
    <w:rsid w:val="00D31C08"/>
    <w:rsid w:val="00D35ACB"/>
    <w:rsid w:val="00D36410"/>
    <w:rsid w:val="00D373E0"/>
    <w:rsid w:val="00D379D4"/>
    <w:rsid w:val="00D40B23"/>
    <w:rsid w:val="00D42E58"/>
    <w:rsid w:val="00D43F38"/>
    <w:rsid w:val="00D462C8"/>
    <w:rsid w:val="00D468E1"/>
    <w:rsid w:val="00D55DF6"/>
    <w:rsid w:val="00D60385"/>
    <w:rsid w:val="00D6365A"/>
    <w:rsid w:val="00D63B29"/>
    <w:rsid w:val="00D65F4C"/>
    <w:rsid w:val="00D664C8"/>
    <w:rsid w:val="00D66B48"/>
    <w:rsid w:val="00D67546"/>
    <w:rsid w:val="00D67B74"/>
    <w:rsid w:val="00D778A6"/>
    <w:rsid w:val="00D81C9F"/>
    <w:rsid w:val="00D83051"/>
    <w:rsid w:val="00D85130"/>
    <w:rsid w:val="00D87F96"/>
    <w:rsid w:val="00D90D57"/>
    <w:rsid w:val="00D91E2D"/>
    <w:rsid w:val="00D94A50"/>
    <w:rsid w:val="00D9718D"/>
    <w:rsid w:val="00DA1CF5"/>
    <w:rsid w:val="00DA2DB3"/>
    <w:rsid w:val="00DA45CB"/>
    <w:rsid w:val="00DA462C"/>
    <w:rsid w:val="00DB0C31"/>
    <w:rsid w:val="00DB27AE"/>
    <w:rsid w:val="00DB355C"/>
    <w:rsid w:val="00DC55F3"/>
    <w:rsid w:val="00DE197D"/>
    <w:rsid w:val="00DE3BF1"/>
    <w:rsid w:val="00DE440C"/>
    <w:rsid w:val="00DE7A7E"/>
    <w:rsid w:val="00DF037F"/>
    <w:rsid w:val="00DF0875"/>
    <w:rsid w:val="00DF0954"/>
    <w:rsid w:val="00DF5DF7"/>
    <w:rsid w:val="00DF6B16"/>
    <w:rsid w:val="00DF7FC1"/>
    <w:rsid w:val="00E003C8"/>
    <w:rsid w:val="00E017D1"/>
    <w:rsid w:val="00E01FCF"/>
    <w:rsid w:val="00E03BDF"/>
    <w:rsid w:val="00E1006B"/>
    <w:rsid w:val="00E11BBC"/>
    <w:rsid w:val="00E200CC"/>
    <w:rsid w:val="00E205CA"/>
    <w:rsid w:val="00E2060C"/>
    <w:rsid w:val="00E236E9"/>
    <w:rsid w:val="00E2656E"/>
    <w:rsid w:val="00E30D69"/>
    <w:rsid w:val="00E33300"/>
    <w:rsid w:val="00E36428"/>
    <w:rsid w:val="00E40568"/>
    <w:rsid w:val="00E41D76"/>
    <w:rsid w:val="00E44E48"/>
    <w:rsid w:val="00E46F49"/>
    <w:rsid w:val="00E515FB"/>
    <w:rsid w:val="00E5206F"/>
    <w:rsid w:val="00E520A5"/>
    <w:rsid w:val="00E537C9"/>
    <w:rsid w:val="00E54797"/>
    <w:rsid w:val="00E55AE3"/>
    <w:rsid w:val="00E55B57"/>
    <w:rsid w:val="00E56E1B"/>
    <w:rsid w:val="00E701DC"/>
    <w:rsid w:val="00E71DB1"/>
    <w:rsid w:val="00E7229D"/>
    <w:rsid w:val="00E72A63"/>
    <w:rsid w:val="00E72F1C"/>
    <w:rsid w:val="00E7387C"/>
    <w:rsid w:val="00E75FD4"/>
    <w:rsid w:val="00E82415"/>
    <w:rsid w:val="00E8406D"/>
    <w:rsid w:val="00E850A3"/>
    <w:rsid w:val="00E93D7F"/>
    <w:rsid w:val="00E95D34"/>
    <w:rsid w:val="00E97726"/>
    <w:rsid w:val="00EA5D60"/>
    <w:rsid w:val="00EA6974"/>
    <w:rsid w:val="00EA72C0"/>
    <w:rsid w:val="00EB20F9"/>
    <w:rsid w:val="00EB5D64"/>
    <w:rsid w:val="00ED04CF"/>
    <w:rsid w:val="00ED1003"/>
    <w:rsid w:val="00ED24EA"/>
    <w:rsid w:val="00ED3B54"/>
    <w:rsid w:val="00ED503B"/>
    <w:rsid w:val="00ED77EC"/>
    <w:rsid w:val="00EE0DF8"/>
    <w:rsid w:val="00EE2CD7"/>
    <w:rsid w:val="00EE34C0"/>
    <w:rsid w:val="00EE3803"/>
    <w:rsid w:val="00EE4DEF"/>
    <w:rsid w:val="00EE5047"/>
    <w:rsid w:val="00EF3D2F"/>
    <w:rsid w:val="00EF40D8"/>
    <w:rsid w:val="00EF7A43"/>
    <w:rsid w:val="00F00220"/>
    <w:rsid w:val="00F00B64"/>
    <w:rsid w:val="00F00F34"/>
    <w:rsid w:val="00F02107"/>
    <w:rsid w:val="00F10966"/>
    <w:rsid w:val="00F12CBD"/>
    <w:rsid w:val="00F14788"/>
    <w:rsid w:val="00F16403"/>
    <w:rsid w:val="00F20075"/>
    <w:rsid w:val="00F208CF"/>
    <w:rsid w:val="00F21979"/>
    <w:rsid w:val="00F229E6"/>
    <w:rsid w:val="00F35E4C"/>
    <w:rsid w:val="00F41519"/>
    <w:rsid w:val="00F42D7C"/>
    <w:rsid w:val="00F44541"/>
    <w:rsid w:val="00F44E49"/>
    <w:rsid w:val="00F5431B"/>
    <w:rsid w:val="00F56762"/>
    <w:rsid w:val="00F60560"/>
    <w:rsid w:val="00F609A3"/>
    <w:rsid w:val="00F6163E"/>
    <w:rsid w:val="00F649FE"/>
    <w:rsid w:val="00F64BD8"/>
    <w:rsid w:val="00F64E41"/>
    <w:rsid w:val="00F65839"/>
    <w:rsid w:val="00F71DC5"/>
    <w:rsid w:val="00F75A71"/>
    <w:rsid w:val="00F75B0A"/>
    <w:rsid w:val="00F75B22"/>
    <w:rsid w:val="00F8251A"/>
    <w:rsid w:val="00F842F6"/>
    <w:rsid w:val="00F90912"/>
    <w:rsid w:val="00F91960"/>
    <w:rsid w:val="00F91CFE"/>
    <w:rsid w:val="00F97106"/>
    <w:rsid w:val="00F976AE"/>
    <w:rsid w:val="00FA50E7"/>
    <w:rsid w:val="00FA76BC"/>
    <w:rsid w:val="00FB2A99"/>
    <w:rsid w:val="00FB57AD"/>
    <w:rsid w:val="00FB5A98"/>
    <w:rsid w:val="00FC178F"/>
    <w:rsid w:val="00FC1915"/>
    <w:rsid w:val="00FC3FD5"/>
    <w:rsid w:val="00FE0ECC"/>
    <w:rsid w:val="00FE7171"/>
    <w:rsid w:val="00FF007A"/>
    <w:rsid w:val="00FF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476E2"/>
  <w15:docId w15:val="{9DF2634E-2698-4E7A-9C0F-9139EC8B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08CF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08CF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link w:val="a4"/>
    <w:uiPriority w:val="34"/>
    <w:qFormat/>
    <w:rsid w:val="00AB02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1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1CF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40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20"/>
  </w:style>
  <w:style w:type="paragraph" w:styleId="a9">
    <w:name w:val="footer"/>
    <w:basedOn w:val="a"/>
    <w:link w:val="aa"/>
    <w:uiPriority w:val="99"/>
    <w:unhideWhenUsed/>
    <w:rsid w:val="00540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20"/>
  </w:style>
  <w:style w:type="paragraph" w:customStyle="1" w:styleId="ab">
    <w:name w:val="Нормальный (таблица)"/>
    <w:basedOn w:val="a"/>
    <w:next w:val="a"/>
    <w:uiPriority w:val="99"/>
    <w:rsid w:val="00ED10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BB4D9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59"/>
    <w:rsid w:val="00922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uiPriority w:val="59"/>
    <w:rsid w:val="00B96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C25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A05D62"/>
  </w:style>
  <w:style w:type="paragraph" w:customStyle="1" w:styleId="s16">
    <w:name w:val="s_16"/>
    <w:basedOn w:val="a"/>
    <w:rsid w:val="00B63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9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57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8D0FA-D349-4E0D-929D-0EA6F28DC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10</Pages>
  <Words>2908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Роднова Лариса Ивановна</dc:creator>
  <cp:lastModifiedBy>Молчанова Елена Александровна</cp:lastModifiedBy>
  <cp:revision>6</cp:revision>
  <cp:lastPrinted>2024-07-18T09:22:00Z</cp:lastPrinted>
  <dcterms:created xsi:type="dcterms:W3CDTF">2024-07-18T05:32:00Z</dcterms:created>
  <dcterms:modified xsi:type="dcterms:W3CDTF">2024-07-19T07:53:00Z</dcterms:modified>
</cp:coreProperties>
</file>