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4F" w:rsidRDefault="00DF144F" w:rsidP="00656C1A">
      <w:pPr>
        <w:spacing w:line="120" w:lineRule="atLeast"/>
        <w:jc w:val="center"/>
        <w:rPr>
          <w:sz w:val="24"/>
          <w:szCs w:val="24"/>
        </w:rPr>
      </w:pPr>
    </w:p>
    <w:p w:rsidR="00DF144F" w:rsidRDefault="00DF144F" w:rsidP="00656C1A">
      <w:pPr>
        <w:spacing w:line="120" w:lineRule="atLeast"/>
        <w:jc w:val="center"/>
        <w:rPr>
          <w:sz w:val="24"/>
          <w:szCs w:val="24"/>
        </w:rPr>
      </w:pPr>
    </w:p>
    <w:p w:rsidR="00DF144F" w:rsidRPr="00852378" w:rsidRDefault="00DF144F" w:rsidP="00656C1A">
      <w:pPr>
        <w:spacing w:line="120" w:lineRule="atLeast"/>
        <w:jc w:val="center"/>
        <w:rPr>
          <w:sz w:val="10"/>
          <w:szCs w:val="10"/>
        </w:rPr>
      </w:pPr>
    </w:p>
    <w:p w:rsidR="00DF144F" w:rsidRDefault="00DF144F" w:rsidP="00656C1A">
      <w:pPr>
        <w:spacing w:line="120" w:lineRule="atLeast"/>
        <w:jc w:val="center"/>
        <w:rPr>
          <w:sz w:val="10"/>
          <w:szCs w:val="24"/>
        </w:rPr>
      </w:pPr>
    </w:p>
    <w:p w:rsidR="00DF144F" w:rsidRPr="005541F0" w:rsidRDefault="00DF14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144F" w:rsidRDefault="00DF14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144F" w:rsidRPr="005541F0" w:rsidRDefault="00DF14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144F" w:rsidRPr="005649E4" w:rsidRDefault="00DF144F" w:rsidP="00656C1A">
      <w:pPr>
        <w:spacing w:line="120" w:lineRule="atLeast"/>
        <w:jc w:val="center"/>
        <w:rPr>
          <w:sz w:val="18"/>
          <w:szCs w:val="24"/>
        </w:rPr>
      </w:pPr>
    </w:p>
    <w:p w:rsidR="00DF144F" w:rsidRPr="00656C1A" w:rsidRDefault="00DF14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144F" w:rsidRPr="005541F0" w:rsidRDefault="00DF144F" w:rsidP="00656C1A">
      <w:pPr>
        <w:spacing w:line="120" w:lineRule="atLeast"/>
        <w:jc w:val="center"/>
        <w:rPr>
          <w:sz w:val="18"/>
          <w:szCs w:val="24"/>
        </w:rPr>
      </w:pPr>
    </w:p>
    <w:p w:rsidR="00DF144F" w:rsidRPr="005541F0" w:rsidRDefault="00DF144F" w:rsidP="00656C1A">
      <w:pPr>
        <w:spacing w:line="120" w:lineRule="atLeast"/>
        <w:jc w:val="center"/>
        <w:rPr>
          <w:sz w:val="20"/>
          <w:szCs w:val="24"/>
        </w:rPr>
      </w:pPr>
    </w:p>
    <w:p w:rsidR="00DF144F" w:rsidRPr="00656C1A" w:rsidRDefault="00B524B4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DF144F" w:rsidRDefault="00DF144F" w:rsidP="00656C1A">
      <w:pPr>
        <w:spacing w:line="120" w:lineRule="atLeast"/>
        <w:jc w:val="center"/>
        <w:rPr>
          <w:sz w:val="30"/>
          <w:szCs w:val="24"/>
        </w:rPr>
      </w:pPr>
    </w:p>
    <w:p w:rsidR="00DF144F" w:rsidRPr="00656C1A" w:rsidRDefault="00DF14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14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144F" w:rsidRPr="00F8214F" w:rsidRDefault="00DF14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144F" w:rsidRPr="00F8214F" w:rsidRDefault="005254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144F" w:rsidRPr="00F8214F" w:rsidRDefault="00DF14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144F" w:rsidRPr="00F8214F" w:rsidRDefault="005254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F144F" w:rsidRPr="00A63FB0" w:rsidRDefault="00DF14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144F" w:rsidRPr="00A3761A" w:rsidRDefault="005254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F144F" w:rsidRPr="00F8214F" w:rsidRDefault="00DF14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144F" w:rsidRPr="00F8214F" w:rsidRDefault="00DF14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144F" w:rsidRPr="00AB4194" w:rsidRDefault="00DF14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144F" w:rsidRPr="00F8214F" w:rsidRDefault="005254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983</w:t>
            </w:r>
          </w:p>
        </w:tc>
      </w:tr>
    </w:tbl>
    <w:p w:rsidR="00DF144F" w:rsidRPr="00C725A6" w:rsidRDefault="00DF144F" w:rsidP="00C725A6">
      <w:pPr>
        <w:rPr>
          <w:rFonts w:cs="Times New Roman"/>
          <w:szCs w:val="28"/>
        </w:rPr>
      </w:pPr>
    </w:p>
    <w:p w:rsidR="00DF144F" w:rsidRDefault="00DF144F" w:rsidP="00DF144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распоряжение </w:t>
      </w:r>
    </w:p>
    <w:p w:rsidR="00DF144F" w:rsidRDefault="00DF144F" w:rsidP="00DF144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03.06.2019 </w:t>
      </w:r>
    </w:p>
    <w:p w:rsidR="00DF144F" w:rsidRDefault="00DF144F" w:rsidP="00DF144F">
      <w:pPr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zCs w:val="28"/>
        </w:rPr>
        <w:t xml:space="preserve">№ 966 </w:t>
      </w:r>
      <w:r>
        <w:rPr>
          <w:rFonts w:eastAsia="Calibri" w:cs="Times New Roman"/>
          <w:spacing w:val="-6"/>
          <w:szCs w:val="28"/>
        </w:rPr>
        <w:t xml:space="preserve">«О комплексе мер по окончанию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строительства многоквартирных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домов и иных объектов недвижимости,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не введенных в эксплуатацию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застройщиками: обществом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«</w:t>
      </w:r>
      <w:proofErr w:type="spellStart"/>
      <w:r>
        <w:rPr>
          <w:rFonts w:eastAsia="Calibri" w:cs="Times New Roman"/>
          <w:spacing w:val="-6"/>
          <w:szCs w:val="28"/>
        </w:rPr>
        <w:t>СеверСтрой</w:t>
      </w:r>
      <w:proofErr w:type="spellEnd"/>
      <w:r>
        <w:rPr>
          <w:rFonts w:eastAsia="Calibri" w:cs="Times New Roman"/>
          <w:spacing w:val="-6"/>
          <w:szCs w:val="28"/>
        </w:rPr>
        <w:t xml:space="preserve">», обществом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«</w:t>
      </w:r>
      <w:proofErr w:type="spellStart"/>
      <w:r>
        <w:rPr>
          <w:rFonts w:eastAsia="Calibri" w:cs="Times New Roman"/>
          <w:spacing w:val="-6"/>
          <w:szCs w:val="28"/>
        </w:rPr>
        <w:t>СеверСтрой</w:t>
      </w:r>
      <w:proofErr w:type="spellEnd"/>
      <w:r>
        <w:rPr>
          <w:rFonts w:eastAsia="Calibri" w:cs="Times New Roman"/>
          <w:spacing w:val="-6"/>
          <w:szCs w:val="28"/>
        </w:rPr>
        <w:t xml:space="preserve"> Партнер», обществом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«Дорожно-эксплуатационное </w:t>
      </w:r>
    </w:p>
    <w:p w:rsidR="00DF144F" w:rsidRDefault="00DF144F" w:rsidP="00DF144F">
      <w:pPr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предприятие»</w:t>
      </w:r>
    </w:p>
    <w:p w:rsidR="00DF144F" w:rsidRDefault="00DF144F" w:rsidP="00DF144F">
      <w:pPr>
        <w:rPr>
          <w:rFonts w:eastAsia="Calibri" w:cs="Times New Roman"/>
          <w:szCs w:val="28"/>
        </w:rPr>
      </w:pPr>
    </w:p>
    <w:p w:rsidR="00DF144F" w:rsidRDefault="00DF144F" w:rsidP="00DF144F">
      <w:pPr>
        <w:rPr>
          <w:rFonts w:eastAsia="Calibri" w:cs="Times New Roman"/>
          <w:szCs w:val="28"/>
        </w:rPr>
      </w:pPr>
    </w:p>
    <w:p w:rsidR="00DF144F" w:rsidRDefault="00DF144F" w:rsidP="00DF144F">
      <w:pPr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 xml:space="preserve">распоряжением Правительства Ханты-Мансийского                              </w:t>
      </w:r>
      <w:r>
        <w:rPr>
          <w:rFonts w:eastAsia="Calibri" w:cs="Times New Roman"/>
          <w:spacing w:val="-4"/>
          <w:szCs w:val="28"/>
        </w:rPr>
        <w:t>автономного округа – Югры от 18.11.2019 № 609-рп «О плане-графике («дорожной</w:t>
      </w:r>
      <w:r>
        <w:rPr>
          <w:rFonts w:eastAsia="Calibri" w:cs="Times New Roman"/>
          <w:szCs w:val="28"/>
        </w:rPr>
        <w:t xml:space="preserve"> карте») по защите прав граждан – участников долевого строительства в Ханты-</w:t>
      </w:r>
      <w:r>
        <w:rPr>
          <w:rFonts w:eastAsia="Calibri" w:cs="Times New Roman"/>
          <w:spacing w:val="-4"/>
          <w:szCs w:val="28"/>
        </w:rPr>
        <w:t xml:space="preserve">Мансийском автономном округе – Югре», Уставом муниципального образования городской округ Сургут Ханты-Мансийского автономного округа – Югры, </w:t>
      </w:r>
      <w:proofErr w:type="spellStart"/>
      <w:r>
        <w:rPr>
          <w:rFonts w:eastAsia="Calibri" w:cs="Times New Roman"/>
          <w:spacing w:val="-4"/>
          <w:szCs w:val="28"/>
        </w:rPr>
        <w:t>распо-ряжениями</w:t>
      </w:r>
      <w:proofErr w:type="spellEnd"/>
      <w:r>
        <w:rPr>
          <w:rFonts w:eastAsia="Calibri" w:cs="Times New Roman"/>
          <w:spacing w:val="-4"/>
          <w:szCs w:val="28"/>
        </w:rPr>
        <w:t xml:space="preserve"> Администрации города от 30.12.2005 № 3686 «Об утверждении Регламента Администрации города», от 21.04.2021 </w:t>
      </w:r>
      <w:r w:rsidRPr="00DF144F">
        <w:rPr>
          <w:rFonts w:eastAsia="Calibri" w:cs="Times New Roman"/>
          <w:spacing w:val="-4"/>
          <w:szCs w:val="28"/>
        </w:rPr>
        <w:t>№ 552</w:t>
      </w:r>
      <w:r>
        <w:rPr>
          <w:rFonts w:eastAsia="Calibri" w:cs="Times New Roman"/>
          <w:spacing w:val="-4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в целях окончания строительства многоквартирных домов и иных объектов недвижимости, не введенных в эксплуатацию застройщиками: обществом с ограниченной ответственностью «</w:t>
      </w:r>
      <w:proofErr w:type="spellStart"/>
      <w:r>
        <w:rPr>
          <w:rFonts w:eastAsia="Calibri" w:cs="Times New Roman"/>
          <w:spacing w:val="-4"/>
          <w:szCs w:val="28"/>
        </w:rPr>
        <w:t>СеверСтрой</w:t>
      </w:r>
      <w:proofErr w:type="spellEnd"/>
      <w:r>
        <w:rPr>
          <w:rFonts w:eastAsia="Calibri" w:cs="Times New Roman"/>
          <w:spacing w:val="-4"/>
          <w:szCs w:val="28"/>
        </w:rPr>
        <w:t>», обществом с ограниченной ответственностью «</w:t>
      </w:r>
      <w:proofErr w:type="spellStart"/>
      <w:r>
        <w:rPr>
          <w:rFonts w:eastAsia="Calibri" w:cs="Times New Roman"/>
          <w:spacing w:val="-4"/>
          <w:szCs w:val="28"/>
        </w:rPr>
        <w:t>СеверСтрой</w:t>
      </w:r>
      <w:proofErr w:type="spellEnd"/>
      <w:r>
        <w:rPr>
          <w:rFonts w:eastAsia="Calibri" w:cs="Times New Roman"/>
          <w:spacing w:val="-4"/>
          <w:szCs w:val="28"/>
        </w:rPr>
        <w:t xml:space="preserve"> Партнер», обществом с ограниченной</w:t>
      </w:r>
      <w:r>
        <w:rPr>
          <w:rFonts w:eastAsia="Calibri" w:cs="Times New Roman"/>
          <w:spacing w:val="-6"/>
          <w:szCs w:val="28"/>
        </w:rPr>
        <w:t xml:space="preserve"> ответственностью «Дорожно-эксплуатационное предприятие»: </w:t>
      </w:r>
    </w:p>
    <w:p w:rsidR="00DF144F" w:rsidRDefault="00DF144F" w:rsidP="00DF144F">
      <w:pPr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bCs/>
          <w:szCs w:val="28"/>
        </w:rPr>
        <w:t xml:space="preserve">1. </w:t>
      </w:r>
      <w:r>
        <w:rPr>
          <w:rFonts w:eastAsia="Calibri" w:cs="Times New Roman"/>
          <w:bCs/>
          <w:spacing w:val="4"/>
          <w:szCs w:val="28"/>
        </w:rPr>
        <w:t xml:space="preserve">Внести в распоряжение Администрации города </w:t>
      </w:r>
      <w:r>
        <w:rPr>
          <w:rFonts w:eastAsia="Calibri" w:cs="Times New Roman"/>
          <w:spacing w:val="4"/>
          <w:szCs w:val="28"/>
        </w:rPr>
        <w:t>от 03.06.2019 № 966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«</w:t>
      </w:r>
      <w:r>
        <w:rPr>
          <w:rFonts w:eastAsia="Calibri" w:cs="Times New Roman"/>
          <w:spacing w:val="-6"/>
          <w:szCs w:val="28"/>
        </w:rPr>
        <w:t xml:space="preserve">О комплексе мер по окончанию строительства многоквартирных домов и иных объектов недвижимости, не введенных в эксплуатацию застройщиками: обществом </w:t>
      </w:r>
      <w:r>
        <w:rPr>
          <w:rFonts w:eastAsia="Calibri" w:cs="Times New Roman"/>
          <w:spacing w:val="-6"/>
          <w:szCs w:val="28"/>
        </w:rPr>
        <w:br/>
      </w:r>
      <w:r>
        <w:rPr>
          <w:rFonts w:eastAsia="Calibri" w:cs="Times New Roman"/>
          <w:spacing w:val="-6"/>
          <w:szCs w:val="28"/>
        </w:rPr>
        <w:lastRenderedPageBreak/>
        <w:t>с ограниченной ответственностью «</w:t>
      </w:r>
      <w:proofErr w:type="spellStart"/>
      <w:r>
        <w:rPr>
          <w:rFonts w:eastAsia="Calibri" w:cs="Times New Roman"/>
          <w:spacing w:val="-6"/>
          <w:szCs w:val="28"/>
        </w:rPr>
        <w:t>СеверСтрой</w:t>
      </w:r>
      <w:proofErr w:type="spellEnd"/>
      <w:r>
        <w:rPr>
          <w:rFonts w:eastAsia="Calibri" w:cs="Times New Roman"/>
          <w:spacing w:val="-6"/>
          <w:szCs w:val="28"/>
        </w:rPr>
        <w:t>», обществом с ограниченной ответственностью «</w:t>
      </w:r>
      <w:proofErr w:type="spellStart"/>
      <w:r>
        <w:rPr>
          <w:rFonts w:eastAsia="Calibri" w:cs="Times New Roman"/>
          <w:spacing w:val="-6"/>
          <w:szCs w:val="28"/>
        </w:rPr>
        <w:t>СеверСтрой</w:t>
      </w:r>
      <w:proofErr w:type="spellEnd"/>
      <w:r>
        <w:rPr>
          <w:rFonts w:eastAsia="Calibri" w:cs="Times New Roman"/>
          <w:spacing w:val="-6"/>
          <w:szCs w:val="28"/>
        </w:rPr>
        <w:t xml:space="preserve"> Партнер», обществом с ограниченной ответствен-</w:t>
      </w:r>
      <w:proofErr w:type="spellStart"/>
      <w:r>
        <w:rPr>
          <w:rFonts w:eastAsia="Calibri" w:cs="Times New Roman"/>
          <w:spacing w:val="-6"/>
          <w:szCs w:val="28"/>
        </w:rPr>
        <w:t>ностью</w:t>
      </w:r>
      <w:proofErr w:type="spellEnd"/>
      <w:r>
        <w:rPr>
          <w:rFonts w:eastAsia="Calibri" w:cs="Times New Roman"/>
          <w:spacing w:val="-6"/>
          <w:szCs w:val="28"/>
        </w:rPr>
        <w:t xml:space="preserve"> «Дорожно-эксплуатационное предприятие» </w:t>
      </w:r>
      <w:r>
        <w:rPr>
          <w:rFonts w:eastAsia="Calibri" w:cs="Times New Roman"/>
          <w:szCs w:val="28"/>
        </w:rPr>
        <w:t xml:space="preserve">(с изменениями от 25.06.2019 </w:t>
      </w:r>
      <w:r>
        <w:rPr>
          <w:rFonts w:eastAsia="Calibri" w:cs="Times New Roman"/>
          <w:spacing w:val="-4"/>
          <w:szCs w:val="28"/>
        </w:rPr>
        <w:t xml:space="preserve">№ 1205, 01.07.2019 № 1270, 19.07.2019 № 1415, 02.08.2019 № 1551, 13.09.2019 </w:t>
      </w:r>
      <w:r>
        <w:rPr>
          <w:rFonts w:eastAsia="Calibri" w:cs="Times New Roman"/>
          <w:spacing w:val="-4"/>
          <w:szCs w:val="28"/>
        </w:rPr>
        <w:br/>
        <w:t xml:space="preserve">№ 1914, 18.09.2019 № 1947, 24.12.2019 № 2809, 20.03.2020 № 434, 09.10.2020 </w:t>
      </w:r>
      <w:r>
        <w:rPr>
          <w:rFonts w:eastAsia="Calibri" w:cs="Times New Roman"/>
          <w:spacing w:val="-4"/>
          <w:szCs w:val="28"/>
        </w:rPr>
        <w:br/>
        <w:t>№ 1566, 02.02.2021 № 84, 26.03.2021 № 432, 26.07.2021 № 1187, 09.02.2022 № 201, 03.06.2022 № 972, 14.10.2022 № 1951, 19.12.2022 № 2665, 24.05.2023 № 1539, 27.10.2023 № 3125) следующие изменения:</w:t>
      </w:r>
    </w:p>
    <w:p w:rsidR="00DF144F" w:rsidRDefault="00DF144F" w:rsidP="00DF144F">
      <w:pPr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>п</w:t>
      </w:r>
      <w:r>
        <w:rPr>
          <w:rFonts w:eastAsia="Calibri" w:cs="Times New Roman"/>
          <w:spacing w:val="-6"/>
          <w:szCs w:val="28"/>
        </w:rPr>
        <w:t xml:space="preserve">риложения 1, 2, </w:t>
      </w:r>
      <w:r w:rsidRPr="00DF144F">
        <w:rPr>
          <w:rFonts w:eastAsia="Calibri" w:cs="Times New Roman"/>
          <w:spacing w:val="-6"/>
          <w:szCs w:val="28"/>
        </w:rPr>
        <w:t>6</w:t>
      </w:r>
      <w:r>
        <w:rPr>
          <w:rFonts w:eastAsia="Calibri" w:cs="Times New Roman"/>
          <w:spacing w:val="-6"/>
          <w:szCs w:val="28"/>
        </w:rPr>
        <w:t xml:space="preserve"> к распоряжению изложить </w:t>
      </w:r>
      <w:r>
        <w:rPr>
          <w:rFonts w:eastAsia="Calibri" w:cs="Times New Roman"/>
          <w:spacing w:val="-4"/>
          <w:szCs w:val="28"/>
        </w:rPr>
        <w:t>в новой редакции согласно приложениям 1, 2, 3 к настоящему распоряжению соответственно.</w:t>
      </w:r>
    </w:p>
    <w:p w:rsidR="00DF144F" w:rsidRDefault="00DF144F" w:rsidP="00DF144F">
      <w:pPr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DF144F" w:rsidRDefault="00DF144F" w:rsidP="00DF14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DF144F" w:rsidRDefault="00DF144F" w:rsidP="00DF144F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4. Настоящее распоряжение вступает в силу с момента его издания. </w:t>
      </w:r>
    </w:p>
    <w:p w:rsidR="00DF144F" w:rsidRDefault="00DF144F" w:rsidP="00DF14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DF144F" w:rsidRDefault="00DF144F" w:rsidP="00DF144F">
      <w:pPr>
        <w:jc w:val="both"/>
        <w:rPr>
          <w:szCs w:val="28"/>
        </w:rPr>
      </w:pPr>
    </w:p>
    <w:p w:rsidR="00DF144F" w:rsidRDefault="00DF144F" w:rsidP="00DF144F">
      <w:pPr>
        <w:jc w:val="both"/>
        <w:rPr>
          <w:szCs w:val="28"/>
        </w:rPr>
      </w:pPr>
    </w:p>
    <w:p w:rsidR="00DF144F" w:rsidRDefault="00DF144F" w:rsidP="00DF144F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DF144F" w:rsidRDefault="00DF144F" w:rsidP="00DF144F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 В.А. Шаров</w:t>
      </w:r>
    </w:p>
    <w:p w:rsidR="00DF144F" w:rsidRDefault="00DF144F" w:rsidP="00DF144F">
      <w:pPr>
        <w:jc w:val="both"/>
        <w:rPr>
          <w:rFonts w:eastAsia="Calibri" w:cs="Times New Roman"/>
          <w:bCs/>
          <w:szCs w:val="28"/>
        </w:rPr>
      </w:pPr>
    </w:p>
    <w:p w:rsidR="00DF144F" w:rsidRDefault="00DF144F" w:rsidP="00DF144F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DF144F" w:rsidRDefault="00DF144F" w:rsidP="00DF144F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DF144F" w:rsidRDefault="00DF144F" w:rsidP="00DF144F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DF144F" w:rsidRDefault="00DF144F" w:rsidP="00DF144F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DF144F" w:rsidRDefault="00DF144F" w:rsidP="00DF144F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DF144F" w:rsidRDefault="00DF144F" w:rsidP="00DF144F">
      <w:pPr>
        <w:sectPr w:rsidR="00DF144F">
          <w:headerReference w:type="default" r:id="rId6"/>
          <w:pgSz w:w="11906" w:h="16838"/>
          <w:pgMar w:top="993" w:right="566" w:bottom="993" w:left="1701" w:header="709" w:footer="709" w:gutter="0"/>
          <w:cols w:space="720"/>
        </w:sectPr>
      </w:pPr>
    </w:p>
    <w:p w:rsidR="00DF144F" w:rsidRDefault="00DF144F" w:rsidP="00DF144F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</w:p>
    <w:p w:rsidR="00DF144F" w:rsidRP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План мероприятий (дорожная карта) 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завершения строительства объекта «Жилой дом № 2 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 встроенными помещениями общественного назначения в 44 </w:t>
      </w:r>
      <w:proofErr w:type="spellStart"/>
      <w:r>
        <w:rPr>
          <w:rFonts w:eastAsia="Times New Roman" w:cs="Times New Roman"/>
          <w:szCs w:val="28"/>
          <w:lang w:eastAsia="ru-RU"/>
        </w:rPr>
        <w:t>мкр</w:t>
      </w:r>
      <w:proofErr w:type="spellEnd"/>
      <w:r>
        <w:rPr>
          <w:rFonts w:eastAsia="Times New Roman" w:cs="Times New Roman"/>
          <w:szCs w:val="28"/>
          <w:lang w:eastAsia="ru-RU"/>
        </w:rPr>
        <w:t>. г. Сургут.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Корректировка» 2 этап (секции 1, 2, 3, 4)»</w:t>
      </w: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3010"/>
        <w:gridCol w:w="2438"/>
        <w:gridCol w:w="3624"/>
      </w:tblGrid>
      <w:tr w:rsidR="00DF144F" w:rsidTr="00DF1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 мероприятий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за исполнение мероприятий</w:t>
            </w:r>
          </w:p>
        </w:tc>
      </w:tr>
      <w:tr w:rsidR="00DF144F" w:rsidTr="00DF144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Объект «Жилой дом № 2 со встроенными помещениями общественного назначения в 44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br/>
              <w:t>г. Сургут. Корректировка» 2 этап (секции 1, 2, 3, 4)» (застройщик – общество с ограниченной ответственностью «</w:t>
            </w:r>
            <w:proofErr w:type="spellStart"/>
            <w:r>
              <w:rPr>
                <w:sz w:val="22"/>
              </w:rPr>
              <w:t>СеверСтрой</w:t>
            </w:r>
            <w:proofErr w:type="spellEnd"/>
            <w:r>
              <w:rPr>
                <w:sz w:val="22"/>
              </w:rPr>
              <w:t xml:space="preserve"> Партнер» (далее – ООО «</w:t>
            </w:r>
            <w:proofErr w:type="spellStart"/>
            <w:r>
              <w:rPr>
                <w:sz w:val="22"/>
              </w:rPr>
              <w:t>СеверСтрой</w:t>
            </w:r>
            <w:proofErr w:type="spellEnd"/>
            <w:r>
              <w:rPr>
                <w:sz w:val="22"/>
              </w:rPr>
              <w:t xml:space="preserve"> Партнер»); количество квартир – 370 шт.; общая площадь квартир – 18 237 кв. м; количество ДДУ – 320 шт.,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том числе с гражданами – 265; строительная готовность – 71,2%)</w:t>
            </w:r>
          </w:p>
        </w:tc>
      </w:tr>
      <w:tr w:rsidR="00DF144F" w:rsidTr="00DF1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Завершение строительства </w:t>
            </w:r>
            <w:r>
              <w:rPr>
                <w:sz w:val="22"/>
              </w:rPr>
              <w:br/>
              <w:t xml:space="preserve">и ввод объекта в </w:t>
            </w:r>
            <w:proofErr w:type="spellStart"/>
            <w:r>
              <w:rPr>
                <w:sz w:val="22"/>
              </w:rPr>
              <w:t>эксплу-атацию</w:t>
            </w:r>
            <w:proofErr w:type="spellEnd"/>
            <w:r>
              <w:rPr>
                <w:sz w:val="22"/>
              </w:rPr>
              <w:t xml:space="preserve"> в соответствии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с решением ППК Фонд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от 30.12.2020 о способе восстановления прав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граждан – участников долевого строительства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30.06.2024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Фонд (по согласованию)</w:t>
            </w:r>
          </w:p>
        </w:tc>
      </w:tr>
      <w:tr w:rsidR="00DF144F" w:rsidTr="00DF1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Осмотр строящегося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первая и третья неделя каждого месяца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Прокуратура города Сургута,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Администрация города Сургута</w:t>
            </w:r>
          </w:p>
        </w:tc>
      </w:tr>
    </w:tbl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rPr>
          <w:rFonts w:eastAsia="Times New Roman" w:cs="Times New Roman"/>
          <w:sz w:val="22"/>
          <w:szCs w:val="20"/>
          <w:lang w:eastAsia="ru-RU"/>
        </w:rPr>
        <w:sectPr w:rsidR="00DF144F">
          <w:pgSz w:w="11906" w:h="16838"/>
          <w:pgMar w:top="1134" w:right="567" w:bottom="1134" w:left="1701" w:header="709" w:footer="709" w:gutter="0"/>
          <w:cols w:space="720"/>
        </w:sectPr>
      </w:pPr>
    </w:p>
    <w:p w:rsidR="00DF144F" w:rsidRDefault="00DF144F" w:rsidP="00DF144F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DF144F" w:rsidRP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DF144F" w:rsidRP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План мероприятий (дорожная карта) 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завершения строительства объекта «Жилой дом № 6 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44 микрорайоне г. Сургута»</w:t>
      </w: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3912"/>
        <w:gridCol w:w="2778"/>
        <w:gridCol w:w="2944"/>
      </w:tblGrid>
      <w:tr w:rsidR="00DF144F" w:rsidTr="00DF144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 мероприятий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</w:t>
            </w:r>
          </w:p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за исполнение мероприятий</w:t>
            </w:r>
          </w:p>
        </w:tc>
      </w:tr>
      <w:tr w:rsidR="00DF144F" w:rsidTr="00DF144F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Объект «Жилой дом № 6 в 44 микрорайоне г. Сургута» (застройщик – ООО «</w:t>
            </w:r>
            <w:proofErr w:type="spellStart"/>
            <w:r>
              <w:rPr>
                <w:sz w:val="22"/>
              </w:rPr>
              <w:t>СеверСтрой</w:t>
            </w:r>
            <w:proofErr w:type="spellEnd"/>
            <w:r>
              <w:rPr>
                <w:sz w:val="22"/>
              </w:rPr>
              <w:t xml:space="preserve"> Партнер»; количество квартир – 217 шт.; общая площадь квартир – 10 607 кв. м;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количество ДДУ – 162 шт., в том числе с гражданами – 56; строительная готовность – 22,6%)</w:t>
            </w:r>
          </w:p>
        </w:tc>
      </w:tr>
      <w:tr w:rsidR="00DF144F" w:rsidTr="00DF144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Вариант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F144F" w:rsidTr="00DF144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Выплаты возмещения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или предоставление жилых помещений с помощью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привлечения инвестора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01.03.2024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Инвестор (по согласованию)</w:t>
            </w:r>
          </w:p>
        </w:tc>
      </w:tr>
    </w:tbl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rPr>
          <w:rFonts w:eastAsia="Times New Roman" w:cs="Times New Roman"/>
          <w:sz w:val="22"/>
          <w:szCs w:val="20"/>
          <w:lang w:eastAsia="ru-RU"/>
        </w:rPr>
        <w:sectPr w:rsidR="00DF144F">
          <w:pgSz w:w="11906" w:h="16838"/>
          <w:pgMar w:top="1134" w:right="567" w:bottom="1134" w:left="1701" w:header="709" w:footer="709" w:gutter="0"/>
          <w:cols w:space="720"/>
        </w:sectPr>
      </w:pPr>
    </w:p>
    <w:p w:rsidR="00DF144F" w:rsidRDefault="00DF144F" w:rsidP="00DF144F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3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F144F" w:rsidRDefault="00DF144F" w:rsidP="00DF144F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5" w:name="P550"/>
      <w:bookmarkEnd w:id="5"/>
      <w:r>
        <w:rPr>
          <w:rFonts w:eastAsia="Times New Roman" w:cs="Times New Roman"/>
          <w:szCs w:val="28"/>
          <w:lang w:eastAsia="ru-RU"/>
        </w:rPr>
        <w:t xml:space="preserve">План мероприятий (дорожная карта) 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завершения строительства объекта «Развитие застроенной территории – 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части квартала 23А в г. Сургуте. Корректировка.</w:t>
      </w:r>
    </w:p>
    <w:p w:rsidR="00DF144F" w:rsidRDefault="00DF144F" w:rsidP="00DF144F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XIIА, XIIБ этап строительства. Подземный паркинг»</w:t>
      </w:r>
    </w:p>
    <w:p w:rsidR="00DF144F" w:rsidRDefault="00DF144F" w:rsidP="00DF144F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4593"/>
        <w:gridCol w:w="2059"/>
        <w:gridCol w:w="2982"/>
      </w:tblGrid>
      <w:tr w:rsidR="00DF144F" w:rsidTr="00DF144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за исполнение мероприятий</w:t>
            </w:r>
          </w:p>
        </w:tc>
      </w:tr>
      <w:tr w:rsidR="00DF144F" w:rsidTr="00DF144F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Объект «Развитие застроенной территории – части квартала 23А в г. Сургуте. Корректировка.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XIIА, XIIБ этапы строительства. Подземный паркинг» (застройщик – ООО «</w:t>
            </w:r>
            <w:proofErr w:type="spellStart"/>
            <w:r>
              <w:rPr>
                <w:sz w:val="22"/>
              </w:rPr>
              <w:t>СеверСтрой</w:t>
            </w:r>
            <w:proofErr w:type="spellEnd"/>
            <w:r>
              <w:rPr>
                <w:sz w:val="22"/>
              </w:rPr>
              <w:t xml:space="preserve">»; количество </w:t>
            </w:r>
            <w:proofErr w:type="spellStart"/>
            <w:r>
              <w:rPr>
                <w:sz w:val="22"/>
              </w:rPr>
              <w:t>машиномест</w:t>
            </w:r>
            <w:proofErr w:type="spellEnd"/>
            <w:r>
              <w:rPr>
                <w:sz w:val="22"/>
              </w:rPr>
              <w:t xml:space="preserve"> (XIIА – 651 шт., XIIБ – 498 шт.), общая площадь </w:t>
            </w:r>
            <w:proofErr w:type="spellStart"/>
            <w:r>
              <w:rPr>
                <w:sz w:val="22"/>
              </w:rPr>
              <w:t>машиномест</w:t>
            </w:r>
            <w:proofErr w:type="spellEnd"/>
            <w:r>
              <w:rPr>
                <w:sz w:val="22"/>
              </w:rPr>
              <w:t xml:space="preserve">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(XIIА – 19 923 кв. м, XIIБ – 16 112 кв. м); строительная готовность – 100 %; количество ДДУ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с гражданами (XIIА – 55 шт., XIIБ – нет), инвестор – ООО «Брусника». Специализированный застройщик»</w:t>
            </w:r>
          </w:p>
        </w:tc>
      </w:tr>
      <w:tr w:rsidR="00DF144F" w:rsidTr="00DF144F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Вариант I</w:t>
            </w:r>
          </w:p>
        </w:tc>
      </w:tr>
      <w:tr w:rsidR="00DF144F" w:rsidTr="00DF144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Предоставление генеральному подрядчику земельного участка в соответствии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DF144F">
              <w:rPr>
                <w:sz w:val="22"/>
              </w:rPr>
              <w:t>постановлением</w:t>
            </w:r>
            <w:r>
              <w:rPr>
                <w:sz w:val="22"/>
              </w:rPr>
              <w:t xml:space="preserve"> Правительства автономного округа от 14 августа 2015 года № 270-п «О предоставлении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в Ханты-Мансийском автономном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округе – Югре земельных участков, находящихся в государственной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или муниципальной собственности, юридическим лицам в аренду без проведения торгов для размещения объектов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социально-культурного и коммунально-бытового назначения, реализации масштабных инвестиционных проектов,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в том числе с целью обеспечения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прав граждан – участников долевого строительства, пострадавших </w:t>
            </w:r>
            <w:r>
              <w:rPr>
                <w:sz w:val="22"/>
              </w:rPr>
              <w:br/>
              <w:t>от действий (бездействия) застройщиков»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ООО «Брусника». Специализированный застройщик» 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(по согласованию),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Департамент строительства автономного округа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(по согласованию),</w:t>
            </w:r>
          </w:p>
          <w:p w:rsidR="00DF144F" w:rsidRDefault="00DF144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Администрация города Сургута</w:t>
            </w:r>
          </w:p>
        </w:tc>
      </w:tr>
    </w:tbl>
    <w:p w:rsidR="00DF144F" w:rsidRDefault="00DF144F" w:rsidP="00DF144F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DF144F" w:rsidRDefault="00DF144F" w:rsidP="00DF144F">
      <w:pPr>
        <w:rPr>
          <w:rFonts w:eastAsia="Calibri" w:cs="Times New Roman"/>
        </w:rPr>
      </w:pPr>
    </w:p>
    <w:p w:rsidR="00F865B3" w:rsidRPr="00DF144F" w:rsidRDefault="00F865B3" w:rsidP="00DF144F"/>
    <w:sectPr w:rsidR="00F865B3" w:rsidRPr="00DF144F" w:rsidSect="00DF1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63" w:rsidRDefault="00B23263" w:rsidP="00DF144F">
      <w:r>
        <w:separator/>
      </w:r>
    </w:p>
  </w:endnote>
  <w:endnote w:type="continuationSeparator" w:id="0">
    <w:p w:rsidR="00B23263" w:rsidRDefault="00B23263" w:rsidP="00DF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54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54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54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63" w:rsidRDefault="00B23263" w:rsidP="00DF144F">
      <w:r>
        <w:separator/>
      </w:r>
    </w:p>
  </w:footnote>
  <w:footnote w:type="continuationSeparator" w:id="0">
    <w:p w:rsidR="00B23263" w:rsidRDefault="00B23263" w:rsidP="00DF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1047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144F" w:rsidRPr="00DF144F" w:rsidRDefault="00DF144F">
        <w:pPr>
          <w:pStyle w:val="a4"/>
          <w:jc w:val="center"/>
          <w:rPr>
            <w:sz w:val="20"/>
            <w:szCs w:val="20"/>
          </w:rPr>
        </w:pPr>
        <w:r w:rsidRPr="00DF144F">
          <w:rPr>
            <w:sz w:val="20"/>
            <w:szCs w:val="20"/>
          </w:rPr>
          <w:fldChar w:fldCharType="begin"/>
        </w:r>
        <w:r w:rsidRPr="00DF144F">
          <w:rPr>
            <w:sz w:val="20"/>
            <w:szCs w:val="20"/>
          </w:rPr>
          <w:instrText>PAGE   \* MERGEFORMAT</w:instrText>
        </w:r>
        <w:r w:rsidRPr="00DF144F">
          <w:rPr>
            <w:sz w:val="20"/>
            <w:szCs w:val="20"/>
          </w:rPr>
          <w:fldChar w:fldCharType="separate"/>
        </w:r>
        <w:r w:rsidR="005254C9">
          <w:rPr>
            <w:noProof/>
            <w:sz w:val="20"/>
            <w:szCs w:val="20"/>
          </w:rPr>
          <w:t>1</w:t>
        </w:r>
        <w:r w:rsidRPr="00DF144F">
          <w:rPr>
            <w:sz w:val="20"/>
            <w:szCs w:val="20"/>
          </w:rPr>
          <w:fldChar w:fldCharType="end"/>
        </w:r>
      </w:p>
    </w:sdtContent>
  </w:sdt>
  <w:p w:rsidR="00DF144F" w:rsidRDefault="00DF14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54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72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493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24B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54C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3080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144F" w:rsidRPr="00DF144F" w:rsidRDefault="00DF144F">
        <w:pPr>
          <w:pStyle w:val="a4"/>
          <w:jc w:val="center"/>
          <w:rPr>
            <w:sz w:val="20"/>
            <w:szCs w:val="20"/>
          </w:rPr>
        </w:pPr>
        <w:r w:rsidRPr="00DF144F">
          <w:rPr>
            <w:sz w:val="20"/>
            <w:szCs w:val="20"/>
          </w:rPr>
          <w:fldChar w:fldCharType="begin"/>
        </w:r>
        <w:r w:rsidRPr="00DF144F">
          <w:rPr>
            <w:sz w:val="20"/>
            <w:szCs w:val="20"/>
          </w:rPr>
          <w:instrText>PAGE   \* MERGEFORMAT</w:instrText>
        </w:r>
        <w:r w:rsidRPr="00DF144F">
          <w:rPr>
            <w:sz w:val="20"/>
            <w:szCs w:val="20"/>
          </w:rPr>
          <w:fldChar w:fldCharType="separate"/>
        </w:r>
        <w:r w:rsidR="0018493D">
          <w:rPr>
            <w:noProof/>
            <w:sz w:val="20"/>
            <w:szCs w:val="20"/>
          </w:rPr>
          <w:t>5</w:t>
        </w:r>
        <w:r w:rsidRPr="00DF144F">
          <w:rPr>
            <w:sz w:val="20"/>
            <w:szCs w:val="20"/>
          </w:rPr>
          <w:fldChar w:fldCharType="end"/>
        </w:r>
      </w:p>
    </w:sdtContent>
  </w:sdt>
  <w:p w:rsidR="00F37492" w:rsidRDefault="005254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4F"/>
    <w:rsid w:val="00063E68"/>
    <w:rsid w:val="00102307"/>
    <w:rsid w:val="0018493D"/>
    <w:rsid w:val="003A72E1"/>
    <w:rsid w:val="003B68BE"/>
    <w:rsid w:val="003B69A9"/>
    <w:rsid w:val="005254C9"/>
    <w:rsid w:val="0080772B"/>
    <w:rsid w:val="00924D41"/>
    <w:rsid w:val="00B23263"/>
    <w:rsid w:val="00B524B4"/>
    <w:rsid w:val="00BD4DF0"/>
    <w:rsid w:val="00DF144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15B001-A458-458B-BA87-FB1722C4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4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1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44F"/>
    <w:rPr>
      <w:rFonts w:ascii="Times New Roman" w:hAnsi="Times New Roman"/>
      <w:sz w:val="28"/>
    </w:rPr>
  </w:style>
  <w:style w:type="character" w:styleId="a8">
    <w:name w:val="page number"/>
    <w:basedOn w:val="a0"/>
    <w:rsid w:val="00DF144F"/>
  </w:style>
  <w:style w:type="character" w:styleId="a9">
    <w:name w:val="Hyperlink"/>
    <w:basedOn w:val="a0"/>
    <w:uiPriority w:val="99"/>
    <w:semiHidden/>
    <w:unhideWhenUsed/>
    <w:rsid w:val="00DF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2024-03-07T06:53:00Z</cp:lastPrinted>
  <dcterms:created xsi:type="dcterms:W3CDTF">2024-03-11T06:11:00Z</dcterms:created>
  <dcterms:modified xsi:type="dcterms:W3CDTF">2024-03-11T06:11:00Z</dcterms:modified>
</cp:coreProperties>
</file>