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AA5A19">
        <w:rPr>
          <w:rFonts w:eastAsia="Calibri"/>
          <w:szCs w:val="28"/>
        </w:rPr>
        <w:t xml:space="preserve"> 28 февраля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532DD7" w:rsidRDefault="00532DD7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505-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BA0841" w:rsidRPr="00BA0841" w:rsidRDefault="00BA0841" w:rsidP="00BA0841">
      <w:pPr>
        <w:tabs>
          <w:tab w:val="left" w:pos="709"/>
        </w:tabs>
        <w:ind w:right="5952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>Об отчёте о деятельности Контрольно-счетной палаты города Сургута за 2023 год</w:t>
      </w:r>
    </w:p>
    <w:p w:rsidR="00BA0841" w:rsidRPr="00BA0841" w:rsidRDefault="00BA0841" w:rsidP="00BA0841">
      <w:pPr>
        <w:tabs>
          <w:tab w:val="left" w:pos="709"/>
        </w:tabs>
        <w:rPr>
          <w:rFonts w:eastAsia="Calibri" w:cs="Times New Roman"/>
          <w:szCs w:val="28"/>
        </w:rPr>
      </w:pPr>
    </w:p>
    <w:p w:rsidR="00BA0841" w:rsidRPr="00BA0841" w:rsidRDefault="00BA0841" w:rsidP="00BA084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 xml:space="preserve">В соответствии со статьёй 19 Федерального закона от 07.02.2011 </w:t>
      </w:r>
      <w:r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Федерации, федеральных территорий </w:t>
      </w:r>
      <w:r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и муниципальных образований», рассмотрев представленный </w:t>
      </w:r>
      <w:r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Контрольно-счетной палатой города Сургута отчёт о деятельности за 2023 год, Дума города РЕШИЛА:</w:t>
      </w:r>
    </w:p>
    <w:p w:rsidR="00BA0841" w:rsidRPr="00BA0841" w:rsidRDefault="00BA0841" w:rsidP="00BA084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C63CA" w:rsidRDefault="00BA0841" w:rsidP="00BA0841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>Принять к сведению отчёт о деятельности Контрольно-счетной палаты города Сургута за 2023 год согласно приложению.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BA0841" w:rsidRDefault="00BA0841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532DD7">
        <w:rPr>
          <w:rFonts w:eastAsia="Times New Roman" w:cs="Times New Roman"/>
          <w:szCs w:val="20"/>
          <w:lang w:eastAsia="ru-RU"/>
        </w:rPr>
        <w:t>«</w:t>
      </w:r>
      <w:r w:rsidR="00532DD7">
        <w:rPr>
          <w:rFonts w:eastAsia="Times New Roman" w:cs="Times New Roman"/>
          <w:szCs w:val="20"/>
          <w:u w:val="single"/>
          <w:lang w:eastAsia="ru-RU"/>
        </w:rPr>
        <w:t>04</w:t>
      </w:r>
      <w:r w:rsidR="00532DD7">
        <w:rPr>
          <w:rFonts w:eastAsia="Times New Roman" w:cs="Times New Roman"/>
          <w:szCs w:val="20"/>
          <w:lang w:eastAsia="ru-RU"/>
        </w:rPr>
        <w:t xml:space="preserve">» </w:t>
      </w:r>
      <w:r w:rsidR="00532DD7">
        <w:rPr>
          <w:rFonts w:eastAsia="Times New Roman" w:cs="Times New Roman"/>
          <w:szCs w:val="20"/>
          <w:u w:val="single"/>
          <w:lang w:eastAsia="ru-RU"/>
        </w:rPr>
        <w:t>марта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BA0841" w:rsidRDefault="00BA0841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BA0841" w:rsidRDefault="00BA0841">
      <w:pPr>
        <w:spacing w:after="200" w:line="276" w:lineRule="auto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BA0841" w:rsidRPr="00BA0841" w:rsidRDefault="00532DD7" w:rsidP="00532DD7">
      <w:pPr>
        <w:ind w:left="6096" w:hanging="142"/>
        <w:jc w:val="left"/>
        <w:rPr>
          <w:rFonts w:eastAsia="Times New Roman" w:cs="Times New Roman"/>
          <w:kern w:val="28"/>
          <w:szCs w:val="28"/>
          <w:lang w:eastAsia="x-none"/>
        </w:rPr>
      </w:pPr>
      <w:r>
        <w:rPr>
          <w:rFonts w:eastAsia="Times New Roman" w:cs="Times New Roman"/>
          <w:kern w:val="28"/>
          <w:szCs w:val="28"/>
          <w:lang w:eastAsia="x-none"/>
        </w:rPr>
        <w:lastRenderedPageBreak/>
        <w:t xml:space="preserve"> </w:t>
      </w:r>
      <w:bookmarkStart w:id="0" w:name="_GoBack"/>
      <w:bookmarkEnd w:id="0"/>
      <w:r w:rsidR="00BA0841" w:rsidRPr="00BA0841">
        <w:rPr>
          <w:rFonts w:eastAsia="Times New Roman" w:cs="Times New Roman"/>
          <w:kern w:val="28"/>
          <w:szCs w:val="28"/>
          <w:lang w:eastAsia="x-none"/>
        </w:rPr>
        <w:t xml:space="preserve">Приложение </w:t>
      </w:r>
    </w:p>
    <w:p w:rsidR="00BA0841" w:rsidRPr="00BA0841" w:rsidRDefault="00532DD7" w:rsidP="00532DD7">
      <w:pPr>
        <w:ind w:left="6096" w:hanging="142"/>
        <w:jc w:val="left"/>
        <w:rPr>
          <w:rFonts w:eastAsia="Times New Roman" w:cs="Times New Roman"/>
          <w:kern w:val="28"/>
          <w:szCs w:val="28"/>
          <w:lang w:eastAsia="x-none"/>
        </w:rPr>
      </w:pPr>
      <w:r>
        <w:rPr>
          <w:rFonts w:eastAsia="Times New Roman" w:cs="Times New Roman"/>
          <w:kern w:val="28"/>
          <w:szCs w:val="28"/>
          <w:lang w:eastAsia="x-none"/>
        </w:rPr>
        <w:t xml:space="preserve"> </w:t>
      </w:r>
      <w:r w:rsidR="00BA0841" w:rsidRPr="00BA0841">
        <w:rPr>
          <w:rFonts w:eastAsia="Times New Roman" w:cs="Times New Roman"/>
          <w:kern w:val="28"/>
          <w:szCs w:val="28"/>
          <w:lang w:eastAsia="x-none"/>
        </w:rPr>
        <w:t>к решению Думы города</w:t>
      </w:r>
    </w:p>
    <w:p w:rsidR="00BA0841" w:rsidRPr="00532DD7" w:rsidRDefault="00532DD7" w:rsidP="00532DD7">
      <w:pPr>
        <w:ind w:left="6096" w:hanging="142"/>
        <w:jc w:val="left"/>
        <w:rPr>
          <w:rFonts w:eastAsia="Times New Roman" w:cs="Times New Roman"/>
          <w:kern w:val="28"/>
          <w:szCs w:val="28"/>
          <w:u w:val="single"/>
          <w:lang w:eastAsia="x-none"/>
        </w:rPr>
      </w:pPr>
      <w:r>
        <w:rPr>
          <w:rFonts w:eastAsia="Times New Roman" w:cs="Times New Roman"/>
          <w:kern w:val="28"/>
          <w:szCs w:val="28"/>
          <w:lang w:eastAsia="x-none"/>
        </w:rPr>
        <w:t xml:space="preserve"> от </w:t>
      </w:r>
      <w:r>
        <w:rPr>
          <w:rFonts w:eastAsia="Times New Roman" w:cs="Times New Roman"/>
          <w:kern w:val="28"/>
          <w:szCs w:val="28"/>
          <w:u w:val="single"/>
          <w:lang w:eastAsia="x-none"/>
        </w:rPr>
        <w:t>04.03.2024</w:t>
      </w:r>
      <w:r>
        <w:rPr>
          <w:rFonts w:eastAsia="Times New Roman" w:cs="Times New Roman"/>
          <w:kern w:val="28"/>
          <w:szCs w:val="28"/>
          <w:lang w:eastAsia="x-none"/>
        </w:rPr>
        <w:t xml:space="preserve"> № </w:t>
      </w:r>
      <w:r>
        <w:rPr>
          <w:rFonts w:eastAsia="Times New Roman" w:cs="Times New Roman"/>
          <w:kern w:val="28"/>
          <w:szCs w:val="28"/>
          <w:u w:val="single"/>
          <w:lang w:eastAsia="x-none"/>
        </w:rPr>
        <w:t>505-</w:t>
      </w:r>
      <w:r>
        <w:rPr>
          <w:rFonts w:eastAsia="Times New Roman" w:cs="Times New Roman"/>
          <w:kern w:val="28"/>
          <w:szCs w:val="28"/>
          <w:u w:val="single"/>
          <w:lang w:val="en-US" w:eastAsia="x-none"/>
        </w:rPr>
        <w:t xml:space="preserve">VII </w:t>
      </w:r>
      <w:r>
        <w:rPr>
          <w:rFonts w:eastAsia="Times New Roman" w:cs="Times New Roman"/>
          <w:kern w:val="28"/>
          <w:szCs w:val="28"/>
          <w:u w:val="single"/>
          <w:lang w:eastAsia="x-none"/>
        </w:rPr>
        <w:t>ДГ</w:t>
      </w:r>
    </w:p>
    <w:p w:rsidR="00BA0841" w:rsidRPr="00BA0841" w:rsidRDefault="00BA0841" w:rsidP="00BA0841">
      <w:pPr>
        <w:jc w:val="center"/>
        <w:rPr>
          <w:rFonts w:eastAsia="Times New Roman" w:cs="Times New Roman"/>
          <w:kern w:val="28"/>
          <w:szCs w:val="28"/>
          <w:lang w:eastAsia="x-none"/>
        </w:rPr>
      </w:pPr>
    </w:p>
    <w:p w:rsidR="00BA0841" w:rsidRPr="004E0CF1" w:rsidRDefault="00BA0841" w:rsidP="00BA0841">
      <w:pPr>
        <w:jc w:val="center"/>
        <w:rPr>
          <w:rFonts w:eastAsia="Times New Roman" w:cs="Times New Roman"/>
          <w:kern w:val="28"/>
          <w:szCs w:val="28"/>
          <w:lang w:eastAsia="x-none"/>
        </w:rPr>
      </w:pPr>
      <w:r w:rsidRPr="004E0CF1">
        <w:rPr>
          <w:rFonts w:eastAsia="Times New Roman" w:cs="Times New Roman"/>
          <w:kern w:val="28"/>
          <w:szCs w:val="28"/>
          <w:lang w:eastAsia="x-none"/>
        </w:rPr>
        <w:t>Отчёт о деятельности</w:t>
      </w:r>
    </w:p>
    <w:p w:rsidR="00BA0841" w:rsidRPr="004E0CF1" w:rsidRDefault="00BA0841" w:rsidP="00BA0841">
      <w:pPr>
        <w:jc w:val="center"/>
        <w:rPr>
          <w:rFonts w:eastAsia="Times New Roman" w:cs="Times New Roman"/>
          <w:bCs/>
          <w:kern w:val="28"/>
          <w:szCs w:val="28"/>
          <w:lang w:val="x-none" w:eastAsia="x-none"/>
        </w:rPr>
      </w:pPr>
      <w:r w:rsidRPr="004E0CF1">
        <w:rPr>
          <w:rFonts w:eastAsia="Times New Roman" w:cs="Times New Roman"/>
          <w:kern w:val="28"/>
          <w:szCs w:val="28"/>
          <w:lang w:val="x-none" w:eastAsia="x-none"/>
        </w:rPr>
        <w:t>Контрольно-счетной палаты города Сургута за 20</w:t>
      </w:r>
      <w:r w:rsidRPr="004E0CF1">
        <w:rPr>
          <w:rFonts w:eastAsia="Times New Roman" w:cs="Times New Roman"/>
          <w:kern w:val="28"/>
          <w:szCs w:val="28"/>
          <w:lang w:eastAsia="x-none"/>
        </w:rPr>
        <w:t>23</w:t>
      </w:r>
      <w:r w:rsidRPr="004E0CF1">
        <w:rPr>
          <w:rFonts w:eastAsia="Times New Roman" w:cs="Times New Roman"/>
          <w:kern w:val="28"/>
          <w:szCs w:val="28"/>
          <w:lang w:val="x-none" w:eastAsia="x-none"/>
        </w:rPr>
        <w:t xml:space="preserve"> год</w:t>
      </w:r>
    </w:p>
    <w:p w:rsidR="00BA0841" w:rsidRPr="00BA0841" w:rsidRDefault="00BA0841" w:rsidP="00BA0841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BA0841" w:rsidRPr="00BA0841" w:rsidRDefault="00BA0841" w:rsidP="00BA0841">
      <w:pPr>
        <w:ind w:firstLine="709"/>
        <w:rPr>
          <w:rFonts w:eastAsia="Times New Roman" w:cs="Times New Roman"/>
          <w:szCs w:val="28"/>
          <w:lang w:eastAsia="ru-RU"/>
        </w:rPr>
      </w:pPr>
      <w:r w:rsidRPr="00BA0841">
        <w:rPr>
          <w:rFonts w:eastAsia="Times New Roman" w:cs="Times New Roman"/>
          <w:bCs/>
          <w:szCs w:val="28"/>
          <w:lang w:eastAsia="ru-RU"/>
        </w:rPr>
        <w:t xml:space="preserve">Отчёт о деятельности Контрольно-счетной палаты города Сургута (далее – Контрольно-счетная палата, КСП) за 2023 год подготовлен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BA0841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r w:rsidRPr="00BA0841">
        <w:rPr>
          <w:rFonts w:eastAsia="Times New Roman" w:cs="Times New Roman"/>
          <w:szCs w:val="28"/>
          <w:lang w:eastAsia="ru-RU"/>
        </w:rPr>
        <w:t xml:space="preserve">Федеральным законом от 07.02.2011 № 6-ФЗ «Об общих принципах организации и деятельности контрольно-счетных органов субъектов Российской Федерации, федеральных территорий </w:t>
      </w:r>
      <w:r>
        <w:rPr>
          <w:rFonts w:eastAsia="Times New Roman" w:cs="Times New Roman"/>
          <w:szCs w:val="28"/>
          <w:lang w:eastAsia="ru-RU"/>
        </w:rPr>
        <w:br/>
      </w:r>
      <w:r w:rsidRPr="00BA0841">
        <w:rPr>
          <w:rFonts w:eastAsia="Times New Roman" w:cs="Times New Roman"/>
          <w:szCs w:val="28"/>
          <w:lang w:eastAsia="ru-RU"/>
        </w:rPr>
        <w:t>и муниципальных образований»</w:t>
      </w:r>
      <w:r w:rsidRPr="00BA0841">
        <w:rPr>
          <w:rFonts w:eastAsia="Times New Roman" w:cs="Times New Roman"/>
          <w:bCs/>
          <w:szCs w:val="28"/>
          <w:lang w:eastAsia="ru-RU"/>
        </w:rPr>
        <w:t xml:space="preserve"> (далее</w:t>
      </w:r>
      <w:r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BA0841">
        <w:rPr>
          <w:rFonts w:eastAsia="Times New Roman" w:cs="Times New Roman"/>
          <w:bCs/>
          <w:szCs w:val="28"/>
          <w:lang w:eastAsia="ru-RU"/>
        </w:rPr>
        <w:t>Закон № 6-ФЗ)</w:t>
      </w:r>
      <w:r w:rsidRPr="00BA0841">
        <w:rPr>
          <w:rFonts w:eastAsia="Times New Roman" w:cs="Times New Roman"/>
          <w:szCs w:val="28"/>
          <w:lang w:eastAsia="ru-RU"/>
        </w:rPr>
        <w:t xml:space="preserve">, </w:t>
      </w:r>
      <w:r w:rsidRPr="00BA0841">
        <w:rPr>
          <w:rFonts w:eastAsia="Times New Roman" w:cs="Times New Roman"/>
          <w:bCs/>
          <w:szCs w:val="28"/>
          <w:lang w:eastAsia="ru-RU"/>
        </w:rPr>
        <w:t xml:space="preserve">Положением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BA0841">
        <w:rPr>
          <w:rFonts w:eastAsia="Times New Roman" w:cs="Times New Roman"/>
          <w:bCs/>
          <w:szCs w:val="28"/>
          <w:lang w:eastAsia="ru-RU"/>
        </w:rPr>
        <w:t>о Контрольно-счетной палате города, утверждённым решением Думы города от 27.02.2007 № 170-</w:t>
      </w:r>
      <w:r w:rsidRPr="00BA0841">
        <w:rPr>
          <w:rFonts w:eastAsia="Times New Roman" w:cs="Times New Roman"/>
          <w:bCs/>
          <w:szCs w:val="28"/>
          <w:lang w:val="en-US" w:eastAsia="ru-RU"/>
        </w:rPr>
        <w:t>IV</w:t>
      </w:r>
      <w:r w:rsidRPr="00BA0841">
        <w:rPr>
          <w:rFonts w:eastAsia="Times New Roman" w:cs="Times New Roman"/>
          <w:bCs/>
          <w:szCs w:val="28"/>
          <w:lang w:eastAsia="ru-RU"/>
        </w:rPr>
        <w:t> ДГ (далее – Положение № 170-</w:t>
      </w:r>
      <w:r w:rsidRPr="00BA0841">
        <w:rPr>
          <w:rFonts w:eastAsia="Times New Roman" w:cs="Times New Roman"/>
          <w:bCs/>
          <w:szCs w:val="28"/>
          <w:lang w:val="en-US" w:eastAsia="ru-RU"/>
        </w:rPr>
        <w:t>IV</w:t>
      </w:r>
      <w:r w:rsidRPr="00BA0841">
        <w:rPr>
          <w:rFonts w:eastAsia="Times New Roman" w:cs="Times New Roman"/>
          <w:bCs/>
          <w:szCs w:val="28"/>
          <w:lang w:eastAsia="ru-RU"/>
        </w:rPr>
        <w:t> ДГ)</w:t>
      </w:r>
      <w:r w:rsidRPr="00BA0841">
        <w:rPr>
          <w:rFonts w:eastAsia="Times New Roman" w:cs="Times New Roman"/>
          <w:szCs w:val="28"/>
          <w:lang w:eastAsia="ru-RU"/>
        </w:rPr>
        <w:t>.</w:t>
      </w:r>
    </w:p>
    <w:p w:rsidR="00BA0841" w:rsidRPr="00BA0841" w:rsidRDefault="00BA0841" w:rsidP="00BA0841">
      <w:pPr>
        <w:ind w:firstLine="709"/>
        <w:rPr>
          <w:rFonts w:eastAsia="Times New Roman" w:cs="Times New Roman"/>
          <w:szCs w:val="28"/>
          <w:lang w:eastAsia="ru-RU"/>
        </w:rPr>
      </w:pPr>
    </w:p>
    <w:p w:rsidR="00BA0841" w:rsidRPr="004E0CF1" w:rsidRDefault="00BA0841" w:rsidP="00BA0841">
      <w:pPr>
        <w:jc w:val="center"/>
        <w:rPr>
          <w:rFonts w:eastAsia="Times New Roman" w:cs="Times New Roman"/>
          <w:szCs w:val="28"/>
          <w:lang w:eastAsia="ru-RU"/>
        </w:rPr>
      </w:pPr>
      <w:r w:rsidRPr="004E0CF1">
        <w:rPr>
          <w:rFonts w:eastAsia="Times New Roman" w:cs="Times New Roman"/>
          <w:szCs w:val="28"/>
          <w:lang w:eastAsia="ru-RU"/>
        </w:rPr>
        <w:t>1. Основные положения</w:t>
      </w:r>
    </w:p>
    <w:p w:rsidR="00BA0841" w:rsidRPr="00BA0841" w:rsidRDefault="00BA0841" w:rsidP="00BA0841">
      <w:pPr>
        <w:rPr>
          <w:rFonts w:eastAsia="Times New Roman" w:cs="Times New Roman"/>
          <w:bCs/>
          <w:szCs w:val="28"/>
          <w:lang w:eastAsia="ru-RU"/>
        </w:rPr>
      </w:pPr>
    </w:p>
    <w:p w:rsidR="00BA0841" w:rsidRPr="00BA0841" w:rsidRDefault="00BA0841" w:rsidP="00BA0841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BA0841">
        <w:rPr>
          <w:rFonts w:eastAsia="Times New Roman" w:cs="Times New Roman"/>
          <w:bCs/>
          <w:szCs w:val="28"/>
          <w:lang w:eastAsia="ru-RU"/>
        </w:rPr>
        <w:t>1.1. Задачи и функции.</w:t>
      </w:r>
    </w:p>
    <w:p w:rsidR="00BA0841" w:rsidRPr="00BA0841" w:rsidRDefault="00BA0841" w:rsidP="00BA0841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BA0841">
        <w:rPr>
          <w:rFonts w:eastAsia="Times New Roman" w:cs="Times New Roman"/>
          <w:bCs/>
          <w:szCs w:val="28"/>
          <w:lang w:eastAsia="ru-RU"/>
        </w:rPr>
        <w:t>Муниципальный финансовый контроль является одним из средств реализации государственной политики и инструментом государства, обеспечивающим повышение эффективности использования бюджетных средств и муниципальных ресурсов в целом</w:t>
      </w:r>
      <w:r w:rsidR="001904EA">
        <w:rPr>
          <w:rFonts w:eastAsia="Times New Roman" w:cs="Times New Roman"/>
          <w:bCs/>
          <w:szCs w:val="28"/>
          <w:lang w:eastAsia="ru-RU"/>
        </w:rPr>
        <w:t xml:space="preserve"> </w:t>
      </w:r>
      <w:r w:rsidRPr="00BA0841">
        <w:rPr>
          <w:rFonts w:eastAsia="Times New Roman" w:cs="Times New Roman"/>
          <w:bCs/>
          <w:szCs w:val="28"/>
          <w:lang w:eastAsia="ru-RU"/>
        </w:rPr>
        <w:t>и, как следствие, стабильность социально-экономического развития.</w:t>
      </w:r>
    </w:p>
    <w:p w:rsidR="00BA0841" w:rsidRPr="00BA0841" w:rsidRDefault="00BA0841" w:rsidP="00BA0841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BA0841">
        <w:rPr>
          <w:rFonts w:eastAsia="Times New Roman" w:cs="Times New Roman"/>
          <w:bCs/>
          <w:szCs w:val="28"/>
          <w:lang w:eastAsia="ru-RU"/>
        </w:rPr>
        <w:t>Функции внешнего муниципального финансового контроля охватывают финансовые отношения муниципального уровня в процессе формирования, распределения и расходования бюджетных средств.</w:t>
      </w:r>
    </w:p>
    <w:p w:rsidR="00BA0841" w:rsidRPr="00BA0841" w:rsidRDefault="00BA0841" w:rsidP="00BA0841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BA0841">
        <w:rPr>
          <w:rFonts w:eastAsia="Times New Roman" w:cs="Times New Roman"/>
          <w:bCs/>
          <w:szCs w:val="28"/>
          <w:lang w:eastAsia="ru-RU"/>
        </w:rPr>
        <w:t xml:space="preserve">Основные задачи Контрольно-счетной палаты в отчётном периоде заключались в контроле за соблюдением установленного порядка подготовки и рассмотрения проекта бюджета города, отчёта о его исполнении, а также </w:t>
      </w:r>
      <w:r w:rsidR="001904EA">
        <w:rPr>
          <w:rFonts w:eastAsia="Times New Roman" w:cs="Times New Roman"/>
          <w:bCs/>
          <w:szCs w:val="28"/>
          <w:lang w:eastAsia="ru-RU"/>
        </w:rPr>
        <w:br/>
      </w:r>
      <w:r w:rsidRPr="00BA0841">
        <w:rPr>
          <w:rFonts w:eastAsia="Times New Roman" w:cs="Times New Roman"/>
          <w:bCs/>
          <w:szCs w:val="28"/>
          <w:lang w:eastAsia="ru-RU"/>
        </w:rPr>
        <w:t>в проверке законности и результативности использования средств местного бюджета и муниципальной собственности.</w:t>
      </w:r>
    </w:p>
    <w:p w:rsidR="00BA0841" w:rsidRPr="00BA0841" w:rsidRDefault="00BA0841" w:rsidP="00BA0841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BA0841">
        <w:rPr>
          <w:rFonts w:eastAsia="Times New Roman" w:cs="Times New Roman"/>
          <w:bCs/>
          <w:szCs w:val="28"/>
          <w:lang w:eastAsia="ru-RU"/>
        </w:rPr>
        <w:t>1.2. Основные направления деятельности.</w:t>
      </w:r>
    </w:p>
    <w:p w:rsidR="00BA0841" w:rsidRPr="00BA0841" w:rsidRDefault="00BA0841" w:rsidP="00BA0841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BA0841">
        <w:rPr>
          <w:rFonts w:eastAsia="Times New Roman" w:cs="Times New Roman"/>
          <w:bCs/>
          <w:szCs w:val="28"/>
          <w:lang w:eastAsia="ru-RU"/>
        </w:rPr>
        <w:t>В соответствии со статьёй 10 Закона № 6-ФЗ, статьёй 10 Положения</w:t>
      </w:r>
      <w:r w:rsidRPr="00BA0841">
        <w:rPr>
          <w:rFonts w:eastAsia="Times New Roman" w:cs="Times New Roman"/>
          <w:bCs/>
          <w:szCs w:val="28"/>
          <w:lang w:eastAsia="ru-RU"/>
        </w:rPr>
        <w:br/>
        <w:t>№ 170-</w:t>
      </w:r>
      <w:r w:rsidRPr="00BA0841">
        <w:rPr>
          <w:rFonts w:eastAsia="Times New Roman" w:cs="Times New Roman"/>
          <w:bCs/>
          <w:szCs w:val="28"/>
          <w:lang w:val="en-US" w:eastAsia="ru-RU"/>
        </w:rPr>
        <w:t>IV</w:t>
      </w:r>
      <w:r w:rsidRPr="00BA0841">
        <w:rPr>
          <w:rFonts w:eastAsia="Times New Roman" w:cs="Times New Roman"/>
          <w:bCs/>
          <w:szCs w:val="28"/>
          <w:lang w:eastAsia="ru-RU"/>
        </w:rPr>
        <w:t> ДГ внешний муниципальный финансовый контроль осуществляется в форме контрольных и экспертно-аналитических мероприятий.</w:t>
      </w:r>
    </w:p>
    <w:p w:rsidR="00BA0841" w:rsidRPr="00BA0841" w:rsidRDefault="00BA0841" w:rsidP="00BA0841">
      <w:pPr>
        <w:widowControl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BA0841">
        <w:rPr>
          <w:rFonts w:eastAsia="Times New Roman" w:cs="Times New Roman"/>
          <w:bCs/>
          <w:szCs w:val="28"/>
          <w:lang w:eastAsia="ru-RU"/>
        </w:rPr>
        <w:t xml:space="preserve">В числе основных задач, на решение которых были направлены внимание и усилия Контрольно-счетной палаты в 2023 году, – обеспечение предварительного и последующего контроля в соответствии со статьёй </w:t>
      </w:r>
      <w:r w:rsidR="001904EA">
        <w:rPr>
          <w:rFonts w:eastAsia="Times New Roman" w:cs="Times New Roman"/>
          <w:bCs/>
          <w:szCs w:val="28"/>
          <w:lang w:eastAsia="ru-RU"/>
        </w:rPr>
        <w:br/>
      </w:r>
      <w:r w:rsidRPr="00BA0841">
        <w:rPr>
          <w:rFonts w:eastAsia="Times New Roman" w:cs="Times New Roman"/>
          <w:bCs/>
          <w:szCs w:val="28"/>
          <w:lang w:eastAsia="ru-RU"/>
        </w:rPr>
        <w:t>265 Бюджетного кодекса РФ (далее</w:t>
      </w:r>
      <w:r w:rsidR="001904EA">
        <w:rPr>
          <w:rFonts w:eastAsia="Times New Roman" w:cs="Times New Roman"/>
          <w:bCs/>
          <w:szCs w:val="28"/>
          <w:lang w:eastAsia="ru-RU"/>
        </w:rPr>
        <w:t xml:space="preserve"> </w:t>
      </w:r>
      <w:r w:rsidRPr="00BA0841">
        <w:rPr>
          <w:rFonts w:eastAsia="Times New Roman" w:cs="Times New Roman"/>
          <w:bCs/>
          <w:szCs w:val="28"/>
          <w:lang w:eastAsia="ru-RU"/>
        </w:rPr>
        <w:t>– БК</w:t>
      </w:r>
      <w:r w:rsidR="001904EA" w:rsidRPr="00BA0841">
        <w:rPr>
          <w:rFonts w:eastAsia="Times New Roman" w:cs="Times New Roman"/>
          <w:bCs/>
          <w:szCs w:val="28"/>
          <w:lang w:eastAsia="ru-RU"/>
        </w:rPr>
        <w:t> </w:t>
      </w:r>
      <w:r w:rsidRPr="00BA0841">
        <w:rPr>
          <w:rFonts w:eastAsia="Times New Roman" w:cs="Times New Roman"/>
          <w:bCs/>
          <w:szCs w:val="28"/>
          <w:lang w:eastAsia="ru-RU"/>
        </w:rPr>
        <w:t>РФ), контроль в сферах муниципального управления, городского хозяйства и строительства, социальной сфере, аудит в сфере закупок.</w:t>
      </w:r>
    </w:p>
    <w:p w:rsidR="00BA0841" w:rsidRPr="00BA0841" w:rsidRDefault="00BA0841" w:rsidP="001904EA">
      <w:pPr>
        <w:widowControl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BA0841">
        <w:rPr>
          <w:rFonts w:eastAsia="Times New Roman" w:cs="Times New Roman"/>
          <w:bCs/>
          <w:szCs w:val="28"/>
          <w:lang w:eastAsia="ru-RU"/>
        </w:rPr>
        <w:t xml:space="preserve">В отчётном периоде контрольные и экспертно-аналитические </w:t>
      </w:r>
      <w:r w:rsidRPr="00BA0841">
        <w:rPr>
          <w:rFonts w:eastAsia="Times New Roman" w:cs="Times New Roman"/>
          <w:bCs/>
          <w:szCs w:val="28"/>
          <w:lang w:eastAsia="ru-RU"/>
        </w:rPr>
        <w:lastRenderedPageBreak/>
        <w:t xml:space="preserve">мероприятия проводились в Администрации города и её структурных подразделениях, в учреждениях и организациях, получивших средства </w:t>
      </w:r>
      <w:r w:rsidR="001904EA">
        <w:rPr>
          <w:rFonts w:eastAsia="Times New Roman" w:cs="Times New Roman"/>
          <w:bCs/>
          <w:szCs w:val="28"/>
          <w:lang w:eastAsia="ru-RU"/>
        </w:rPr>
        <w:br/>
      </w:r>
      <w:r w:rsidRPr="00BA0841">
        <w:rPr>
          <w:rFonts w:eastAsia="Times New Roman" w:cs="Times New Roman"/>
          <w:bCs/>
          <w:szCs w:val="28"/>
          <w:lang w:eastAsia="ru-RU"/>
        </w:rPr>
        <w:t>из городского бюджета, а также использующих муниципальное имущество или земельные участки, расположенные на территории города, в том числе государственная собственность на которые не разграничена.</w:t>
      </w:r>
    </w:p>
    <w:p w:rsidR="00BA0841" w:rsidRPr="00BA0841" w:rsidRDefault="00BA0841" w:rsidP="00BA0841">
      <w:pPr>
        <w:widowControl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BA0841">
        <w:rPr>
          <w:rFonts w:eastAsia="Times New Roman" w:cs="Times New Roman"/>
          <w:bCs/>
          <w:szCs w:val="28"/>
          <w:lang w:eastAsia="ru-RU"/>
        </w:rPr>
        <w:t>1.3. Основные итоги работы в 2023 году.</w:t>
      </w:r>
    </w:p>
    <w:p w:rsidR="00BA0841" w:rsidRPr="00BA0841" w:rsidRDefault="00BA0841" w:rsidP="00BA0841">
      <w:pPr>
        <w:widowControl w:val="0"/>
        <w:ind w:firstLine="709"/>
        <w:rPr>
          <w:rFonts w:eastAsia="Times New Roman" w:cs="Times New Roman"/>
          <w:spacing w:val="6"/>
          <w:szCs w:val="28"/>
          <w:lang w:eastAsia="ru-RU"/>
        </w:rPr>
      </w:pPr>
      <w:r w:rsidRPr="00BA0841">
        <w:rPr>
          <w:rFonts w:eastAsia="Times New Roman" w:cs="Times New Roman"/>
          <w:spacing w:val="6"/>
          <w:szCs w:val="28"/>
          <w:lang w:eastAsia="ru-RU"/>
        </w:rPr>
        <w:t>Контрольно-счетной палатой проведено:</w:t>
      </w:r>
    </w:p>
    <w:p w:rsidR="00BA0841" w:rsidRPr="00BA0841" w:rsidRDefault="00BA0841" w:rsidP="00BA0841">
      <w:pPr>
        <w:widowControl w:val="0"/>
        <w:tabs>
          <w:tab w:val="left" w:pos="0"/>
        </w:tabs>
        <w:ind w:firstLine="709"/>
        <w:rPr>
          <w:rFonts w:eastAsia="Times New Roman" w:cs="Times New Roman"/>
          <w:spacing w:val="6"/>
          <w:szCs w:val="28"/>
          <w:lang w:eastAsia="ru-RU"/>
        </w:rPr>
      </w:pPr>
      <w:r w:rsidRPr="00BA0841">
        <w:rPr>
          <w:rFonts w:eastAsia="Times New Roman" w:cs="Times New Roman"/>
          <w:szCs w:val="28"/>
          <w:lang w:eastAsia="ru-RU"/>
        </w:rPr>
        <w:t>1)</w:t>
      </w:r>
      <w:r w:rsidRPr="00BA0841">
        <w:rPr>
          <w:rFonts w:eastAsia="Times New Roman" w:cs="Times New Roman"/>
          <w:spacing w:val="6"/>
          <w:szCs w:val="28"/>
          <w:lang w:eastAsia="ru-RU"/>
        </w:rPr>
        <w:t> 15 контрольных мероприятий;</w:t>
      </w:r>
    </w:p>
    <w:p w:rsidR="00BA0841" w:rsidRPr="00BA0841" w:rsidRDefault="00BA0841" w:rsidP="00BA0841">
      <w:pPr>
        <w:widowControl w:val="0"/>
        <w:ind w:firstLine="708"/>
        <w:rPr>
          <w:rFonts w:eastAsia="Times New Roman" w:cs="Times New Roman"/>
          <w:spacing w:val="6"/>
          <w:szCs w:val="28"/>
          <w:lang w:eastAsia="ru-RU"/>
        </w:rPr>
      </w:pPr>
      <w:r w:rsidRPr="00BA0841">
        <w:rPr>
          <w:rFonts w:eastAsia="Times New Roman" w:cs="Times New Roman"/>
          <w:spacing w:val="6"/>
          <w:szCs w:val="28"/>
          <w:lang w:eastAsia="ru-RU"/>
        </w:rPr>
        <w:t>2) 106</w:t>
      </w:r>
      <w:r w:rsidRPr="00BA0841">
        <w:rPr>
          <w:rFonts w:eastAsia="Calibri" w:cs="Times New Roman"/>
          <w:szCs w:val="28"/>
        </w:rPr>
        <w:t> экспертно-аналитических мероприятий, в том числе подготовлено 83 заключения на проекты муниципальных правовых актов, проведено 12 экспертиз муниципальных программ и 11 тематических экспертно-аналитических мероприятий</w:t>
      </w:r>
      <w:r w:rsidRPr="00BA0841">
        <w:rPr>
          <w:rFonts w:eastAsia="Times New Roman" w:cs="Times New Roman"/>
          <w:spacing w:val="6"/>
          <w:szCs w:val="28"/>
          <w:lang w:eastAsia="ru-RU"/>
        </w:rPr>
        <w:t>.</w:t>
      </w:r>
    </w:p>
    <w:p w:rsidR="00BA0841" w:rsidRPr="00BA0841" w:rsidRDefault="00BA0841" w:rsidP="00BA0841">
      <w:pPr>
        <w:ind w:firstLine="708"/>
        <w:rPr>
          <w:rFonts w:eastAsia="Times New Roman" w:cs="Times New Roman"/>
          <w:spacing w:val="6"/>
          <w:szCs w:val="28"/>
          <w:lang w:eastAsia="ru-RU"/>
        </w:rPr>
      </w:pPr>
      <w:r w:rsidRPr="00BA0841">
        <w:rPr>
          <w:rFonts w:eastAsia="Times New Roman" w:cs="Times New Roman"/>
          <w:spacing w:val="6"/>
          <w:szCs w:val="28"/>
          <w:lang w:eastAsia="ru-RU"/>
        </w:rPr>
        <w:t>Кроме того, в 2023 году начаты 2 контрольных мероприятия, результаты которых будут сформированы и включены в отчёт следующего года (переходящие на 2024 год).</w:t>
      </w:r>
    </w:p>
    <w:p w:rsidR="00BA0841" w:rsidRPr="00BA0841" w:rsidRDefault="00BA0841" w:rsidP="00BA0841">
      <w:pPr>
        <w:ind w:firstLine="709"/>
        <w:rPr>
          <w:rFonts w:eastAsia="Times New Roman" w:cs="Times New Roman"/>
          <w:szCs w:val="28"/>
          <w:lang w:eastAsia="ru-RU"/>
        </w:rPr>
      </w:pPr>
    </w:p>
    <w:p w:rsidR="00BA0841" w:rsidRPr="00BA0841" w:rsidRDefault="00BA0841" w:rsidP="00BA0841">
      <w:pPr>
        <w:ind w:firstLine="709"/>
        <w:rPr>
          <w:rFonts w:eastAsia="Times New Roman" w:cs="Times New Roman"/>
          <w:szCs w:val="28"/>
          <w:lang w:eastAsia="ru-RU"/>
        </w:rPr>
      </w:pPr>
      <w:r w:rsidRPr="00BA0841">
        <w:rPr>
          <w:rFonts w:eastAsia="Times New Roman" w:cs="Times New Roman"/>
          <w:szCs w:val="28"/>
          <w:lang w:eastAsia="ru-RU"/>
        </w:rPr>
        <w:t>Основные показатели, характеризующие деятельность Контрольно-счетной палаты за 2023 год, приведены в таблице 1.</w:t>
      </w:r>
    </w:p>
    <w:p w:rsidR="00BA0841" w:rsidRPr="00BC19D5" w:rsidRDefault="00BA0841" w:rsidP="00BA0841">
      <w:pPr>
        <w:widowControl w:val="0"/>
        <w:ind w:right="-2" w:firstLine="709"/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 w:rsidRPr="00BC19D5">
        <w:rPr>
          <w:rFonts w:eastAsia="Times New Roman" w:cs="Times New Roman"/>
          <w:bCs/>
          <w:sz w:val="26"/>
          <w:szCs w:val="26"/>
          <w:lang w:eastAsia="ru-RU"/>
        </w:rPr>
        <w:t>Таблица 1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08"/>
        <w:gridCol w:w="1674"/>
      </w:tblGrid>
      <w:tr w:rsidR="00BA0841" w:rsidRPr="00BA0841" w:rsidTr="00AA5A19">
        <w:trPr>
          <w:trHeight w:val="470"/>
          <w:tblHeader/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Штатная численность, человек</w:t>
            </w:r>
          </w:p>
        </w:tc>
        <w:tc>
          <w:tcPr>
            <w:tcW w:w="1553" w:type="dxa"/>
            <w:vAlign w:val="bottom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Проведено экспертно-аналитических мероприятий, ед.</w:t>
            </w:r>
          </w:p>
        </w:tc>
        <w:tc>
          <w:tcPr>
            <w:tcW w:w="1553" w:type="dxa"/>
            <w:vAlign w:val="bottom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Проведено контрольных мероприятий без учёта проверок, проведённых по заданию правоохранительных и надзорных органов, ед.</w:t>
            </w:r>
          </w:p>
        </w:tc>
        <w:tc>
          <w:tcPr>
            <w:tcW w:w="1553" w:type="dxa"/>
            <w:vAlign w:val="bottom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Проведено проверок по заданию правоохранительных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и надзорных органов, ед.</w:t>
            </w:r>
          </w:p>
        </w:tc>
        <w:tc>
          <w:tcPr>
            <w:tcW w:w="1553" w:type="dxa"/>
            <w:vAlign w:val="bottom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Объём средств, охваченных проверкой в рамках предварительного контроля, тыс. рублей, в том числе: </w:t>
            </w:r>
          </w:p>
        </w:tc>
        <w:tc>
          <w:tcPr>
            <w:tcW w:w="1553" w:type="dxa"/>
            <w:vAlign w:val="bottom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42 861 004,05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экспертизы изменений и дополнений в бюджет города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на текущий (отчётный) год</w:t>
            </w:r>
          </w:p>
        </w:tc>
        <w:tc>
          <w:tcPr>
            <w:tcW w:w="1553" w:type="dxa"/>
            <w:vAlign w:val="bottom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1 073,95</w:t>
            </w:r>
            <w:r w:rsidRPr="00BA0841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в рамках экспертизы проекта бюджета города на очередной год</w:t>
            </w:r>
          </w:p>
        </w:tc>
        <w:tc>
          <w:tcPr>
            <w:tcW w:w="1553" w:type="dxa"/>
            <w:vAlign w:val="bottom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42 859 930,10</w:t>
            </w:r>
            <w:r w:rsidRPr="00BA0841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Объём средств, охваченных проверкой в рамках последующего контроля, тыс. рублей, в том числе:</w:t>
            </w:r>
          </w:p>
        </w:tc>
        <w:tc>
          <w:tcPr>
            <w:tcW w:w="1553" w:type="dxa"/>
            <w:vAlign w:val="bottom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73 313 176,38</w:t>
            </w:r>
          </w:p>
        </w:tc>
      </w:tr>
      <w:tr w:rsidR="00BA0841" w:rsidRPr="00BA0841" w:rsidTr="00E7357D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проведении внешней проверки годового отчёта об исполнении бюджета </w:t>
            </w:r>
          </w:p>
        </w:tc>
        <w:tc>
          <w:tcPr>
            <w:tcW w:w="1553" w:type="dxa"/>
            <w:vAlign w:val="bottom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37 326 203,40</w:t>
            </w:r>
            <w:r w:rsidRPr="00BA084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A0841" w:rsidRPr="00BA0841" w:rsidTr="00E7357D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экспертизы квартальных отчётов об исполнении бюджета города (оперативный анализ исполнения бюджета)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за текущий (отчётный) год</w:t>
            </w:r>
          </w:p>
        </w:tc>
        <w:tc>
          <w:tcPr>
            <w:tcW w:w="1553" w:type="dxa"/>
            <w:vAlign w:val="bottom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25 367 863,80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контрольных и экспертно-аналитических мероприятий, </w:t>
            </w:r>
            <w:r w:rsidR="00AA5A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10 619 109,18</w:t>
            </w:r>
            <w:r w:rsidRPr="00BA0841">
              <w:rPr>
                <w:rFonts w:eastAsia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объём проверенных бюджетных средств и средств, полученных </w:t>
            </w:r>
            <w:r w:rsidR="00AA5A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из бюджета в виде субсидий (без учёта доходов от приносящей доход деятельности бюджетных и автономных учреждений, собственных средств МУП)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6 369 313,37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Объём средств, проверенных по заданию правоохранительных </w:t>
            </w:r>
            <w:r w:rsidR="00AA5A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и надзорных органов, тыс. рублей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39 321,75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Выявлено недостатков и нарушений (тыс. рублей),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9 937 332,22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по результатам контрольных мероприятий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9 204 048,63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по результатам экспертно-аналитических мероприятий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733 283,59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Из недостатков и нарушений по стр.</w:t>
            </w:r>
            <w:r w:rsidR="00BC19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BC19D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подлежащие устранению (тыс. рублей)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1 113 075,63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widowControl w:val="0"/>
              <w:tabs>
                <w:tab w:val="left" w:pos="6694"/>
                <w:tab w:val="left" w:pos="683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0841">
              <w:rPr>
                <w:rFonts w:eastAsia="Calibri" w:cs="Times New Roman"/>
                <w:sz w:val="24"/>
                <w:szCs w:val="24"/>
              </w:rPr>
              <w:t xml:space="preserve">Устранено недостатков и нарушений по контрольным </w:t>
            </w:r>
            <w:r w:rsidR="00AA5A19">
              <w:rPr>
                <w:rFonts w:eastAsia="Calibri" w:cs="Times New Roman"/>
                <w:sz w:val="24"/>
                <w:szCs w:val="24"/>
              </w:rPr>
              <w:br/>
            </w:r>
            <w:r w:rsidRPr="00BA0841">
              <w:rPr>
                <w:rFonts w:eastAsia="Calibri" w:cs="Times New Roman"/>
                <w:sz w:val="24"/>
                <w:szCs w:val="24"/>
              </w:rPr>
              <w:t>и экспертно-аналитическим мероприятиям с уч</w:t>
            </w:r>
            <w:r w:rsidR="00BC19D5">
              <w:rPr>
                <w:rFonts w:eastAsia="Calibri" w:cs="Times New Roman"/>
                <w:sz w:val="24"/>
                <w:szCs w:val="24"/>
              </w:rPr>
              <w:t>ё</w:t>
            </w:r>
            <w:r w:rsidRPr="00BA0841">
              <w:rPr>
                <w:rFonts w:eastAsia="Calibri" w:cs="Times New Roman"/>
                <w:sz w:val="24"/>
                <w:szCs w:val="24"/>
              </w:rPr>
              <w:t>том предшествующих периодов (тыс. рублей),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0841">
              <w:rPr>
                <w:rFonts w:eastAsia="Calibri" w:cs="Times New Roman"/>
                <w:sz w:val="24"/>
                <w:szCs w:val="24"/>
              </w:rPr>
              <w:t>466 980,15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A0841">
              <w:rPr>
                <w:rFonts w:eastAsia="Calibri" w:cs="Times New Roman"/>
                <w:sz w:val="24"/>
                <w:szCs w:val="24"/>
              </w:rPr>
              <w:t xml:space="preserve">откорректированы доходы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0841">
              <w:rPr>
                <w:rFonts w:eastAsia="Calibri" w:cs="Times New Roman"/>
                <w:sz w:val="24"/>
                <w:szCs w:val="24"/>
              </w:rPr>
              <w:t>80 270,81 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уменьшены бюджетные ассигнования с последующим перенаправлением на другие статьи бюджета или другие объекты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A0841">
              <w:rPr>
                <w:rFonts w:eastAsia="Calibri" w:cs="Times New Roman"/>
                <w:sz w:val="24"/>
                <w:szCs w:val="24"/>
                <w:lang w:val="en-US"/>
              </w:rPr>
              <w:t>69 882</w:t>
            </w:r>
            <w:r w:rsidRPr="00BA0841">
              <w:rPr>
                <w:rFonts w:eastAsia="Calibri" w:cs="Times New Roman"/>
                <w:sz w:val="24"/>
                <w:szCs w:val="24"/>
              </w:rPr>
              <w:t>,</w:t>
            </w:r>
            <w:r w:rsidRPr="00BA0841">
              <w:rPr>
                <w:rFonts w:eastAsia="Calibri" w:cs="Times New Roman"/>
                <w:sz w:val="24"/>
                <w:szCs w:val="24"/>
                <w:lang w:val="en-US"/>
              </w:rPr>
              <w:t>49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выполнено работ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0841">
              <w:rPr>
                <w:rFonts w:eastAsia="Calibri" w:cs="Times New Roman"/>
                <w:sz w:val="24"/>
                <w:szCs w:val="24"/>
              </w:rPr>
              <w:t>4 486,03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widowControl w:val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A0841">
              <w:rPr>
                <w:rFonts w:eastAsia="Calibri" w:cs="Times New Roman"/>
                <w:sz w:val="24"/>
                <w:szCs w:val="24"/>
              </w:rPr>
              <w:t>возмещено в бюджет города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0841">
              <w:rPr>
                <w:rFonts w:eastAsia="Calibri" w:cs="Times New Roman"/>
                <w:sz w:val="24"/>
                <w:szCs w:val="24"/>
              </w:rPr>
              <w:t>3 138,48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</w:rPr>
              <w:t xml:space="preserve">Предотвращено финансовых нарушений, тыс. рублей (не учтено </w:t>
            </w:r>
            <w:r w:rsidR="00AA5A19">
              <w:rPr>
                <w:rFonts w:eastAsia="Times New Roman" w:cs="Times New Roman"/>
                <w:sz w:val="24"/>
                <w:szCs w:val="24"/>
              </w:rPr>
              <w:br/>
            </w:r>
            <w:r w:rsidRPr="00BA0841">
              <w:rPr>
                <w:rFonts w:eastAsia="Times New Roman" w:cs="Times New Roman"/>
                <w:sz w:val="24"/>
                <w:szCs w:val="24"/>
              </w:rPr>
              <w:t>в общей сумме нарушений и недостатков)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A0841">
              <w:rPr>
                <w:rFonts w:eastAsia="Calibri" w:cs="Times New Roman"/>
                <w:sz w:val="24"/>
                <w:szCs w:val="24"/>
              </w:rPr>
              <w:t>17 073,28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Направлено всего представлений/предписаний, ед.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2/2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Подготовлено предложений по результатам контрольных мероприятий по устранению недостатков и нарушений, </w:t>
            </w:r>
            <w:r w:rsidR="00AA5A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не имеющих суммового выражения (ед.), из них: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принято предложений по устранению недостатков и нарушений, не имеющих суммового выражения, 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Подготовлено предложений по результатам экспертно-аналитических мероприятий (ед.), из них: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ind w:right="-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принято предложений, ед.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BA0841" w:rsidRPr="00BA0841" w:rsidRDefault="00BA0841" w:rsidP="004E0CF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Принято предложений по контрольным и экспертно-аналитическим мероприятиям предшествующих периодов </w:t>
            </w:r>
            <w:r w:rsidR="00AA5A1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по устранению недостатков и нарушений, не имеющих суммового выражения, ед.</w:t>
            </w:r>
          </w:p>
        </w:tc>
        <w:tc>
          <w:tcPr>
            <w:tcW w:w="1553" w:type="dxa"/>
            <w:vAlign w:val="center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Направлено итоговых документов (с приложениями) Главе города, в Думу города и в прокуратуру города, ед. в каждый адрес</w:t>
            </w:r>
          </w:p>
        </w:tc>
        <w:tc>
          <w:tcPr>
            <w:tcW w:w="1553" w:type="dxa"/>
            <w:vAlign w:val="center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ответственности, случаев</w:t>
            </w:r>
          </w:p>
        </w:tc>
        <w:tc>
          <w:tcPr>
            <w:tcW w:w="1553" w:type="dxa"/>
            <w:vAlign w:val="center"/>
          </w:tcPr>
          <w:p w:rsidR="00BA0841" w:rsidRPr="00BA0841" w:rsidRDefault="00AA5A19" w:rsidP="00AA5A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к материальной ответственности, случаев</w:t>
            </w:r>
          </w:p>
        </w:tc>
        <w:tc>
          <w:tcPr>
            <w:tcW w:w="1553" w:type="dxa"/>
            <w:vAlign w:val="center"/>
          </w:tcPr>
          <w:p w:rsidR="00BA0841" w:rsidRPr="00BA0841" w:rsidRDefault="00AA5A19" w:rsidP="00AA5A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</w:tr>
      <w:tr w:rsidR="00BA0841" w:rsidRPr="00BA0841" w:rsidTr="00AA5A19">
        <w:trPr>
          <w:trHeight w:val="627"/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к административной ответственности (назначено штрафов):</w:t>
            </w:r>
          </w:p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- должностных лиц</w:t>
            </w:r>
          </w:p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- юридических лиц</w:t>
            </w:r>
          </w:p>
        </w:tc>
        <w:tc>
          <w:tcPr>
            <w:tcW w:w="1553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011DC" w:rsidRDefault="007011DC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BA0841" w:rsidRPr="00BA0841" w:rsidRDefault="00AA5A19" w:rsidP="00AA5A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</w:tr>
      <w:tr w:rsidR="00BA0841" w:rsidRPr="00BA0841" w:rsidTr="00AA5A19">
        <w:trPr>
          <w:jc w:val="center"/>
        </w:trPr>
        <w:tc>
          <w:tcPr>
            <w:tcW w:w="704" w:type="dxa"/>
          </w:tcPr>
          <w:p w:rsidR="00BA0841" w:rsidRPr="00BA0841" w:rsidRDefault="00BA0841" w:rsidP="00BA084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BA0841" w:rsidRPr="00BA0841" w:rsidRDefault="00BA0841" w:rsidP="00BA084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сумма штрафов, предъявленных по проверкам КСП, </w:t>
            </w:r>
            <w:r w:rsidRPr="00BA084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тыс. рублей</w:t>
            </w:r>
          </w:p>
        </w:tc>
        <w:tc>
          <w:tcPr>
            <w:tcW w:w="1553" w:type="dxa"/>
            <w:vAlign w:val="center"/>
          </w:tcPr>
          <w:p w:rsidR="00BA0841" w:rsidRPr="00BA0841" w:rsidRDefault="00AA5A19" w:rsidP="00AA5A1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–</w:t>
            </w:r>
          </w:p>
        </w:tc>
      </w:tr>
    </w:tbl>
    <w:p w:rsidR="00BA0841" w:rsidRPr="00BA0841" w:rsidRDefault="00BA0841" w:rsidP="00BA0841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BA0841" w:rsidRPr="00BA0841" w:rsidRDefault="00BA0841" w:rsidP="00BA0841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 xml:space="preserve">Объём средств, проверенных в 2023 году в ходе контрольных </w:t>
      </w:r>
      <w:r w:rsidR="00AA5A19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и экспертно-аналитических мероприятий</w:t>
      </w:r>
      <w:r w:rsidRPr="00BA0841">
        <w:rPr>
          <w:rFonts w:eastAsia="Times New Roman" w:cs="Times New Roman"/>
          <w:szCs w:val="28"/>
          <w:lang w:eastAsia="ru-RU"/>
        </w:rPr>
        <w:t xml:space="preserve"> </w:t>
      </w:r>
      <w:r w:rsidRPr="00BA0841">
        <w:rPr>
          <w:rFonts w:eastAsia="Calibri" w:cs="Times New Roman"/>
          <w:szCs w:val="28"/>
        </w:rPr>
        <w:t xml:space="preserve">без учёта бюджетных ассигнований, охваченных в рамках контроля формирования и </w:t>
      </w:r>
      <w:r w:rsidRPr="00BA0841">
        <w:rPr>
          <w:rFonts w:eastAsia="Calibri" w:cs="Times New Roman"/>
          <w:bCs/>
          <w:szCs w:val="28"/>
        </w:rPr>
        <w:t>исполнения бюджета города, за различные проверяемые периоды</w:t>
      </w:r>
      <w:r w:rsidRPr="00BA0841">
        <w:rPr>
          <w:rFonts w:eastAsia="Calibri" w:cs="Times New Roman"/>
          <w:szCs w:val="28"/>
        </w:rPr>
        <w:t xml:space="preserve"> составил </w:t>
      </w:r>
      <w:r w:rsidR="00AA5A19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10 619 109,18 тыс. рублей, в том числе: бюджетные средства и средства, полученные из бюджета в виде субсидий – 6 369 313,37 тыс. рублей.</w:t>
      </w:r>
    </w:p>
    <w:p w:rsidR="00BA0841" w:rsidRPr="00BA0841" w:rsidRDefault="00BA0841" w:rsidP="00BA0841">
      <w:pPr>
        <w:widowControl w:val="0"/>
        <w:ind w:firstLine="709"/>
        <w:rPr>
          <w:rFonts w:eastAsia="Times New Roman" w:cs="Times New Roman"/>
          <w:spacing w:val="-4"/>
          <w:szCs w:val="28"/>
          <w:lang w:eastAsia="ru-RU"/>
        </w:rPr>
      </w:pPr>
    </w:p>
    <w:p w:rsidR="00BA0841" w:rsidRPr="00BA0841" w:rsidRDefault="00BA0841" w:rsidP="00BA0841">
      <w:pPr>
        <w:widowControl w:val="0"/>
        <w:ind w:firstLine="709"/>
        <w:rPr>
          <w:rFonts w:eastAsia="Times New Roman" w:cs="Times New Roman"/>
          <w:spacing w:val="-4"/>
          <w:szCs w:val="28"/>
          <w:lang w:eastAsia="ru-RU"/>
        </w:rPr>
      </w:pPr>
      <w:r w:rsidRPr="00BA0841">
        <w:rPr>
          <w:rFonts w:eastAsia="Times New Roman" w:cs="Times New Roman"/>
          <w:spacing w:val="-4"/>
          <w:szCs w:val="28"/>
          <w:lang w:eastAsia="ru-RU"/>
        </w:rPr>
        <w:t xml:space="preserve">Структура </w:t>
      </w:r>
      <w:r w:rsidRPr="00BA0841">
        <w:rPr>
          <w:rFonts w:eastAsia="Times New Roman" w:cs="Times New Roman"/>
          <w:szCs w:val="28"/>
          <w:lang w:eastAsia="ru-RU"/>
        </w:rPr>
        <w:t>недостатков и нарушений</w:t>
      </w:r>
      <w:r w:rsidRPr="00BA0841">
        <w:rPr>
          <w:rFonts w:eastAsia="Times New Roman" w:cs="Times New Roman"/>
          <w:spacing w:val="-4"/>
          <w:szCs w:val="28"/>
          <w:lang w:eastAsia="ru-RU"/>
        </w:rPr>
        <w:t xml:space="preserve"> по результатам мероприятий, проведённых в 2023 году, представлена в таблице 2.</w:t>
      </w:r>
    </w:p>
    <w:p w:rsidR="00BA0841" w:rsidRPr="004E0CF1" w:rsidRDefault="00BA0841" w:rsidP="00BA0841">
      <w:pPr>
        <w:widowControl w:val="0"/>
        <w:ind w:right="-2" w:firstLine="709"/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 w:rsidRPr="004E0CF1">
        <w:rPr>
          <w:rFonts w:eastAsia="Times New Roman" w:cs="Times New Roman"/>
          <w:bCs/>
          <w:sz w:val="26"/>
          <w:szCs w:val="26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941"/>
        <w:gridCol w:w="1358"/>
        <w:gridCol w:w="1154"/>
        <w:gridCol w:w="1387"/>
        <w:gridCol w:w="1243"/>
      </w:tblGrid>
      <w:tr w:rsidR="00BA0841" w:rsidRPr="00BA0841" w:rsidTr="00AA5A19">
        <w:trPr>
          <w:trHeight w:val="298"/>
          <w:tblHeader/>
          <w:jc w:val="center"/>
        </w:trPr>
        <w:tc>
          <w:tcPr>
            <w:tcW w:w="486" w:type="dxa"/>
            <w:vMerge w:val="restart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45" w:type="dxa"/>
            <w:vMerge w:val="restart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Виды недостатков и нарушений</w:t>
            </w:r>
          </w:p>
        </w:tc>
        <w:tc>
          <w:tcPr>
            <w:tcW w:w="5097" w:type="dxa"/>
            <w:gridSpan w:val="4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BA0841" w:rsidRPr="00BA0841" w:rsidTr="00AA5A19">
        <w:trPr>
          <w:trHeight w:val="402"/>
          <w:tblHeader/>
          <w:jc w:val="center"/>
        </w:trPr>
        <w:tc>
          <w:tcPr>
            <w:tcW w:w="486" w:type="dxa"/>
            <w:vMerge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vMerge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(тыс. рублей) </w:t>
            </w:r>
          </w:p>
        </w:tc>
        <w:tc>
          <w:tcPr>
            <w:tcW w:w="1176" w:type="dxa"/>
            <w:vMerge w:val="restart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2642" w:type="dxa"/>
            <w:gridSpan w:val="2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 xml:space="preserve">в том числе подлежит устранению </w:t>
            </w: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( тыс. рублей)</w:t>
            </w:r>
          </w:p>
        </w:tc>
      </w:tr>
      <w:tr w:rsidR="00BA0841" w:rsidRPr="00BA0841" w:rsidTr="00AA5A19">
        <w:trPr>
          <w:trHeight w:val="402"/>
          <w:tblHeader/>
          <w:jc w:val="center"/>
        </w:trPr>
        <w:tc>
          <w:tcPr>
            <w:tcW w:w="486" w:type="dxa"/>
            <w:vMerge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  <w:vMerge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9" w:type="dxa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из них устранено</w:t>
            </w:r>
          </w:p>
        </w:tc>
      </w:tr>
      <w:tr w:rsidR="00BA0841" w:rsidRPr="00BA0841" w:rsidTr="00AA5A19">
        <w:trPr>
          <w:trHeight w:val="64"/>
          <w:tblHeader/>
          <w:jc w:val="center"/>
        </w:trPr>
        <w:tc>
          <w:tcPr>
            <w:tcW w:w="486" w:type="dxa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BA0841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45" w:type="dxa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BA0841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dxa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BA0841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6" w:type="dxa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BA0841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3" w:type="dxa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BA0841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49" w:type="dxa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BA0841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6</w:t>
            </w:r>
          </w:p>
        </w:tc>
      </w:tr>
      <w:tr w:rsidR="00BA0841" w:rsidRPr="00BA0841" w:rsidTr="00AA5A19">
        <w:trPr>
          <w:trHeight w:val="20"/>
          <w:jc w:val="center"/>
        </w:trPr>
        <w:tc>
          <w:tcPr>
            <w:tcW w:w="486" w:type="dxa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5" w:type="dxa"/>
          </w:tcPr>
          <w:p w:rsidR="00BA0841" w:rsidRPr="00BA0841" w:rsidRDefault="00BA0841" w:rsidP="004E0CF1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 и средств, полученных из бюджета города в виде субсидий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82 268,02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0,83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4E0CF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4E0CF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</w:tr>
      <w:tr w:rsidR="00BA0841" w:rsidRPr="00BA0841" w:rsidTr="00AA5A19">
        <w:trPr>
          <w:trHeight w:val="20"/>
          <w:jc w:val="center"/>
        </w:trPr>
        <w:tc>
          <w:tcPr>
            <w:tcW w:w="486" w:type="dxa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5" w:type="dxa"/>
          </w:tcPr>
          <w:p w:rsidR="00BA0841" w:rsidRPr="00BA0841" w:rsidRDefault="00BA0841" w:rsidP="004E0CF1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Неправомерное (нормативно необоснованное) использование бюджетных средств и средств, полученных из бюджета города в виде субсидий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9 117,20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9 117,20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5 051,57</w:t>
            </w:r>
          </w:p>
        </w:tc>
      </w:tr>
      <w:tr w:rsidR="00BA0841" w:rsidRPr="00BA0841" w:rsidTr="00AA5A19">
        <w:trPr>
          <w:trHeight w:val="20"/>
          <w:jc w:val="center"/>
        </w:trPr>
        <w:tc>
          <w:tcPr>
            <w:tcW w:w="486" w:type="dxa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5" w:type="dxa"/>
          </w:tcPr>
          <w:p w:rsidR="00BA0841" w:rsidRPr="00BA0841" w:rsidRDefault="00BA0841" w:rsidP="004E0CF1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Нецелевое использование бюджетных средств и средств, полученных из бюджета города в виде субсидий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4E0CF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4E0CF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4E0CF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4E0CF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–</w:t>
            </w:r>
          </w:p>
        </w:tc>
      </w:tr>
      <w:tr w:rsidR="00BA0841" w:rsidRPr="00BA0841" w:rsidTr="00AA5A19">
        <w:trPr>
          <w:trHeight w:val="20"/>
          <w:jc w:val="center"/>
        </w:trPr>
        <w:tc>
          <w:tcPr>
            <w:tcW w:w="486" w:type="dxa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5" w:type="dxa"/>
          </w:tcPr>
          <w:p w:rsidR="00BA0841" w:rsidRPr="00BA0841" w:rsidRDefault="00BA0841" w:rsidP="004E0CF1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Нарушения и недостатки при формировании бюджета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623 296,72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6,27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623 296,72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48 015,65</w:t>
            </w:r>
          </w:p>
        </w:tc>
      </w:tr>
      <w:tr w:rsidR="00BA0841" w:rsidRPr="00BA0841" w:rsidTr="00AA5A19">
        <w:trPr>
          <w:trHeight w:val="20"/>
          <w:jc w:val="center"/>
        </w:trPr>
        <w:tc>
          <w:tcPr>
            <w:tcW w:w="486" w:type="dxa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5" w:type="dxa"/>
          </w:tcPr>
          <w:p w:rsidR="00BA0841" w:rsidRPr="00BA0841" w:rsidRDefault="00BA0841" w:rsidP="004E0CF1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Недостатки и нарушения учёта </w:t>
            </w:r>
            <w:r w:rsidR="004E0CF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и отчётности (бюджетный и бухгалтерский учёт),</w:t>
            </w:r>
            <w:r w:rsidRPr="00BA084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A0841">
              <w:rPr>
                <w:rFonts w:eastAsia="Calibri" w:cs="Times New Roman"/>
                <w:sz w:val="20"/>
                <w:szCs w:val="20"/>
              </w:rPr>
              <w:t>применения бюджетной классификации</w:t>
            </w: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8 946 680,56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90,03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286 539,89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286 539,89</w:t>
            </w:r>
          </w:p>
        </w:tc>
      </w:tr>
      <w:tr w:rsidR="00BA0841" w:rsidRPr="00BA0841" w:rsidTr="00AA5A19">
        <w:trPr>
          <w:trHeight w:val="20"/>
          <w:jc w:val="center"/>
        </w:trPr>
        <w:tc>
          <w:tcPr>
            <w:tcW w:w="486" w:type="dxa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5" w:type="dxa"/>
          </w:tcPr>
          <w:p w:rsidR="00BA0841" w:rsidRPr="00BA0841" w:rsidRDefault="00BA0841" w:rsidP="004E0CF1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Нарушения и недостатки в сфере управления и распоряжения муниципальной собственностью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210 207,32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2,12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187 045,08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13 189,00</w:t>
            </w:r>
          </w:p>
        </w:tc>
      </w:tr>
      <w:tr w:rsidR="00BA0841" w:rsidRPr="00BA0841" w:rsidTr="00AA5A19">
        <w:trPr>
          <w:trHeight w:val="20"/>
          <w:jc w:val="center"/>
        </w:trPr>
        <w:tc>
          <w:tcPr>
            <w:tcW w:w="486" w:type="dxa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5" w:type="dxa"/>
          </w:tcPr>
          <w:p w:rsidR="00BA0841" w:rsidRPr="00BA0841" w:rsidRDefault="00BA0841" w:rsidP="004E0CF1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Нарушения и недостатки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6 694,29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0,07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6 668,05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2 590,72</w:t>
            </w:r>
          </w:p>
        </w:tc>
      </w:tr>
      <w:tr w:rsidR="00BA0841" w:rsidRPr="00BA0841" w:rsidTr="00AA5A19">
        <w:trPr>
          <w:trHeight w:val="20"/>
          <w:jc w:val="center"/>
        </w:trPr>
        <w:tc>
          <w:tcPr>
            <w:tcW w:w="486" w:type="dxa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5" w:type="dxa"/>
          </w:tcPr>
          <w:p w:rsidR="00BA0841" w:rsidRPr="00BA0841" w:rsidRDefault="00BA0841" w:rsidP="004E0CF1">
            <w:pPr>
              <w:widowControl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Прочие недостатки и нарушения</w:t>
            </w:r>
            <w:r w:rsidR="004E0C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59 068,11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Times New Roman" w:cs="Times New Roman"/>
                <w:sz w:val="20"/>
                <w:szCs w:val="20"/>
                <w:lang w:eastAsia="ru-RU"/>
              </w:rPr>
              <w:t>408,69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67,25</w:t>
            </w:r>
          </w:p>
        </w:tc>
      </w:tr>
      <w:tr w:rsidR="00BA0841" w:rsidRPr="00BA0841" w:rsidTr="00AA5A19">
        <w:trPr>
          <w:trHeight w:val="20"/>
          <w:jc w:val="center"/>
        </w:trPr>
        <w:tc>
          <w:tcPr>
            <w:tcW w:w="486" w:type="dxa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5" w:type="dxa"/>
          </w:tcPr>
          <w:p w:rsidR="00BA0841" w:rsidRPr="00BA0841" w:rsidRDefault="00BA0841" w:rsidP="00BA0841">
            <w:pPr>
              <w:widowControl w:val="0"/>
              <w:contextualSpacing/>
              <w:jc w:val="right"/>
              <w:rPr>
                <w:rFonts w:eastAsia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BA0841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ИТОГО</w:t>
            </w:r>
            <w:r w:rsidRPr="00BA0841">
              <w:rPr>
                <w:rFonts w:eastAsia="Times New Roman" w:cs="Times New Roman"/>
                <w:b/>
                <w:i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9 937 332,22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A0841">
              <w:rPr>
                <w:rFonts w:eastAsia="Calibri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1 113 075,63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841" w:rsidRPr="00BA0841" w:rsidRDefault="00BA0841" w:rsidP="00BA0841">
            <w:pPr>
              <w:widowControl w:val="0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A0841">
              <w:rPr>
                <w:rFonts w:eastAsia="Calibri" w:cs="Times New Roman"/>
                <w:sz w:val="20"/>
                <w:szCs w:val="20"/>
              </w:rPr>
              <w:t>355 454,08</w:t>
            </w:r>
          </w:p>
        </w:tc>
      </w:tr>
    </w:tbl>
    <w:p w:rsidR="00BA0841" w:rsidRPr="00BA0841" w:rsidRDefault="00BA0841" w:rsidP="00BA0841">
      <w:pPr>
        <w:tabs>
          <w:tab w:val="left" w:pos="993"/>
        </w:tabs>
        <w:ind w:firstLine="709"/>
        <w:rPr>
          <w:rFonts w:eastAsia="Calibri" w:cs="Times New Roman"/>
          <w:sz w:val="16"/>
          <w:szCs w:val="16"/>
        </w:rPr>
      </w:pPr>
    </w:p>
    <w:p w:rsidR="00BA0841" w:rsidRPr="00BA0841" w:rsidRDefault="00BA0841" w:rsidP="00BA0841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>Общий объём недостатков и нарушений, выявленных в 2023 году, составил 9 937 332,22</w:t>
      </w:r>
      <w:r w:rsidR="00AA5A19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тыс.</w:t>
      </w:r>
      <w:r w:rsidR="00AA5A19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рублей, из них: по результатам контрольных мероприятий – 9 204 048,63</w:t>
      </w:r>
      <w:r w:rsidR="00AA5A19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тыс.</w:t>
      </w:r>
      <w:r w:rsidR="00AA5A19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рублей, экспертно-аналитических мероприятий –</w:t>
      </w:r>
      <w:r w:rsidR="00AA5A19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733 283,59</w:t>
      </w:r>
      <w:r w:rsidR="00AA5A19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тыс.</w:t>
      </w:r>
      <w:r w:rsidR="00AA5A19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рублей.</w:t>
      </w:r>
    </w:p>
    <w:p w:rsidR="00BA0841" w:rsidRPr="00BA0841" w:rsidRDefault="00BA0841" w:rsidP="00BA0841">
      <w:pPr>
        <w:tabs>
          <w:tab w:val="left" w:pos="993"/>
        </w:tabs>
        <w:ind w:firstLine="709"/>
        <w:rPr>
          <w:rFonts w:eastAsia="Calibri" w:cs="Times New Roman"/>
          <w:color w:val="FF0000"/>
          <w:szCs w:val="28"/>
        </w:rPr>
      </w:pPr>
      <w:r w:rsidRPr="00BA0841">
        <w:rPr>
          <w:rFonts w:eastAsia="Calibri" w:cs="Times New Roman"/>
          <w:szCs w:val="28"/>
        </w:rPr>
        <w:t>Недостатки и нарушения, подлежащие устранению, составили 1 113 075,63</w:t>
      </w:r>
      <w:r w:rsidR="00046AC6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тыс.</w:t>
      </w:r>
      <w:r w:rsidR="00046AC6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рублей или 11,20</w:t>
      </w:r>
      <w:r w:rsidR="00046AC6" w:rsidRPr="00BA0841">
        <w:rPr>
          <w:rFonts w:eastAsia="Calibri" w:cs="Times New Roman"/>
          <w:szCs w:val="28"/>
        </w:rPr>
        <w:t> </w:t>
      </w:r>
      <w:r w:rsidRPr="00BA0841">
        <w:rPr>
          <w:rFonts w:eastAsia="Calibri" w:cs="Times New Roman"/>
          <w:szCs w:val="28"/>
        </w:rPr>
        <w:t xml:space="preserve">% от общей суммы нарушений, </w:t>
      </w:r>
      <w:r w:rsidR="00046AC6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в том числе по которым предложено возместить в бюджет города денежные </w:t>
      </w:r>
      <w:r w:rsidRPr="00BA0841">
        <w:rPr>
          <w:rFonts w:eastAsia="Calibri" w:cs="Times New Roman"/>
          <w:szCs w:val="28"/>
        </w:rPr>
        <w:lastRenderedPageBreak/>
        <w:t>средства</w:t>
      </w:r>
      <w:r w:rsidR="00AA5A19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–</w:t>
      </w:r>
      <w:r w:rsidR="00AA5A19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10 931,17 тыс. рублей или 0,98</w:t>
      </w:r>
      <w:r w:rsidR="00046AC6" w:rsidRPr="00BA0841">
        <w:rPr>
          <w:rFonts w:eastAsia="Calibri" w:cs="Times New Roman"/>
          <w:szCs w:val="28"/>
        </w:rPr>
        <w:t> </w:t>
      </w:r>
      <w:r w:rsidRPr="00BA0841">
        <w:rPr>
          <w:rFonts w:eastAsia="Calibri" w:cs="Times New Roman"/>
          <w:szCs w:val="28"/>
        </w:rPr>
        <w:t>% от общей суммы нарушений, подлежащих устранению.</w:t>
      </w:r>
    </w:p>
    <w:p w:rsidR="00BA0841" w:rsidRPr="00BA0841" w:rsidRDefault="00BA0841" w:rsidP="00BA0841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>Устранено недостатков и нарушений по результатам мероприятий, проведённых в 2023 году, на сумму 355 454,08 тыс. рублей или 31,93</w:t>
      </w:r>
      <w:r w:rsidR="00046AC6" w:rsidRPr="00BA0841">
        <w:rPr>
          <w:rFonts w:eastAsia="Calibri" w:cs="Times New Roman"/>
          <w:szCs w:val="28"/>
        </w:rPr>
        <w:t> </w:t>
      </w:r>
      <w:r w:rsidRPr="00BA0841">
        <w:rPr>
          <w:rFonts w:eastAsia="Calibri" w:cs="Times New Roman"/>
          <w:szCs w:val="28"/>
        </w:rPr>
        <w:t xml:space="preserve">% </w:t>
      </w:r>
      <w:r w:rsidR="00046AC6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от суммы нарушений, подлежащих устранению, из них:</w:t>
      </w:r>
    </w:p>
    <w:p w:rsidR="00BA0841" w:rsidRPr="00BA0841" w:rsidRDefault="00BA0841" w:rsidP="00BA0841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>291 204,99 тыс. рублей</w:t>
      </w:r>
      <w:r w:rsidR="00046AC6">
        <w:rPr>
          <w:rFonts w:eastAsia="Calibri" w:cs="Times New Roman"/>
          <w:szCs w:val="28"/>
        </w:rPr>
        <w:t xml:space="preserve"> </w:t>
      </w:r>
      <w:r w:rsidR="00046AC6" w:rsidRPr="00BA0841">
        <w:rPr>
          <w:rFonts w:eastAsia="Calibri" w:cs="Times New Roman"/>
          <w:szCs w:val="28"/>
        </w:rPr>
        <w:t>–</w:t>
      </w:r>
      <w:r w:rsidR="00046AC6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в ходе проведения контрольных и экспертно-аналитических мероприятий, в том числе возмещено в бюджет – 440,78 тыс. рублей;</w:t>
      </w:r>
    </w:p>
    <w:p w:rsidR="00BA0841" w:rsidRPr="00BA0841" w:rsidRDefault="00BA0841" w:rsidP="00BA0841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 xml:space="preserve">64 249,09 тыс. рублей </w:t>
      </w:r>
      <w:r w:rsidR="00046AC6" w:rsidRPr="00BA0841">
        <w:rPr>
          <w:rFonts w:eastAsia="Calibri" w:cs="Times New Roman"/>
          <w:szCs w:val="28"/>
        </w:rPr>
        <w:t>–</w:t>
      </w:r>
      <w:r w:rsidRPr="00BA0841">
        <w:rPr>
          <w:rFonts w:eastAsia="Calibri" w:cs="Times New Roman"/>
          <w:szCs w:val="28"/>
        </w:rPr>
        <w:t xml:space="preserve"> по результатам реализации предложений, отражённых в итоговых документах (заключениях, отчётах, представлениях, предписаниях) по проведённым мероприятиям, в том числе возмещено </w:t>
      </w:r>
      <w:r w:rsidR="00046AC6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в бюджет – 434,95 тыс. рублей.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A0841">
        <w:rPr>
          <w:rFonts w:eastAsia="Times New Roman" w:cs="Times New Roman"/>
          <w:szCs w:val="28"/>
          <w:lang w:eastAsia="ru-RU"/>
        </w:rPr>
        <w:t>По результатам проверок отчётного 2023 года возмещено в бюджет города</w:t>
      </w:r>
      <w:r w:rsidR="00046AC6">
        <w:rPr>
          <w:rFonts w:eastAsia="Times New Roman" w:cs="Times New Roman"/>
          <w:szCs w:val="28"/>
          <w:lang w:eastAsia="ru-RU"/>
        </w:rPr>
        <w:t xml:space="preserve"> </w:t>
      </w:r>
      <w:r w:rsidRPr="00BA0841">
        <w:rPr>
          <w:rFonts w:eastAsia="Calibri" w:cs="Times New Roman"/>
          <w:szCs w:val="28"/>
        </w:rPr>
        <w:t>875,73 тыс. рублей или 14,84</w:t>
      </w:r>
      <w:r w:rsidR="00046AC6" w:rsidRPr="00BA0841">
        <w:rPr>
          <w:rFonts w:eastAsia="Calibri" w:cs="Times New Roman"/>
          <w:szCs w:val="28"/>
        </w:rPr>
        <w:t> </w:t>
      </w:r>
      <w:r w:rsidRPr="00BA0841">
        <w:rPr>
          <w:rFonts w:eastAsia="Calibri" w:cs="Times New Roman"/>
          <w:szCs w:val="28"/>
        </w:rPr>
        <w:t>% от суммы нарушений, по которым возможно возмещение.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A0841">
        <w:rPr>
          <w:rFonts w:eastAsia="Times New Roman" w:cs="Times New Roman"/>
          <w:szCs w:val="28"/>
          <w:lang w:eastAsia="ru-RU"/>
        </w:rPr>
        <w:t>По результатам мероприятий предшествующих периодов устранено финансовых недостатков и нарушений на общую сумму 111</w:t>
      </w:r>
      <w:r w:rsidRPr="00BA0841">
        <w:rPr>
          <w:rFonts w:eastAsia="Times New Roman" w:cs="Times New Roman"/>
          <w:szCs w:val="28"/>
          <w:lang w:val="en-US" w:eastAsia="ru-RU"/>
        </w:rPr>
        <w:t> </w:t>
      </w:r>
      <w:r w:rsidRPr="00BA0841">
        <w:rPr>
          <w:rFonts w:eastAsia="Times New Roman" w:cs="Times New Roman"/>
          <w:szCs w:val="28"/>
          <w:lang w:eastAsia="ru-RU"/>
        </w:rPr>
        <w:t>526,07 тыс. рублей,</w:t>
      </w:r>
      <w:r w:rsidRPr="00BA0841">
        <w:rPr>
          <w:rFonts w:eastAsia="Calibri" w:cs="Times New Roman"/>
          <w:szCs w:val="28"/>
        </w:rPr>
        <w:t xml:space="preserve"> в том числе возмещено в бюджет – 2 262,75 тыс. рублей</w:t>
      </w:r>
      <w:r w:rsidRPr="00BA0841">
        <w:rPr>
          <w:rFonts w:eastAsia="Times New Roman" w:cs="Times New Roman"/>
          <w:szCs w:val="28"/>
          <w:lang w:eastAsia="ru-RU"/>
        </w:rPr>
        <w:t>.</w:t>
      </w:r>
    </w:p>
    <w:p w:rsidR="00BA0841" w:rsidRPr="00BA0841" w:rsidRDefault="00BA0841" w:rsidP="00BA0841">
      <w:pPr>
        <w:ind w:firstLine="709"/>
        <w:rPr>
          <w:rFonts w:eastAsia="Times New Roman" w:cs="Times New Roman"/>
          <w:szCs w:val="28"/>
          <w:lang w:eastAsia="ru-RU"/>
        </w:rPr>
      </w:pPr>
      <w:r w:rsidRPr="00BA0841">
        <w:rPr>
          <w:rFonts w:eastAsia="Times New Roman" w:cs="Times New Roman"/>
          <w:szCs w:val="28"/>
          <w:lang w:eastAsia="ru-RU"/>
        </w:rPr>
        <w:t>Таким образом, всего устранено финансовых недостатков и нарушений на сумму 466 980,15 тыс. рублей, в том числе возмещено в бюджет города 3 138,48 тыс. рублей.</w:t>
      </w:r>
    </w:p>
    <w:p w:rsidR="00BA0841" w:rsidRPr="00BA0841" w:rsidRDefault="00BA0841" w:rsidP="00BA0841">
      <w:pPr>
        <w:ind w:firstLine="709"/>
        <w:rPr>
          <w:rFonts w:eastAsia="Times New Roman" w:cs="Times New Roman"/>
          <w:szCs w:val="28"/>
          <w:lang w:eastAsia="ru-RU"/>
        </w:rPr>
      </w:pPr>
      <w:r w:rsidRPr="00BA0841">
        <w:rPr>
          <w:rFonts w:eastAsia="Times New Roman" w:cs="Times New Roman"/>
          <w:szCs w:val="28"/>
          <w:lang w:eastAsia="ru-RU"/>
        </w:rPr>
        <w:t>По результатам контрольных мероприятий в 2023 году подготовлено 62</w:t>
      </w:r>
      <w:r w:rsidR="00F13E7F">
        <w:rPr>
          <w:rFonts w:eastAsia="Times New Roman" w:cs="Times New Roman"/>
          <w:szCs w:val="28"/>
          <w:lang w:eastAsia="ru-RU"/>
        </w:rPr>
        <w:t xml:space="preserve"> </w:t>
      </w:r>
      <w:r w:rsidRPr="00BA0841">
        <w:rPr>
          <w:rFonts w:eastAsia="Times New Roman" w:cs="Times New Roman"/>
          <w:szCs w:val="28"/>
          <w:lang w:eastAsia="ru-RU"/>
        </w:rPr>
        <w:t xml:space="preserve">предложения по устранению недостатков и нарушений, </w:t>
      </w:r>
      <w:r w:rsidR="004E0CF1">
        <w:rPr>
          <w:rFonts w:eastAsia="Times New Roman" w:cs="Times New Roman"/>
          <w:szCs w:val="28"/>
          <w:lang w:eastAsia="ru-RU"/>
        </w:rPr>
        <w:br/>
      </w:r>
      <w:r w:rsidRPr="00BA0841">
        <w:rPr>
          <w:rFonts w:eastAsia="Times New Roman" w:cs="Times New Roman"/>
          <w:szCs w:val="28"/>
          <w:lang w:eastAsia="ru-RU"/>
        </w:rPr>
        <w:t>не имеющих суммового выражения, из которых принято</w:t>
      </w:r>
      <w:r w:rsidR="004E0CF1">
        <w:rPr>
          <w:rFonts w:eastAsia="Times New Roman" w:cs="Times New Roman"/>
          <w:szCs w:val="28"/>
          <w:lang w:eastAsia="ru-RU"/>
        </w:rPr>
        <w:t xml:space="preserve"> – </w:t>
      </w:r>
      <w:r w:rsidRPr="00BA0841">
        <w:rPr>
          <w:rFonts w:eastAsia="Times New Roman" w:cs="Times New Roman"/>
          <w:szCs w:val="28"/>
          <w:lang w:eastAsia="ru-RU"/>
        </w:rPr>
        <w:t>49, в том числе</w:t>
      </w:r>
      <w:r w:rsidR="004E0CF1">
        <w:rPr>
          <w:rFonts w:eastAsia="Times New Roman" w:cs="Times New Roman"/>
          <w:szCs w:val="28"/>
          <w:lang w:eastAsia="ru-RU"/>
        </w:rPr>
        <w:t xml:space="preserve"> </w:t>
      </w:r>
      <w:r w:rsidRPr="00BA0841">
        <w:rPr>
          <w:rFonts w:eastAsia="Times New Roman" w:cs="Times New Roman"/>
          <w:szCs w:val="28"/>
          <w:lang w:eastAsia="ru-RU"/>
        </w:rPr>
        <w:t>реализовано – 41.</w:t>
      </w:r>
      <w:r w:rsidR="004E0CF1">
        <w:rPr>
          <w:rFonts w:eastAsia="Times New Roman" w:cs="Times New Roman"/>
          <w:szCs w:val="28"/>
          <w:lang w:eastAsia="ru-RU"/>
        </w:rPr>
        <w:t xml:space="preserve"> </w:t>
      </w:r>
      <w:r w:rsidRPr="00BA0841">
        <w:rPr>
          <w:rFonts w:eastAsia="Times New Roman" w:cs="Times New Roman"/>
          <w:szCs w:val="28"/>
          <w:lang w:eastAsia="ru-RU"/>
        </w:rPr>
        <w:t>Для реализации оставшихся предложений</w:t>
      </w:r>
      <w:r w:rsidR="004E0CF1">
        <w:rPr>
          <w:rFonts w:eastAsia="Times New Roman" w:cs="Times New Roman"/>
          <w:szCs w:val="28"/>
          <w:lang w:eastAsia="ru-RU"/>
        </w:rPr>
        <w:t xml:space="preserve"> </w:t>
      </w:r>
      <w:r w:rsidRPr="00BA0841">
        <w:rPr>
          <w:rFonts w:eastAsia="Times New Roman" w:cs="Times New Roman"/>
          <w:szCs w:val="28"/>
          <w:lang w:eastAsia="ru-RU"/>
        </w:rPr>
        <w:t xml:space="preserve">требуется время, </w:t>
      </w:r>
      <w:r w:rsidR="004E0CF1">
        <w:rPr>
          <w:rFonts w:eastAsia="Times New Roman" w:cs="Times New Roman"/>
          <w:szCs w:val="28"/>
          <w:lang w:eastAsia="ru-RU"/>
        </w:rPr>
        <w:br/>
      </w:r>
      <w:r w:rsidRPr="00BA0841">
        <w:rPr>
          <w:rFonts w:eastAsia="Times New Roman" w:cs="Times New Roman"/>
          <w:szCs w:val="28"/>
          <w:lang w:eastAsia="ru-RU"/>
        </w:rPr>
        <w:t>их исполнение остаётся на контроле.</w:t>
      </w:r>
    </w:p>
    <w:p w:rsidR="00BA0841" w:rsidRPr="00BA0841" w:rsidRDefault="00BA0841" w:rsidP="00BA0841">
      <w:pPr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 xml:space="preserve">По результатам контрольных мероприятий предшествующих периодов в 2023 году исполнены 28 предложений по устранению недостатков </w:t>
      </w:r>
      <w:r w:rsidR="00F13E7F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и нарушений, не имеющих суммового выражения.</w:t>
      </w:r>
    </w:p>
    <w:p w:rsidR="00BA0841" w:rsidRPr="00BA0841" w:rsidRDefault="00BA0841" w:rsidP="00BA0841">
      <w:pPr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>По результатам проведения 106 экспертно-аналитических мероприятий подготовлено 172</w:t>
      </w:r>
      <w:r w:rsidR="00F607F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 xml:space="preserve">предложения по устранению недостатков и нарушений </w:t>
      </w:r>
      <w:r w:rsidR="00F607F1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(в основном по проектам муниципальных правовых актов, а также </w:t>
      </w:r>
      <w:r w:rsidR="00F607F1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по муниципальным программам), из которых принято объектами </w:t>
      </w:r>
      <w:r w:rsidR="00F607F1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контроля </w:t>
      </w:r>
      <w:r w:rsidR="00046AC6" w:rsidRPr="00BA0841">
        <w:rPr>
          <w:rFonts w:eastAsia="Calibri" w:cs="Times New Roman"/>
          <w:szCs w:val="28"/>
        </w:rPr>
        <w:t>–</w:t>
      </w:r>
      <w:r w:rsidRPr="00BA0841">
        <w:rPr>
          <w:rFonts w:eastAsia="Calibri" w:cs="Times New Roman"/>
          <w:szCs w:val="28"/>
        </w:rPr>
        <w:t xml:space="preserve"> 95 или 55,2</w:t>
      </w:r>
      <w:r w:rsidR="00F607F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 xml:space="preserve">%. </w:t>
      </w:r>
    </w:p>
    <w:p w:rsidR="00BA0841" w:rsidRPr="00BA0841" w:rsidRDefault="00BA0841" w:rsidP="00BA0841">
      <w:pPr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>Из 77</w:t>
      </w:r>
      <w:r w:rsidR="00F607F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оставшихся предложений основную долю (82</w:t>
      </w:r>
      <w:r w:rsidR="00F607F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 xml:space="preserve">%) составляют </w:t>
      </w:r>
      <w:r w:rsidR="00F607F1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36</w:t>
      </w:r>
      <w:r w:rsidR="00F607F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 xml:space="preserve">предложений, сформированных по результатам экспертизы проекта решения Думы города «О бюджете городского округа Сургут </w:t>
      </w:r>
      <w:r w:rsidR="00590621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Ханты-Мансийского автономного округа – Югры на 2024 год и плановый период 2025</w:t>
      </w:r>
      <w:r w:rsidR="00046AC6">
        <w:rPr>
          <w:rFonts w:eastAsia="Calibri" w:cs="Times New Roman"/>
          <w:szCs w:val="28"/>
        </w:rPr>
        <w:t xml:space="preserve"> </w:t>
      </w:r>
      <w:r w:rsidR="00046AC6" w:rsidRPr="00BA0841">
        <w:rPr>
          <w:rFonts w:eastAsia="Calibri" w:cs="Times New Roman"/>
          <w:szCs w:val="28"/>
        </w:rPr>
        <w:t>–</w:t>
      </w:r>
      <w:r w:rsidR="00046AC6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 xml:space="preserve">2026 годов», 15 предложений по результатам экспертно-аналитического мероприятия </w:t>
      </w:r>
      <w:r w:rsidRPr="00BA0841">
        <w:rPr>
          <w:rFonts w:eastAsia="Times New Roman" w:cs="Times New Roman"/>
          <w:bCs/>
          <w:iCs/>
          <w:szCs w:val="28"/>
          <w:lang w:eastAsia="ru-RU"/>
        </w:rPr>
        <w:t xml:space="preserve">«Анализ результативности реализации программы «Развитие малого и среднего предпринимательства в городе Сургуте на период до 2030 года» в части реализации регионального проекта «Акселерация субъектов малого и среднего предпринимательства» </w:t>
      </w:r>
      <w:r w:rsidR="00046AC6">
        <w:rPr>
          <w:rFonts w:eastAsia="Times New Roman" w:cs="Times New Roman"/>
          <w:bCs/>
          <w:iCs/>
          <w:szCs w:val="28"/>
          <w:lang w:eastAsia="ru-RU"/>
        </w:rPr>
        <w:br/>
      </w:r>
      <w:r w:rsidRPr="00BA0841">
        <w:rPr>
          <w:rFonts w:eastAsia="Times New Roman" w:cs="Times New Roman"/>
          <w:bCs/>
          <w:iCs/>
          <w:szCs w:val="28"/>
          <w:lang w:eastAsia="ru-RU"/>
        </w:rPr>
        <w:lastRenderedPageBreak/>
        <w:t>в 2021</w:t>
      </w:r>
      <w:r w:rsidR="00046AC6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="00046AC6" w:rsidRPr="00BA0841">
        <w:rPr>
          <w:rFonts w:eastAsia="Calibri" w:cs="Times New Roman"/>
          <w:szCs w:val="28"/>
        </w:rPr>
        <w:t>–</w:t>
      </w:r>
      <w:r w:rsidR="00046AC6">
        <w:rPr>
          <w:rFonts w:eastAsia="Calibri" w:cs="Times New Roman"/>
          <w:szCs w:val="28"/>
        </w:rPr>
        <w:t xml:space="preserve"> </w:t>
      </w:r>
      <w:r w:rsidRPr="00BA0841">
        <w:rPr>
          <w:rFonts w:eastAsia="Times New Roman" w:cs="Times New Roman"/>
          <w:bCs/>
          <w:iCs/>
          <w:szCs w:val="28"/>
          <w:lang w:eastAsia="ru-RU"/>
        </w:rPr>
        <w:t xml:space="preserve">2022 годах (выборочно)», </w:t>
      </w:r>
      <w:r w:rsidRPr="00BA0841">
        <w:rPr>
          <w:rFonts w:eastAsia="Calibri" w:cs="Times New Roman"/>
          <w:szCs w:val="28"/>
        </w:rPr>
        <w:t xml:space="preserve">срок предоставления информации </w:t>
      </w:r>
      <w:r w:rsidR="00046AC6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о рассмотрении и реализации которых наступает в феврале 2024 года, </w:t>
      </w:r>
      <w:r w:rsidR="00590621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а также 12</w:t>
      </w:r>
      <w:r w:rsidR="0059062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 xml:space="preserve">предложений, не принятых по результатам экспертизы 12 муниципальных программ (в том числе предложения, направленные </w:t>
      </w:r>
      <w:r w:rsidR="00590621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на доработку (корректировку) программных мероприятий и показателей, </w:t>
      </w:r>
      <w:r w:rsidR="00590621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а также по приведению в соответствие стратегическим документам города </w:t>
      </w:r>
      <w:r w:rsidR="00046AC6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и требованиям, установленным Порядком принятия решений о разработке, формирования и реализации муниципальных программ городского округа Сургут Ханты-Мансийского автономного округа – Югры, утверждённым постановлением Администрации города от 17.07.2013 № 5159).</w:t>
      </w:r>
    </w:p>
    <w:p w:rsidR="00BA0841" w:rsidRPr="00BA0841" w:rsidRDefault="00BA0841" w:rsidP="00BA0841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>По результатам экспертно-аналитических мероприятий</w:t>
      </w:r>
      <w:r w:rsidR="0059062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 xml:space="preserve">предшествующих периодов в 2023 году исполнены 10 предложений </w:t>
      </w:r>
      <w:r w:rsidR="00046AC6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по устранению недостатков и нарушений, не имеющих суммового выражения.</w:t>
      </w:r>
    </w:p>
    <w:p w:rsidR="00BA0841" w:rsidRPr="00BA0841" w:rsidRDefault="00BA0841" w:rsidP="00BA0841">
      <w:pPr>
        <w:ind w:firstLine="708"/>
        <w:rPr>
          <w:rFonts w:eastAsia="Times New Roman" w:cs="Times New Roman"/>
          <w:szCs w:val="28"/>
        </w:rPr>
      </w:pPr>
      <w:r w:rsidRPr="00BA0841">
        <w:rPr>
          <w:rFonts w:eastAsia="Times New Roman" w:cs="Times New Roman"/>
          <w:szCs w:val="28"/>
        </w:rPr>
        <w:t xml:space="preserve">Формирование предложений Контрольно-счетной палатой города направлено не только на устранение, но и на предотвращение возможных нарушений законодательства, а также </w:t>
      </w:r>
      <w:r w:rsidRPr="00BA0841">
        <w:rPr>
          <w:rFonts w:eastAsia="Calibri" w:cs="Times New Roman"/>
          <w:szCs w:val="28"/>
        </w:rPr>
        <w:t>негативных последствий для бюджета муниципального образования</w:t>
      </w:r>
      <w:r w:rsidRPr="00BA0841">
        <w:rPr>
          <w:rFonts w:eastAsia="Times New Roman" w:cs="Times New Roman"/>
          <w:szCs w:val="28"/>
        </w:rPr>
        <w:t>.</w:t>
      </w:r>
    </w:p>
    <w:p w:rsidR="00BA0841" w:rsidRPr="00BA0841" w:rsidRDefault="00BA0841" w:rsidP="00BA0841">
      <w:pPr>
        <w:ind w:firstLine="708"/>
        <w:rPr>
          <w:rFonts w:eastAsia="Times New Roman" w:cs="Times New Roman"/>
          <w:szCs w:val="28"/>
        </w:rPr>
      </w:pPr>
      <w:r w:rsidRPr="00BA0841">
        <w:rPr>
          <w:rFonts w:eastAsia="Times New Roman" w:cs="Times New Roman"/>
          <w:szCs w:val="28"/>
        </w:rPr>
        <w:t>По предложениям Контрольно-счетной палаты города, отраж</w:t>
      </w:r>
      <w:r w:rsidR="00590621">
        <w:rPr>
          <w:rFonts w:eastAsia="Times New Roman" w:cs="Times New Roman"/>
          <w:szCs w:val="28"/>
        </w:rPr>
        <w:t>ё</w:t>
      </w:r>
      <w:r w:rsidRPr="00BA0841">
        <w:rPr>
          <w:rFonts w:eastAsia="Times New Roman" w:cs="Times New Roman"/>
          <w:szCs w:val="28"/>
        </w:rPr>
        <w:t xml:space="preserve">нным </w:t>
      </w:r>
      <w:r w:rsidR="00046AC6">
        <w:rPr>
          <w:rFonts w:eastAsia="Times New Roman" w:cs="Times New Roman"/>
          <w:szCs w:val="28"/>
        </w:rPr>
        <w:br/>
      </w:r>
      <w:r w:rsidRPr="00BA0841">
        <w:rPr>
          <w:rFonts w:eastAsia="Times New Roman" w:cs="Times New Roman"/>
          <w:szCs w:val="28"/>
        </w:rPr>
        <w:t xml:space="preserve">в документах по результатам мероприятий, Администрацией города, управляющими компаниями приняты соответствующие меры, </w:t>
      </w:r>
      <w:r w:rsidR="00046AC6">
        <w:rPr>
          <w:rFonts w:eastAsia="Times New Roman" w:cs="Times New Roman"/>
          <w:szCs w:val="28"/>
        </w:rPr>
        <w:br/>
      </w:r>
      <w:r w:rsidRPr="00BA0841">
        <w:rPr>
          <w:rFonts w:eastAsia="Times New Roman" w:cs="Times New Roman"/>
          <w:szCs w:val="28"/>
        </w:rPr>
        <w:t xml:space="preserve">что способствовало предотвращению финансовых нарушений на общую сумму 17 073,30 тыс. рублей (не учтено в общей сумме нарушений </w:t>
      </w:r>
      <w:r w:rsidR="00046AC6">
        <w:rPr>
          <w:rFonts w:eastAsia="Times New Roman" w:cs="Times New Roman"/>
          <w:szCs w:val="28"/>
        </w:rPr>
        <w:br/>
      </w:r>
      <w:r w:rsidRPr="00BA0841">
        <w:rPr>
          <w:rFonts w:eastAsia="Times New Roman" w:cs="Times New Roman"/>
          <w:szCs w:val="28"/>
        </w:rPr>
        <w:t>и недостатков), из них:</w:t>
      </w:r>
    </w:p>
    <w:p w:rsidR="00BA0841" w:rsidRPr="00BA0841" w:rsidRDefault="00BA0841" w:rsidP="00BA0841">
      <w:pPr>
        <w:ind w:firstLine="708"/>
        <w:rPr>
          <w:rFonts w:eastAsia="Times New Roman" w:cs="Times New Roman"/>
          <w:szCs w:val="28"/>
        </w:rPr>
      </w:pPr>
      <w:r w:rsidRPr="00BA0841">
        <w:rPr>
          <w:rFonts w:eastAsia="Times New Roman" w:cs="Times New Roman"/>
          <w:szCs w:val="28"/>
        </w:rPr>
        <w:t xml:space="preserve">по </w:t>
      </w:r>
      <w:r w:rsidRPr="00BA0841">
        <w:rPr>
          <w:rFonts w:eastAsia="Calibri" w:cs="Times New Roman"/>
          <w:szCs w:val="28"/>
        </w:rPr>
        <w:t>предложениям, отражённым в акте по результатам контрольного мероприятия «</w:t>
      </w:r>
      <w:r w:rsidRPr="00BA0841">
        <w:rPr>
          <w:rFonts w:eastAsia="Calibri" w:cs="Times New Roman"/>
          <w:snapToGrid w:val="0"/>
          <w:szCs w:val="28"/>
        </w:rPr>
        <w:t xml:space="preserve">Внешняя проверка бюджетной отчётности главного администратора бюджетных средств департамента архитектуры </w:t>
      </w:r>
      <w:r w:rsidR="00046AC6">
        <w:rPr>
          <w:rFonts w:eastAsia="Calibri" w:cs="Times New Roman"/>
          <w:snapToGrid w:val="0"/>
          <w:szCs w:val="28"/>
        </w:rPr>
        <w:br/>
      </w:r>
      <w:r w:rsidRPr="00BA0841">
        <w:rPr>
          <w:rFonts w:eastAsia="Calibri" w:cs="Times New Roman"/>
          <w:snapToGrid w:val="0"/>
          <w:szCs w:val="28"/>
        </w:rPr>
        <w:t>и градостроительства Администрации города Сургута за 2022 год»,</w:t>
      </w:r>
      <w:r w:rsidRPr="00BA0841">
        <w:rPr>
          <w:rFonts w:eastAsia="Calibri" w:cs="Times New Roman"/>
          <w:szCs w:val="28"/>
        </w:rPr>
        <w:t xml:space="preserve"> Администрацией города внесены изменения в муниципальные правовые акты, вследствие чего предотвращены негативные последствия для бюджета муниципального образования на сумму 10 127,40 тыс. рублей;</w:t>
      </w:r>
    </w:p>
    <w:p w:rsidR="00BA0841" w:rsidRPr="00BA0841" w:rsidRDefault="00BA0841" w:rsidP="00BA0841">
      <w:pPr>
        <w:ind w:firstLine="708"/>
        <w:rPr>
          <w:rFonts w:eastAsia="Times New Roman" w:cs="Times New Roman"/>
          <w:szCs w:val="28"/>
        </w:rPr>
      </w:pPr>
      <w:r w:rsidRPr="00BA0841">
        <w:rPr>
          <w:rFonts w:eastAsia="Times New Roman" w:cs="Times New Roman"/>
          <w:szCs w:val="28"/>
        </w:rPr>
        <w:t xml:space="preserve">по </w:t>
      </w:r>
      <w:r w:rsidRPr="00BA0841">
        <w:rPr>
          <w:rFonts w:eastAsia="Calibri" w:cs="Times New Roman"/>
          <w:szCs w:val="28"/>
        </w:rPr>
        <w:t xml:space="preserve">предложениям, отражённым в отчёте по результатам экспертно-аналитического мероприятия «Анализ результативности использования средств, предоставленных управляющим компаниям из бюджета города </w:t>
      </w:r>
      <w:r w:rsidR="00046AC6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в 2023 году в виде субсидии на выполнение мероприятия «Благоустройство дворовых территорий» в рамках реализации муниципальной программы «Формирование комфортной городской среды на период до 2030 года» </w:t>
      </w:r>
      <w:r w:rsidR="00046AC6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в составе регионального проекта «Формирование комфортной городской среды», направленного на реализацию национального проекта «Жильё </w:t>
      </w:r>
      <w:r w:rsidR="00046AC6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 xml:space="preserve">и городская среда» (выборочно)», управляющими компаниями </w:t>
      </w:r>
      <w:r w:rsidR="00590621">
        <w:rPr>
          <w:rFonts w:eastAsia="Calibri" w:cs="Times New Roman"/>
          <w:szCs w:val="28"/>
        </w:rPr>
        <w:t xml:space="preserve">были </w:t>
      </w:r>
      <w:r w:rsidRPr="00BA0841">
        <w:rPr>
          <w:rFonts w:eastAsia="Calibri" w:cs="Times New Roman"/>
          <w:szCs w:val="28"/>
        </w:rPr>
        <w:t xml:space="preserve">приняты соответствующие меры, </w:t>
      </w:r>
      <w:r w:rsidRPr="00BA0841">
        <w:rPr>
          <w:rFonts w:eastAsia="Times New Roman" w:cs="Times New Roman"/>
          <w:szCs w:val="28"/>
        </w:rPr>
        <w:t>что способствовало предотвращению финансовых нарушений на общую сумму 6</w:t>
      </w:r>
      <w:r w:rsidRPr="00BA0841">
        <w:rPr>
          <w:rFonts w:eastAsia="Calibri" w:cs="Times New Roman"/>
          <w:szCs w:val="28"/>
        </w:rPr>
        <w:t> </w:t>
      </w:r>
      <w:r w:rsidRPr="00BA0841">
        <w:rPr>
          <w:rFonts w:eastAsia="Times New Roman" w:cs="Times New Roman"/>
          <w:szCs w:val="28"/>
        </w:rPr>
        <w:t>945,88 тыс. рублей.</w:t>
      </w:r>
    </w:p>
    <w:p w:rsidR="00BA0841" w:rsidRPr="00BA0841" w:rsidRDefault="00BA0841" w:rsidP="00BA0841">
      <w:pPr>
        <w:ind w:firstLine="709"/>
        <w:rPr>
          <w:rFonts w:eastAsia="Calibri" w:cs="Times New Roman"/>
          <w:szCs w:val="28"/>
        </w:rPr>
      </w:pPr>
      <w:r w:rsidRPr="00BA0841">
        <w:rPr>
          <w:rFonts w:eastAsia="Times New Roman" w:cs="Times New Roman"/>
          <w:szCs w:val="28"/>
        </w:rPr>
        <w:t xml:space="preserve">По результатам проведения 2 контрольных и 1 экспертно-аналитического мероприятий направлены </w:t>
      </w:r>
      <w:r w:rsidRPr="00BA0841">
        <w:rPr>
          <w:rFonts w:eastAsia="Calibri" w:cs="Times New Roman"/>
          <w:szCs w:val="28"/>
        </w:rPr>
        <w:t xml:space="preserve">2 представления и 2 предписания. </w:t>
      </w:r>
      <w:r w:rsidRPr="00BA0841">
        <w:rPr>
          <w:rFonts w:eastAsia="Calibri" w:cs="Times New Roman"/>
          <w:szCs w:val="28"/>
        </w:rPr>
        <w:lastRenderedPageBreak/>
        <w:t>На момент подготовки настоящего отчёта 1 представление и 2 предписания исполнены в полном объёме, реализация 1</w:t>
      </w:r>
      <w:r w:rsidR="0059062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szCs w:val="28"/>
        </w:rPr>
        <w:t>представления оста</w:t>
      </w:r>
      <w:r w:rsidR="00590621">
        <w:rPr>
          <w:rFonts w:eastAsia="Calibri" w:cs="Times New Roman"/>
          <w:szCs w:val="28"/>
        </w:rPr>
        <w:t>ё</w:t>
      </w:r>
      <w:r w:rsidRPr="00BA0841">
        <w:rPr>
          <w:rFonts w:eastAsia="Calibri" w:cs="Times New Roman"/>
          <w:szCs w:val="28"/>
        </w:rPr>
        <w:t xml:space="preserve">тся </w:t>
      </w:r>
      <w:r w:rsidR="00046AC6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на контроле.</w:t>
      </w:r>
      <w:r w:rsidR="00590621">
        <w:rPr>
          <w:rFonts w:eastAsia="Calibri" w:cs="Times New Roman"/>
          <w:szCs w:val="28"/>
        </w:rPr>
        <w:t xml:space="preserve"> </w:t>
      </w:r>
    </w:p>
    <w:p w:rsidR="00BA0841" w:rsidRPr="00BA0841" w:rsidRDefault="00BA0841" w:rsidP="00BA0841">
      <w:pPr>
        <w:ind w:firstLine="709"/>
        <w:rPr>
          <w:rFonts w:eastAsia="Times New Roman" w:cs="Times New Roman"/>
          <w:szCs w:val="28"/>
          <w:lang w:eastAsia="ru-RU"/>
        </w:rPr>
      </w:pPr>
      <w:r w:rsidRPr="00BA0841">
        <w:rPr>
          <w:rFonts w:eastAsia="Times New Roman" w:cs="Times New Roman"/>
          <w:szCs w:val="28"/>
          <w:lang w:eastAsia="ru-RU"/>
        </w:rPr>
        <w:t>На основании заключ</w:t>
      </w:r>
      <w:r w:rsidR="00C153D2">
        <w:rPr>
          <w:rFonts w:eastAsia="Times New Roman" w:cs="Times New Roman"/>
          <w:szCs w:val="28"/>
          <w:lang w:eastAsia="ru-RU"/>
        </w:rPr>
        <w:t>ё</w:t>
      </w:r>
      <w:r w:rsidRPr="00BA0841">
        <w:rPr>
          <w:rFonts w:eastAsia="Times New Roman" w:cs="Times New Roman"/>
          <w:szCs w:val="28"/>
          <w:lang w:eastAsia="ru-RU"/>
        </w:rPr>
        <w:t>нного соглашения в прокуратуру города Сургута направлен 121</w:t>
      </w:r>
      <w:r w:rsidR="00590621">
        <w:rPr>
          <w:rFonts w:eastAsia="Times New Roman" w:cs="Times New Roman"/>
          <w:szCs w:val="28"/>
          <w:lang w:eastAsia="ru-RU"/>
        </w:rPr>
        <w:t xml:space="preserve"> </w:t>
      </w:r>
      <w:r w:rsidRPr="00BA0841">
        <w:rPr>
          <w:rFonts w:eastAsia="Times New Roman" w:cs="Times New Roman"/>
          <w:szCs w:val="28"/>
          <w:lang w:eastAsia="ru-RU"/>
        </w:rPr>
        <w:t>итоговый документ (с приложениями) о результатах контрольных и экспертно-аналитических мероприятий.</w:t>
      </w:r>
    </w:p>
    <w:p w:rsidR="00BA0841" w:rsidRPr="00BA0841" w:rsidRDefault="00BA0841" w:rsidP="00BA0841">
      <w:pPr>
        <w:ind w:firstLine="709"/>
        <w:rPr>
          <w:rFonts w:eastAsia="Times New Roman" w:cs="Times New Roman"/>
          <w:color w:val="FF0000"/>
          <w:szCs w:val="28"/>
        </w:rPr>
      </w:pPr>
      <w:r w:rsidRPr="00BA0841">
        <w:rPr>
          <w:rFonts w:eastAsia="Times New Roman" w:cs="Times New Roman"/>
          <w:szCs w:val="28"/>
        </w:rPr>
        <w:t xml:space="preserve">В 2023 отчётном году к должностным лицам объектов проверок меры дисциплинарного и материального характера не применялись. </w:t>
      </w:r>
    </w:p>
    <w:p w:rsidR="00BA0841" w:rsidRPr="00BA0841" w:rsidRDefault="00BA0841" w:rsidP="00BA0841">
      <w:pPr>
        <w:ind w:firstLine="708"/>
        <w:rPr>
          <w:rFonts w:eastAsia="Calibri" w:cs="Times New Roman"/>
          <w:szCs w:val="28"/>
        </w:rPr>
      </w:pPr>
      <w:r w:rsidRPr="00BA0841">
        <w:rPr>
          <w:rFonts w:eastAsia="Times New Roman" w:cs="Times New Roman"/>
          <w:szCs w:val="28"/>
          <w:lang w:eastAsia="ru-RU"/>
        </w:rPr>
        <w:t>Согласно информации прокуратуры города Сургута от 17.01.2024</w:t>
      </w:r>
      <w:r w:rsidRPr="00BA0841">
        <w:rPr>
          <w:rFonts w:eastAsia="Times New Roman" w:cs="Times New Roman"/>
          <w:szCs w:val="28"/>
          <w:lang w:eastAsia="ru-RU"/>
        </w:rPr>
        <w:br/>
        <w:t>№ 07-04-2023/103-24-20710104 п</w:t>
      </w:r>
      <w:r w:rsidRPr="00BA0841">
        <w:rPr>
          <w:rFonts w:eastAsia="Calibri" w:cs="Times New Roman"/>
          <w:szCs w:val="28"/>
        </w:rPr>
        <w:t>о результатам рассмотрения материалов проверок, направленных Контрольно-счетной палатой, возбуждено 3 административных производства. К административной ответственности привлечено 2 должностных лица муниципальных каз</w:t>
      </w:r>
      <w:r w:rsidR="00C153D2">
        <w:rPr>
          <w:rFonts w:eastAsia="Calibri" w:cs="Times New Roman"/>
          <w:szCs w:val="28"/>
        </w:rPr>
        <w:t>ё</w:t>
      </w:r>
      <w:r w:rsidRPr="00BA0841">
        <w:rPr>
          <w:rFonts w:eastAsia="Calibri" w:cs="Times New Roman"/>
          <w:szCs w:val="28"/>
        </w:rPr>
        <w:t xml:space="preserve">нных учреждений. </w:t>
      </w:r>
    </w:p>
    <w:p w:rsidR="00BA0841" w:rsidRPr="00BA0841" w:rsidRDefault="00BA0841" w:rsidP="00BA0841">
      <w:pPr>
        <w:ind w:firstLine="709"/>
        <w:rPr>
          <w:rFonts w:eastAsia="Calibri" w:cs="Times New Roman"/>
          <w:color w:val="FF0000"/>
          <w:szCs w:val="28"/>
        </w:rPr>
      </w:pPr>
    </w:p>
    <w:p w:rsidR="00BA0841" w:rsidRPr="00C153D2" w:rsidRDefault="00BA0841" w:rsidP="00046AC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Cs/>
          <w:szCs w:val="28"/>
        </w:rPr>
      </w:pPr>
      <w:r w:rsidRPr="00C153D2">
        <w:rPr>
          <w:rFonts w:eastAsia="Calibri" w:cs="Times New Roman"/>
          <w:bCs/>
          <w:szCs w:val="28"/>
        </w:rPr>
        <w:t>2. Информационная, методологическая и прочая деятельность</w:t>
      </w:r>
    </w:p>
    <w:p w:rsidR="00BA0841" w:rsidRPr="00C153D2" w:rsidRDefault="00BA0841" w:rsidP="00BA084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Cs/>
          <w:szCs w:val="28"/>
        </w:rPr>
      </w:pP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В отчётном периоде на основании заключённых соглашений продолжалось взаимодействие Контрольно-счетной палаты с федеральными органами исполнительной власти, правоохранительными и другими контрольно-надзорными органами. 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Должностные лица Контрольно-счетной палаты активно принимали участие в заседаниях Думы города, её комитетов, депутатских слушаниях,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а также в заседаниях комиссий при Главе города и в Администрации города.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В отч</w:t>
      </w:r>
      <w:r w:rsidR="00C153D2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тном периоде организовывались и проводились рабочие встречи и совещания с Думой города и Администрацией города, оперативно обсуждались актуальные проблемные вопросы, устранялись возможные риски наступления негативных последствий по отдельным направлениям деятельности муниципалитета.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В целях укрепления и развития единой системы внешнего финансового контроля Российской Федерации, в соответствии со стать</w:t>
      </w:r>
      <w:r w:rsidR="00C153D2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 xml:space="preserve">й 18 Закона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№ 6-ФЗ и стать</w:t>
      </w:r>
      <w:r w:rsidR="00C153D2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й 21 Положения № 170-</w:t>
      </w:r>
      <w:r w:rsidRPr="00BA0841">
        <w:rPr>
          <w:rFonts w:eastAsia="Calibri" w:cs="Times New Roman"/>
          <w:bCs/>
          <w:szCs w:val="28"/>
          <w:lang w:val="en-US"/>
        </w:rPr>
        <w:t>IV</w:t>
      </w:r>
      <w:r w:rsidR="00C153D2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ДГ осуществлял</w:t>
      </w:r>
      <w:r w:rsidR="00C153D2">
        <w:rPr>
          <w:rFonts w:eastAsia="Calibri" w:cs="Times New Roman"/>
          <w:bCs/>
          <w:szCs w:val="28"/>
        </w:rPr>
        <w:t>о</w:t>
      </w:r>
      <w:r w:rsidRPr="00BA0841">
        <w:rPr>
          <w:rFonts w:eastAsia="Calibri" w:cs="Times New Roman"/>
          <w:bCs/>
          <w:szCs w:val="28"/>
        </w:rPr>
        <w:t xml:space="preserve">сь взаимодействие с контрольно-счетными органами других муниципальных образований, Счетной палатой Ханты-Мансийского автономного </w:t>
      </w:r>
      <w:r w:rsidR="007D235E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округа – Югры, Счетной палатой Российской Федерации.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Сотрудничество осуществляется на основании подписанного соглашения со Счетной палатой Ханты-Мансийского автономного </w:t>
      </w:r>
      <w:r w:rsidR="007D235E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округа – Югры, а также пут</w:t>
      </w:r>
      <w:r w:rsidR="007D235E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 xml:space="preserve">м участия в деятельности Союза муниципальных контрольно-счетных органов Российской Федерации (далее – Союз МКСО), членом которого Контрольно-счетная палата является с 2010 года. 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Участие в деятельности Союза МКСО позволяет обобщать накопленный опыт и координировать совместные усилия по развитию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и совершенствованию внешнего муниципального финансового контроля,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в том числе в области методологического обеспечения контрольной деятельности, а также позволяет непосредственно влиять на происходящие </w:t>
      </w:r>
      <w:r w:rsidRPr="00BA0841">
        <w:rPr>
          <w:rFonts w:eastAsia="Calibri" w:cs="Times New Roman"/>
          <w:bCs/>
          <w:szCs w:val="28"/>
        </w:rPr>
        <w:lastRenderedPageBreak/>
        <w:t>процессы преобразований в сфере финансового контроля на законодательном уровне.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С целью совершенствования внешнего муниципального финансового контроля Председатель Контрольно-счетной палаты, являясь членом Президиума Союза МКСО</w:t>
      </w:r>
      <w:r w:rsidR="007D235E">
        <w:rPr>
          <w:rFonts w:eastAsia="Calibri" w:cs="Times New Roman"/>
          <w:bCs/>
          <w:szCs w:val="28"/>
        </w:rPr>
        <w:t xml:space="preserve"> – </w:t>
      </w:r>
      <w:r w:rsidRPr="00BA0841">
        <w:rPr>
          <w:rFonts w:eastAsia="Calibri" w:cs="Times New Roman"/>
          <w:bCs/>
          <w:szCs w:val="28"/>
        </w:rPr>
        <w:t xml:space="preserve">председателем Комиссии Союза МКСО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по правовым вопросам, в 2023 году принимал участие в заседаниях Президиума Союза МКСО, а также</w:t>
      </w:r>
      <w:r w:rsidR="007D235E">
        <w:rPr>
          <w:rFonts w:eastAsia="Calibri" w:cs="Times New Roman"/>
          <w:bCs/>
          <w:szCs w:val="28"/>
        </w:rPr>
        <w:t xml:space="preserve"> в </w:t>
      </w:r>
      <w:r w:rsidRPr="00BA0841">
        <w:rPr>
          <w:rFonts w:eastAsia="Calibri" w:cs="Times New Roman"/>
          <w:bCs/>
          <w:szCs w:val="28"/>
        </w:rPr>
        <w:t xml:space="preserve">XXI общем собрании (Конференции) членов Союза МКСО, на которых обсуждались темы, актуальные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в деятельности Контрольно-счетной палаты, в том числе по следующим темам: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совершенствование внешнего муниципального финансового контроля;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привлечение экспертов при осуществлении внешнего муниципального финансового контроля и использование результатов</w:t>
      </w:r>
      <w:r w:rsidR="007D235E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их работы;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внедрение цифровых технологий в деятельность муниципальных контрольно-счетных органов;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правовое регулирования статуса лиц, замещающих муниципальные должности в контрольно-сч</w:t>
      </w:r>
      <w:r w:rsidR="00955C47">
        <w:rPr>
          <w:rFonts w:eastAsia="Calibri" w:cs="Times New Roman"/>
          <w:bCs/>
          <w:szCs w:val="28"/>
        </w:rPr>
        <w:t>е</w:t>
      </w:r>
      <w:r w:rsidRPr="00BA0841">
        <w:rPr>
          <w:rFonts w:eastAsia="Calibri" w:cs="Times New Roman"/>
          <w:bCs/>
          <w:szCs w:val="28"/>
        </w:rPr>
        <w:t xml:space="preserve">тном органе муниципального образования,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в том числе вопросы оплаты труда, материального и социального обеспечения; 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актуализация типовых стандартов и методических рекомендаций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по осуществлению внешнего муниципального финансового контроля;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практика реализации проектов инициативного бюджетирования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и контроля за использованием средств, выделенных на их финансирование;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об адаптации применительно к муниципальному уровню методических материалов, разработанных комиссией Совета контрольно-счетных органов при Счетной палате Российской Федерации по вопросам методологии;</w:t>
      </w:r>
    </w:p>
    <w:p w:rsidR="00BA0841" w:rsidRPr="00BA0841" w:rsidRDefault="00BA0841" w:rsidP="00046AC6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об актуализации типовых стандартов и методических рекомендаций </w:t>
      </w:r>
      <w:r w:rsidR="007D235E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по осуществлению внешнего муниципального финансового контроля;</w:t>
      </w:r>
    </w:p>
    <w:p w:rsidR="00BA0841" w:rsidRPr="00BA0841" w:rsidRDefault="00BA0841" w:rsidP="00046AC6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обобщение практики муниципальных контрольно-счетных органов </w:t>
      </w:r>
      <w:r w:rsidR="00955C47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при</w:t>
      </w:r>
      <w:r w:rsidR="00955C47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оценке законности и эффективности закупок товаров, работ, услуг отдельными видами юридических лиц;</w:t>
      </w:r>
    </w:p>
    <w:p w:rsidR="00BA0841" w:rsidRPr="00BA0841" w:rsidRDefault="00BA0841" w:rsidP="00046AC6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развитие риск-ориентированного подхода при осуществлении внешнего муниципального финансового контроля, предусмотренного Концепцией риск-ориентированного подхода в контрольно-счетных органах муниципальных образований, утвержд</w:t>
      </w:r>
      <w:r w:rsidR="007D235E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нной Президиумом Союза МКСО.</w:t>
      </w:r>
    </w:p>
    <w:p w:rsidR="00BA0841" w:rsidRPr="00BA0841" w:rsidRDefault="00BA0841" w:rsidP="00046AC6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Обобщалась и анализировались: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практика работы муниципальных контрольно-счетных органов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по взаимодействию с органами прокуратуры и иными правоохранительными органами при осуществлении контрольных и экспертно-аналитических мероприятий по их обращениям, взаимодействия с указанными органами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в ходе контрольных мероприятий, оформления результатов, передачи результатов;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опыт муниципальных контрольно-счетных органов по предотвращению и разрешению конфликтов интересов;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lastRenderedPageBreak/>
        <w:t>судебная практика по делам: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• об обжаловании (оспаривании) действий и документов органа внешнего муниципального финансового контроля;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• о привлечении к административной ответственности </w:t>
      </w:r>
      <w:r w:rsidR="00955C47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и об обжаловании лицами, привлеч</w:t>
      </w:r>
      <w:r w:rsidR="00955C47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нными к административной ответственности решений судов о привлечении к административной ответственности;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• об обжаловании муниципальными контрольно-счетными органами постановлений о прекращении производства по делам об административных правонарушениях;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опыт совершенствования организации и учебно-методического обеспечения профессионального образования сотрудников муниципальных контрольно-счетных органов.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В декабре 2023 года в городе Ханты-Мансийске состоялся Координационный совет представительных органов местного самоуправления муниципальных образований Ханты-Мансийского автономного округа – Югры, на котором в качестве докладчика выступил Председатель Контрольно-счетной палаты по вопросу «Об анализе результативности и эффективности работы контрольно-счетных органов муниципальных образований Ханты-Мансийского автономного округа – Югры».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Обобщение опыта контрольной и экспертно-аналитической деятельности посредством участия в Союзе МКСО положительно сказывается на качестве проводимых проверок и документов, оформленных по их результатам. Вместе с тем</w:t>
      </w:r>
      <w:r w:rsidR="00AD5BA3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 xml:space="preserve">участие Контрольно-счетной палаты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в деятельности Союза МКСО порождает обязанность обмена практическим опытом, наработками и знаниями. 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Организуемые Союзом МКСО дискуссионные площадки, в том числе «круглые столы», направлены на публичный обмен мнениями между представителями муниципалитетов в лице контрольно-счетных органов. Необходимо отметить, что участие в заседаниях круглого стола, проводимых Союзом МКСО, и выступления с докладами по актуальным вопросам практической деятельности в рамках внешнего муниципального финансового контроля явля</w:t>
      </w:r>
      <w:r w:rsidR="00AD5BA3">
        <w:rPr>
          <w:rFonts w:eastAsia="Calibri" w:cs="Times New Roman"/>
          <w:bCs/>
          <w:szCs w:val="28"/>
        </w:rPr>
        <w:t>ю</w:t>
      </w:r>
      <w:r w:rsidRPr="00BA0841">
        <w:rPr>
          <w:rFonts w:eastAsia="Calibri" w:cs="Times New Roman"/>
          <w:bCs/>
          <w:szCs w:val="28"/>
        </w:rPr>
        <w:t>тся очень значимым</w:t>
      </w:r>
      <w:r w:rsidR="00AD5BA3">
        <w:rPr>
          <w:rFonts w:eastAsia="Calibri" w:cs="Times New Roman"/>
          <w:bCs/>
          <w:szCs w:val="28"/>
        </w:rPr>
        <w:t>и</w:t>
      </w:r>
      <w:r w:rsidRPr="00BA0841">
        <w:rPr>
          <w:rFonts w:eastAsia="Calibri" w:cs="Times New Roman"/>
          <w:bCs/>
          <w:szCs w:val="28"/>
        </w:rPr>
        <w:t xml:space="preserve"> и важным</w:t>
      </w:r>
      <w:r w:rsidR="00AD5BA3">
        <w:rPr>
          <w:rFonts w:eastAsia="Calibri" w:cs="Times New Roman"/>
          <w:bCs/>
          <w:szCs w:val="28"/>
        </w:rPr>
        <w:t>и</w:t>
      </w:r>
      <w:r w:rsidRPr="00BA0841">
        <w:rPr>
          <w:rFonts w:eastAsia="Calibri" w:cs="Times New Roman"/>
          <w:bCs/>
          <w:szCs w:val="28"/>
        </w:rPr>
        <w:t xml:space="preserve"> для всех муниципальных контрольно-счетных органов (далее – МКСО), поскольку позволя</w:t>
      </w:r>
      <w:r w:rsidR="00AD5BA3">
        <w:rPr>
          <w:rFonts w:eastAsia="Calibri" w:cs="Times New Roman"/>
          <w:bCs/>
          <w:szCs w:val="28"/>
        </w:rPr>
        <w:t>ю</w:t>
      </w:r>
      <w:r w:rsidRPr="00BA0841">
        <w:rPr>
          <w:rFonts w:eastAsia="Calibri" w:cs="Times New Roman"/>
          <w:bCs/>
          <w:szCs w:val="28"/>
        </w:rPr>
        <w:t xml:space="preserve">т получить представление об уровне достигнутых результатов </w:t>
      </w:r>
      <w:r w:rsidR="00AD5BA3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в осуществлении внешнего муниципального финансового контроля, а также возможность оценить правильность выбранных направлений деятельности </w:t>
      </w:r>
      <w:r w:rsidR="00AD5BA3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в сравнении с другими МКСО на общероссийском уровне.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Кроме того, участие в заседаниях круглого стола, проводимых Союзом МКСО, способствует созданию положительного имиджа Контрольно-счетной палаты и муниципального образования в целом по всей Российской Федерации в отношении осуществляемых в городе практик контроля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за использованием бюджетных средств.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lastRenderedPageBreak/>
        <w:t>В заседаниях каждого круглого стола Союза МКСО принимает участие значительное количество представителей муниципальных и региональных контрольно-счетных органов Российской Федерации, а также представители органов власти и приглашенные эксперты.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Так, руководитель и сотрудники Контрольно-счетной палаты в течение отч</w:t>
      </w:r>
      <w:r w:rsidR="00AD5BA3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тного периода неоднократно принимали участие</w:t>
      </w:r>
      <w:r w:rsidR="00AD5BA3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 xml:space="preserve">как в качестве организатора и модератора мероприятия, так и в качестве спикеров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на заседаниях круглых столов, организованных Союзом МКСО </w:t>
      </w:r>
      <w:r w:rsidR="00AD5BA3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для работников контрольно-счетных органов Российской Федерации, </w:t>
      </w:r>
      <w:r w:rsidR="00AD5BA3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по темам: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вопросы, связанные с использованием труда лиц, замещающих муниципальные должности в контрольно-счетном органе муниципального образования, оплатой их труда, материального и социального обеспечения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на примере города Сургута;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анализ результативности и эффективности работы контрольно-счетных органов муниципальных образований Ханты-Мансийского автономного округа – Югры;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практика внешнего муниципального финансового контроля в сфере незаверш</w:t>
      </w:r>
      <w:r w:rsidR="00AD5BA3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нного строительства на примере города Сургута;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практика контроля за законностью и эффективностью бюджетных расходов, направленных на ремонт и содержание автомобильных дорог.</w:t>
      </w:r>
    </w:p>
    <w:p w:rsidR="00BA0841" w:rsidRPr="00AA5A19" w:rsidRDefault="00BA0841" w:rsidP="00BA0841">
      <w:pPr>
        <w:widowControl w:val="0"/>
        <w:ind w:firstLine="709"/>
        <w:rPr>
          <w:rFonts w:eastAsia="Calibri" w:cs="Times New Roman"/>
          <w:color w:val="0000FF"/>
          <w:szCs w:val="28"/>
          <w:u w:val="single"/>
        </w:rPr>
      </w:pPr>
      <w:r w:rsidRPr="00BA0841">
        <w:rPr>
          <w:rFonts w:eastAsia="Calibri" w:cs="Times New Roman"/>
          <w:szCs w:val="28"/>
        </w:rPr>
        <w:t>Информация о провед</w:t>
      </w:r>
      <w:r w:rsidR="00AD5BA3">
        <w:rPr>
          <w:rFonts w:eastAsia="Calibri" w:cs="Times New Roman"/>
          <w:szCs w:val="28"/>
        </w:rPr>
        <w:t>ё</w:t>
      </w:r>
      <w:r w:rsidRPr="00BA0841">
        <w:rPr>
          <w:rFonts w:eastAsia="Calibri" w:cs="Times New Roman"/>
          <w:szCs w:val="28"/>
        </w:rPr>
        <w:t xml:space="preserve">нных мероприятиях размещена в Интернете </w:t>
      </w:r>
      <w:r w:rsidR="00AD5BA3">
        <w:rPr>
          <w:rFonts w:eastAsia="Calibri" w:cs="Times New Roman"/>
          <w:szCs w:val="28"/>
        </w:rPr>
        <w:br/>
      </w:r>
      <w:r w:rsidRPr="00BA0841">
        <w:rPr>
          <w:rFonts w:eastAsia="Calibri" w:cs="Times New Roman"/>
          <w:szCs w:val="28"/>
        </w:rPr>
        <w:t>на официальной странице Союза МКСО по адресу: https://portalkso.ru/mkso_union/events/learning/</w:t>
      </w:r>
      <w:hyperlink r:id="rId9" w:history="1"/>
      <w:r w:rsidRPr="00AA5A19">
        <w:rPr>
          <w:rFonts w:eastAsia="Calibri" w:cs="Times New Roman"/>
          <w:color w:val="0000FF"/>
          <w:szCs w:val="28"/>
          <w:u w:val="single"/>
        </w:rPr>
        <w:t>.</w:t>
      </w:r>
    </w:p>
    <w:p w:rsidR="00BA0841" w:rsidRPr="00BA0841" w:rsidRDefault="00BA0841" w:rsidP="00BA0841">
      <w:pPr>
        <w:widowControl w:val="0"/>
        <w:ind w:firstLine="709"/>
        <w:rPr>
          <w:rFonts w:eastAsia="Calibri" w:cs="Times New Roman"/>
          <w:szCs w:val="28"/>
        </w:rPr>
      </w:pPr>
      <w:r w:rsidRPr="00BA0841">
        <w:rPr>
          <w:rFonts w:eastAsia="Calibri" w:cs="Times New Roman"/>
          <w:szCs w:val="28"/>
        </w:rPr>
        <w:t>Новости о провед</w:t>
      </w:r>
      <w:r w:rsidR="00AD5BA3">
        <w:rPr>
          <w:rFonts w:eastAsia="Calibri" w:cs="Times New Roman"/>
          <w:szCs w:val="28"/>
        </w:rPr>
        <w:t>ё</w:t>
      </w:r>
      <w:r w:rsidRPr="00BA0841">
        <w:rPr>
          <w:rFonts w:eastAsia="Calibri" w:cs="Times New Roman"/>
          <w:szCs w:val="28"/>
        </w:rPr>
        <w:t>нных мероприятиях и ссылки для просмотра также размещены в общем доступе в открытой части портала Счетной палаты Российской Федерации и контрольно-счетных органов Российской Федерации в разделе «События»: https://portalkso.ru/news/novosti/.</w:t>
      </w:r>
    </w:p>
    <w:p w:rsidR="00BA0841" w:rsidRPr="00BA0841" w:rsidRDefault="00BA0841" w:rsidP="00BA0841">
      <w:pPr>
        <w:widowControl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За 2023 год в порядке оказания содействия и практической помощи членам Союза МКСО рассмотрены и направлены информационные письма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в адрес контрольно-счетных палат</w:t>
      </w:r>
      <w:r w:rsidRPr="00BA084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города Томска,</w:t>
      </w:r>
      <w:r w:rsidRPr="00BA084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города Симферополя Республики Крым,</w:t>
      </w:r>
      <w:r w:rsidRPr="00BA084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города Ростова-на-Дону,</w:t>
      </w:r>
      <w:r w:rsidRPr="00BA084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муниципального образования Апшеронский район,</w:t>
      </w:r>
      <w:r w:rsidRPr="00BA084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города Норильска, города Мурманска,</w:t>
      </w:r>
      <w:r w:rsidRPr="00BA084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Дальнегорского городского округа,</w:t>
      </w:r>
      <w:r w:rsidRPr="00BA0841">
        <w:rPr>
          <w:rFonts w:eastAsia="Calibri" w:cs="Times New Roman"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 xml:space="preserve">города Бузулук, ревизионной комиссии муниципального образования город Новотроицк, Контрольно-счетной комиссии Бейского района Республики Хакасия, а также Председателя Союза МКСО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и Ответственного секретаря Союза МКСО. 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За большой вклад в становление и развитие муниципального финансового контроля в Российской Федерации Председатель Контрольно-счетной палаты награждён Поч</w:t>
      </w:r>
      <w:r w:rsidR="00AD5BA3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 xml:space="preserve">тной грамотой Союза муниципальных контрольно-счетных органов (решение Президиума Союза МКСО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от 13.09.2023</w:t>
      </w:r>
      <w:r w:rsidRPr="00AA5A19">
        <w:rPr>
          <w:rFonts w:eastAsia="Calibri" w:cs="Times New Roman"/>
          <w:szCs w:val="28"/>
          <w:vertAlign w:val="superscript"/>
        </w:rPr>
        <w:footnoteReference w:id="5"/>
      </w:r>
      <w:r w:rsidRPr="00BA0841">
        <w:rPr>
          <w:rFonts w:eastAsia="Calibri" w:cs="Times New Roman"/>
          <w:bCs/>
          <w:szCs w:val="28"/>
        </w:rPr>
        <w:t>).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В отч</w:t>
      </w:r>
      <w:r w:rsidR="00AD5BA3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 xml:space="preserve">тном периоде продолжена работа по совершенствованию </w:t>
      </w:r>
      <w:r w:rsidRPr="00BA0841">
        <w:rPr>
          <w:rFonts w:eastAsia="Calibri" w:cs="Times New Roman"/>
          <w:bCs/>
          <w:szCs w:val="28"/>
        </w:rPr>
        <w:lastRenderedPageBreak/>
        <w:t xml:space="preserve">муниципальных правовых актов, регулирующих деятельность Контрольно-счетной палаты города, направленных на приведение в соответствие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с действующим законодательством и Уставом муниципального образования городской округ Сургут Ханты-Мансийского автономного округа</w:t>
      </w:r>
      <w:r w:rsidR="00046AC6">
        <w:rPr>
          <w:rFonts w:eastAsia="Calibri" w:cs="Times New Roman"/>
          <w:bCs/>
          <w:szCs w:val="28"/>
        </w:rPr>
        <w:t xml:space="preserve"> – </w:t>
      </w:r>
      <w:r w:rsidRPr="00BA0841">
        <w:rPr>
          <w:rFonts w:eastAsia="Calibri" w:cs="Times New Roman"/>
          <w:bCs/>
          <w:szCs w:val="28"/>
        </w:rPr>
        <w:t>Югры</w:t>
      </w:r>
      <w:r w:rsidRPr="00AA5A19">
        <w:rPr>
          <w:rFonts w:eastAsia="Calibri" w:cs="Times New Roman"/>
          <w:szCs w:val="28"/>
          <w:vertAlign w:val="superscript"/>
        </w:rPr>
        <w:footnoteReference w:id="6"/>
      </w:r>
      <w:r w:rsidRPr="00BA0841">
        <w:rPr>
          <w:rFonts w:eastAsia="Calibri" w:cs="Times New Roman"/>
          <w:bCs/>
          <w:szCs w:val="28"/>
        </w:rPr>
        <w:t>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В 2023 году был разработан и внесён в Думу города проект решения, уточняющий требования к кандидатурам на должности Председателя, заместителя Председателя и аудиторов Контрольно-счетной палаты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и порядку назначения на указанные должности.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Обеспечение доступа к информации о своей деятельности – одна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из функций Контрольно-счетной палаты.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На основании статьи 19 Закона № 6-ФЗ информация о деятельности КСП размещается на официальном сайте http://kspsurgut.ru, зарегистрированном в качестве средства массовой информации. В 2023 году размещено около 150 публикаций.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Кроме информации о результатах контрольных и экспертно-аналитических мероприятий на официальном сайте размещена информация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и документы, характеризующие деятельность КСП, – план мероприятий, отчёт о деятельности, регламент, стандарты, методические рекомендации, информация об антикоррупционной деятельности и другие материалы.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В целях реализации принципа открытости деятельности органа внешнего муниципального финансового контроля в 2023 году созданы </w:t>
      </w:r>
      <w:r w:rsidR="00046AC6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и зарегистрированы в качестве госпабликов официальные страницы Контрольно-счетной палаты в социальных сетях «ВКонтакте», «Одноклассники». 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В 2023 году создан Telegram-канал Союза МКСО, на котором размещается новостной материал о текущей деятельности и актуальных вопросах, возникающих в деятельности органов внешнего муниципального финансового контроля, в том числе Контрольно-счетной палаты. 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Продолжена работа по информатизации деятельности Контрольно-счетной палаты. В 2023 году были модернизированы и доработаны технические функциональные возможности основных модулей программного продукта «Сиброн Консалт: Документооборот контрольно-счетного органа» на платформе Directum.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Существенно обновлён и адаптирован под практические цели и задачи КСП специальный компонент указанного программного продукта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для контрольно-счетных органов «Управление проверками», который позволяет унифицировать действия сотрудников в процессе планирования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и проведения контрольных и экспертно-аналитических мероприятий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с уч</w:t>
      </w:r>
      <w:r w:rsidR="00D13EA7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 xml:space="preserve">том необходимости автоматизации процесса оформления документов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на всех этапах деятельности, а также отражения результатов проверок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lastRenderedPageBreak/>
        <w:t>и сводных отч</w:t>
      </w:r>
      <w:r w:rsidR="00D13EA7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тных данных.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Главной целью дальнейшей адаптации и применения вышеуказанного программного продукта является повышение эффективности деятельности Контрольно-счетной палаты за сч</w:t>
      </w:r>
      <w:r w:rsidR="00D13EA7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т автоматизации рабочих процессов.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На официальном сайте КСП в сети интернет содержится раздел «Обращения», где размещён порядок рассмотрения обращений граждан, </w:t>
      </w:r>
      <w:r w:rsidR="00D13EA7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дни и часы их приёма, предусмотрены формы для направления обращений непосредственно через сайт.</w:t>
      </w:r>
    </w:p>
    <w:p w:rsidR="00BA0841" w:rsidRPr="00BA0841" w:rsidRDefault="00BA0841" w:rsidP="00BA0841">
      <w:pPr>
        <w:widowControl w:val="0"/>
        <w:tabs>
          <w:tab w:val="left" w:pos="0"/>
        </w:tabs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В 2023 году в Контрольно-счетную палату поступило для рассмотрения 5 обращений граждан о нарушении законов и иных нормативных правовых актов.</w:t>
      </w:r>
    </w:p>
    <w:p w:rsidR="00BA0841" w:rsidRPr="00BA0841" w:rsidRDefault="00BA0841" w:rsidP="00BA0841">
      <w:pPr>
        <w:widowControl w:val="0"/>
        <w:tabs>
          <w:tab w:val="left" w:pos="0"/>
        </w:tabs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По всем пяти обращениям гражданам направлены ответы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в установленном порядке в соответствии с Федеральным законом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от 02.05.2006 № 59-ФЗ «О порядке рассмотрения обращений граждан Российской Федерации».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На основании заключенного соглашения о взаимодействии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с МКУ «Хозяйственно-эксплуатационное управление» документационное обеспечение деятельности Контрольно-счетной палаты осуществляется специалистом указанного учреждения.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В соответствии с Положением о Коллегии Контрольно-счетной палаты, утверждённым решением Думы города от 29.11.2012 № 270-V ДГ,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на заседаниях Коллегии в 2023 году рассматривались следующие вопросы: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проекты планов работы КСП, вносимых в них изменений;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проекты стандартов внешнего муниципального финансового контроля;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проект годового отчёта о деятельности Контрольно-счетной палаты;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проекты отчётов о проведении контрольных мероприятий; </w:t>
      </w:r>
    </w:p>
    <w:p w:rsidR="00BA0841" w:rsidRPr="00BA0841" w:rsidRDefault="00BA0841" w:rsidP="00AA5A1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проекты представлений, предложений о внесении в них изменений или отмене;</w:t>
      </w:r>
    </w:p>
    <w:p w:rsidR="00BA0841" w:rsidRPr="00BA0841" w:rsidRDefault="00BA0841" w:rsidP="00AA5A1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проекты программ проведения контрольных мероприятий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в соответствии с планами работы Контрольно-счетной палаты;</w:t>
      </w:r>
    </w:p>
    <w:p w:rsidR="00BA0841" w:rsidRPr="00BA0841" w:rsidRDefault="00BA0841" w:rsidP="00AA5A1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информация о результатах отдельных экспертно-аналитических мероприятий.</w:t>
      </w:r>
    </w:p>
    <w:p w:rsidR="00BA0841" w:rsidRPr="00BA0841" w:rsidRDefault="00BA0841" w:rsidP="00AA5A19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За отчётный год состоялось 11 заседаний Коллегии, а всего с начала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её деятельности проведено 160 заседаний. Повестки заседаний Коллегии направлялись Главе города и в Думу города в установленные сроки.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В заседании Коллегии принимали участие депутаты и представители аппарата Думы города, Администрации города, а также представители объектов проверок.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Кадровый состав сотрудников КСП полностью соответствует установленным квалификационным требованиям к замещаемым должностям. Все работники КСП имеют высшее профессиональное образование, соответствующее специфике и направлениям работы, в том числе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у 1 сотрудника имеется 2 высших образования.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Повышение профессиональных компетенций сотрудников является </w:t>
      </w:r>
      <w:r w:rsidRPr="00BA0841">
        <w:rPr>
          <w:rFonts w:eastAsia="Calibri" w:cs="Times New Roman"/>
          <w:bCs/>
          <w:szCs w:val="28"/>
        </w:rPr>
        <w:lastRenderedPageBreak/>
        <w:t>одним из важнейших условий организации результативной деятельности контрольно-счетного органа</w:t>
      </w:r>
      <w:r w:rsidR="00D13EA7">
        <w:rPr>
          <w:rFonts w:eastAsia="Calibri" w:cs="Times New Roman"/>
          <w:bCs/>
          <w:szCs w:val="28"/>
        </w:rPr>
        <w:t>, в</w:t>
      </w:r>
      <w:r w:rsidRPr="00BA0841">
        <w:rPr>
          <w:rFonts w:eastAsia="Calibri" w:cs="Times New Roman"/>
          <w:bCs/>
          <w:szCs w:val="28"/>
        </w:rPr>
        <w:t xml:space="preserve"> связи с чем</w:t>
      </w:r>
      <w:r w:rsidR="00D13EA7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особое внимание уделяется дополнительному образованию муниципальных служащих в форме курсов повышения квалификации.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Программы повышения квалификации сотрудников подбирались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с учётом полномочий и специфики деятельности органа внешнего финансового контроля, с целью формирования у сотрудников практических навыков, необходимых для осуществления контрольной деятельности. Тематика курсов напрямую соотносится с вопросами мероприятий, включаемых в план работы Контрольно-счетной палаты.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В 2023 году обучение по программам повышения квалификации прошли 9</w:t>
      </w:r>
      <w:r w:rsidR="00D13EA7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 xml:space="preserve">сотрудников, в том числе 3 сотрудника – по программам противодействия коррупции, в целях исполнения подпунктов «а», «б», «в» пункта 39 Указа Президента Российской Федерации </w:t>
      </w:r>
      <w:r w:rsidR="00D13EA7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от 16.08.2021 № 478 «О Национальном плане противодействия коррупции </w:t>
      </w:r>
      <w:r w:rsidR="00D13EA7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на 2021</w:t>
      </w:r>
      <w:r w:rsidR="00D13EA7">
        <w:rPr>
          <w:rFonts w:eastAsia="Calibri" w:cs="Times New Roman"/>
          <w:bCs/>
          <w:szCs w:val="28"/>
        </w:rPr>
        <w:t xml:space="preserve"> – </w:t>
      </w:r>
      <w:r w:rsidRPr="00BA0841">
        <w:rPr>
          <w:rFonts w:eastAsia="Calibri" w:cs="Times New Roman"/>
          <w:bCs/>
          <w:szCs w:val="28"/>
        </w:rPr>
        <w:t xml:space="preserve">2024 годы», а также распоряжения Главы города Сургута </w:t>
      </w:r>
      <w:r w:rsidR="00D13EA7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от 30.07.2021 № 24 «Об утверждении плана мероприятий </w:t>
      </w:r>
      <w:r w:rsidR="00D13EA7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по противодействию коррупции на территории города Сургута на 2021 –</w:t>
      </w:r>
      <w:r w:rsidR="00D13EA7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 xml:space="preserve">2024 годы». 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Для получения оперативной информации по актуальным вопросам профессиональной деятельности специалисты КСП также проходили обучение на семинарах. 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В кадровом резерве на должности муниципальной службы КСП состоят</w:t>
      </w:r>
      <w:r w:rsidR="00D13EA7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6</w:t>
      </w:r>
      <w:r w:rsidR="00D13EA7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 xml:space="preserve">претендентов. Работа с кадровым резервом осуществлялась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в установленном порядке. 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В 2023 году классные чины были присвоены трём муниципальным служащим. По результатам провед</w:t>
      </w:r>
      <w:r w:rsidR="00D13EA7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нной в отч</w:t>
      </w:r>
      <w:r w:rsidR="00D13EA7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тном периоде плановой аттестации 9</w:t>
      </w:r>
      <w:r w:rsidR="00D13EA7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муниципальных служащих признаны соответствующими замещаемым должностям.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В рамках реализации плана по противодействию коррупции в 2023 году проведены мероприятия в соответствии с Федеральным законом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от 25.12.2008</w:t>
      </w:r>
      <w:r w:rsidR="00AA5A19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№ 273-ФЗ «О противодействии коррупции», в том числе: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проверка сведений, указанных в справках о доходах, расходах, имуществе и обязательствах имущественного характера муниципальных служащих и членов их семей, на предмет отсутствия нарушений законодательства о муниципальной службе и противодействия коррупции;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в течение всего года проводилась работа по разъяснению муниципальным служащим требований антикоррупционного законодательства по вопросам необходимости уведомления работодателя </w:t>
      </w:r>
      <w:r w:rsidR="00D13EA7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при возникновении конфликта интересов, о фактах обращения </w:t>
      </w:r>
      <w:r w:rsidR="00D13EA7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к муниципальным служащим в целях склонения к совершению коррупционных правонарушений, а также практики применения антикоррупционного законодательства;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проводились консультации по вопросам противодействия коррупции </w:t>
      </w:r>
      <w:r w:rsidRPr="00BA0841">
        <w:rPr>
          <w:rFonts w:eastAsia="Calibri" w:cs="Times New Roman"/>
          <w:bCs/>
          <w:szCs w:val="28"/>
        </w:rPr>
        <w:lastRenderedPageBreak/>
        <w:t xml:space="preserve">для вновь принятых на муниципальную службу и для лиц, увольняющихся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с муниципальной службы;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информация о деятельности комиссии по соблюдению требований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к служебному поведению муниципальных служащих и урегулированию конфликта интересов в Контрольно-счетной палате за 2023 год размещена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на официальном сайте КСП в разделе «Антикоррупционная деятельность».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 xml:space="preserve">Актов прокурорского реагирования, жалоб, сообщений граждан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 xml:space="preserve">и организаций о случаях нарушений требований к служебному поведению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и наличии конфликта интересов в отношении сотрудников Контрольно-счетной палаты не поступало.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На конец отчётного периода Контрольно-счетной палатой применялись 11 стандартов муниципального финансового контроля и Классификатор нарушений, выявляемых в ходе внешнего государственного аудита (контроля), утвержд</w:t>
      </w:r>
      <w:r w:rsidR="0092525B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нный постановлением Коллегии Счетной палаты Российской Федерации, и рекомендованный для применения всеми контрольно-счетными органами.</w:t>
      </w:r>
    </w:p>
    <w:p w:rsidR="00BA0841" w:rsidRPr="00BA0841" w:rsidRDefault="00BA0841" w:rsidP="00BA0841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bCs/>
          <w:color w:val="FF0000"/>
          <w:szCs w:val="28"/>
        </w:rPr>
      </w:pPr>
    </w:p>
    <w:p w:rsidR="00BA0841" w:rsidRPr="0092525B" w:rsidRDefault="00BA0841" w:rsidP="00BA0841">
      <w:pPr>
        <w:jc w:val="center"/>
        <w:rPr>
          <w:rFonts w:eastAsia="Calibri" w:cs="Times New Roman"/>
          <w:szCs w:val="28"/>
        </w:rPr>
      </w:pPr>
      <w:r w:rsidRPr="0092525B">
        <w:rPr>
          <w:rFonts w:eastAsia="Calibri" w:cs="Times New Roman"/>
          <w:szCs w:val="28"/>
        </w:rPr>
        <w:t>3. Заключительные положения</w:t>
      </w:r>
    </w:p>
    <w:p w:rsidR="00BA0841" w:rsidRPr="00BA0841" w:rsidRDefault="00BA0841" w:rsidP="00BA0841">
      <w:pPr>
        <w:jc w:val="center"/>
        <w:rPr>
          <w:rFonts w:eastAsia="Calibri" w:cs="Times New Roman"/>
          <w:szCs w:val="28"/>
        </w:rPr>
      </w:pPr>
    </w:p>
    <w:p w:rsidR="00BA0841" w:rsidRPr="00BA0841" w:rsidRDefault="00BA0841" w:rsidP="00BA0841">
      <w:pPr>
        <w:shd w:val="clear" w:color="auto" w:fill="FFFFFF"/>
        <w:ind w:firstLine="709"/>
        <w:textAlignment w:val="baseline"/>
        <w:outlineLvl w:val="2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Цель деятельности КСП заключается в расширении возможностей достижения целей стратегического муниципального управления за сч</w:t>
      </w:r>
      <w:r w:rsidR="0092525B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 xml:space="preserve">т совершенствования системы внешнего муниципального контроля. Важными индикаторами, отражающими достижение этой цели, являются востребованность выданных КСП рекомендаций по развитию системы муниципального управления, аудита (контроля) и оценка деятельности </w:t>
      </w:r>
      <w:r w:rsidR="0092525B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КСП со стороны органов местного самоуправления и общества.</w:t>
      </w:r>
    </w:p>
    <w:p w:rsidR="00BA0841" w:rsidRPr="00BA0841" w:rsidRDefault="00BA0841" w:rsidP="00BA0841">
      <w:pPr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Главным признаком востребованности рекомендаций, выдаваемых КСП по итогам проведения контрольных и экспертно-аналитических мероприятий, является фактическое их выполнение объектами контроля.</w:t>
      </w:r>
    </w:p>
    <w:p w:rsidR="00BA0841" w:rsidRPr="00BA0841" w:rsidRDefault="00BA0841" w:rsidP="00BA0841">
      <w:pPr>
        <w:ind w:firstLine="709"/>
        <w:rPr>
          <w:rFonts w:eastAsia="Calibri" w:cs="Times New Roman"/>
          <w:bCs/>
          <w:szCs w:val="28"/>
        </w:rPr>
      </w:pPr>
      <w:r w:rsidRPr="00BA0841">
        <w:rPr>
          <w:rFonts w:eastAsia="Calibri" w:cs="Times New Roman"/>
          <w:bCs/>
          <w:szCs w:val="28"/>
        </w:rPr>
        <w:t>Как и в предыдущие годы, приоритетом в деятельности Контрольно-счетной палаты города Сургута на 2024 год оста</w:t>
      </w:r>
      <w:r w:rsidR="0092525B">
        <w:rPr>
          <w:rFonts w:eastAsia="Calibri" w:cs="Times New Roman"/>
          <w:bCs/>
          <w:szCs w:val="28"/>
        </w:rPr>
        <w:t>ё</w:t>
      </w:r>
      <w:r w:rsidRPr="00BA0841">
        <w:rPr>
          <w:rFonts w:eastAsia="Calibri" w:cs="Times New Roman"/>
          <w:bCs/>
          <w:szCs w:val="28"/>
        </w:rPr>
        <w:t>тся не</w:t>
      </w:r>
      <w:r w:rsidR="0092525B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>применение наказаний</w:t>
      </w:r>
      <w:r w:rsidR="00F66DAC">
        <w:rPr>
          <w:rFonts w:eastAsia="Calibri" w:cs="Times New Roman"/>
          <w:bCs/>
          <w:szCs w:val="28"/>
        </w:rPr>
        <w:t xml:space="preserve"> </w:t>
      </w:r>
      <w:r w:rsidRPr="00BA0841">
        <w:rPr>
          <w:rFonts w:eastAsia="Calibri" w:cs="Times New Roman"/>
          <w:bCs/>
          <w:szCs w:val="28"/>
        </w:rPr>
        <w:t xml:space="preserve">как самоцель, а выявление рисков нарушения законодательства, формирование результативных и действенных мер по их предотвращению </w:t>
      </w:r>
      <w:r w:rsidR="00AA5A19">
        <w:rPr>
          <w:rFonts w:eastAsia="Calibri" w:cs="Times New Roman"/>
          <w:bCs/>
          <w:szCs w:val="28"/>
        </w:rPr>
        <w:br/>
      </w:r>
      <w:r w:rsidRPr="00BA0841">
        <w:rPr>
          <w:rFonts w:eastAsia="Calibri" w:cs="Times New Roman"/>
          <w:bCs/>
          <w:szCs w:val="28"/>
        </w:rPr>
        <w:t>и пресечению.</w:t>
      </w:r>
    </w:p>
    <w:p w:rsidR="00BA0841" w:rsidRPr="00BA0841" w:rsidRDefault="00BA0841" w:rsidP="00BA0841">
      <w:pPr>
        <w:ind w:firstLine="709"/>
        <w:rPr>
          <w:rFonts w:eastAsia="Calibri" w:cs="Times New Roman"/>
          <w:bCs/>
          <w:szCs w:val="28"/>
        </w:rPr>
      </w:pPr>
    </w:p>
    <w:p w:rsidR="00BA0841" w:rsidRPr="007F3370" w:rsidRDefault="00BA0841" w:rsidP="00BA0841">
      <w:pPr>
        <w:rPr>
          <w:rFonts w:eastAsia="Calibri" w:cs="Times New Roman"/>
          <w:szCs w:val="28"/>
        </w:rPr>
      </w:pPr>
    </w:p>
    <w:sectPr w:rsidR="00BA0841" w:rsidRPr="007F3370" w:rsidSect="00BA0841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276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63" w:rsidRDefault="00B47663" w:rsidP="006757BB">
      <w:r>
        <w:separator/>
      </w:r>
    </w:p>
  </w:endnote>
  <w:endnote w:type="continuationSeparator" w:id="0">
    <w:p w:rsidR="00B47663" w:rsidRDefault="00B4766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19" w:rsidRDefault="00AA5A19" w:rsidP="00AA5A19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A5A19" w:rsidRDefault="00AA5A19" w:rsidP="00AA5A1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19" w:rsidRPr="0060439E" w:rsidRDefault="00AA5A1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19" w:rsidRPr="00FE63AD" w:rsidRDefault="00AA5A19" w:rsidP="00AA5A19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63" w:rsidRDefault="00B47663" w:rsidP="006757BB">
      <w:r>
        <w:separator/>
      </w:r>
    </w:p>
  </w:footnote>
  <w:footnote w:type="continuationSeparator" w:id="0">
    <w:p w:rsidR="00B47663" w:rsidRDefault="00B47663" w:rsidP="006757BB">
      <w:r>
        <w:continuationSeparator/>
      </w:r>
    </w:p>
  </w:footnote>
  <w:footnote w:id="1">
    <w:p w:rsidR="00AA5A19" w:rsidRPr="00697A73" w:rsidRDefault="00AA5A19" w:rsidP="00BA0841">
      <w:pPr>
        <w:pStyle w:val="af5"/>
      </w:pPr>
      <w:r w:rsidRPr="00697A73">
        <w:rPr>
          <w:rStyle w:val="af7"/>
        </w:rPr>
        <w:footnoteRef/>
      </w:r>
      <w:r>
        <w:t> </w:t>
      </w:r>
      <w:r w:rsidRPr="00697A73">
        <w:t>Объём расходов бюджета, охваченных в рамках экспертизы внесения изменений на 2023</w:t>
      </w:r>
      <w:r>
        <w:t xml:space="preserve"> – </w:t>
      </w:r>
      <w:r w:rsidRPr="00697A73">
        <w:t>2025</w:t>
      </w:r>
      <w:r>
        <w:t xml:space="preserve"> годы</w:t>
      </w:r>
      <w:r w:rsidRPr="00697A73">
        <w:t>, составил</w:t>
      </w:r>
      <w:r w:rsidR="00A84ACC">
        <w:t xml:space="preserve"> </w:t>
      </w:r>
      <w:r w:rsidRPr="00697A73">
        <w:rPr>
          <w:bCs/>
        </w:rPr>
        <w:t xml:space="preserve">2 336,82 </w:t>
      </w:r>
      <w:r w:rsidRPr="00697A73">
        <w:t>тыс. рублей. В целях сопоставимости показателей в стр. 5.1 отражён объём средств, охваченных в рамках экспертизы внесения изменений в бюджет города на 2023 год.</w:t>
      </w:r>
    </w:p>
  </w:footnote>
  <w:footnote w:id="2">
    <w:p w:rsidR="00AA5A19" w:rsidRPr="00697A73" w:rsidRDefault="00AA5A19" w:rsidP="00BA0841">
      <w:pPr>
        <w:pStyle w:val="af5"/>
      </w:pPr>
      <w:r w:rsidRPr="00697A73">
        <w:rPr>
          <w:rStyle w:val="af7"/>
        </w:rPr>
        <w:footnoteRef/>
      </w:r>
      <w:r>
        <w:t> </w:t>
      </w:r>
      <w:r w:rsidRPr="00697A73">
        <w:t>Объём расходов бюджета, охваченных в рамках экспертизы проекта бюджета на трёхлетний период, составил 123 140 227,40 тыс. рублей. В целях сопоставимости показателей в стр. </w:t>
      </w:r>
      <w:r>
        <w:t>5</w:t>
      </w:r>
      <w:r w:rsidRPr="00697A73">
        <w:t>.</w:t>
      </w:r>
      <w:r>
        <w:t>2</w:t>
      </w:r>
      <w:r w:rsidRPr="00697A73">
        <w:t xml:space="preserve"> отражён объём средств, охваченных в рамках экспертизы проекта бюджета на 2024 год.</w:t>
      </w:r>
    </w:p>
  </w:footnote>
  <w:footnote w:id="3">
    <w:p w:rsidR="00AA5A19" w:rsidRPr="00697A73" w:rsidRDefault="00AA5A19" w:rsidP="00BA0841">
      <w:pPr>
        <w:pStyle w:val="af5"/>
      </w:pPr>
      <w:r w:rsidRPr="00697A73">
        <w:rPr>
          <w:rStyle w:val="af7"/>
        </w:rPr>
        <w:footnoteRef/>
      </w:r>
      <w:r>
        <w:t> </w:t>
      </w:r>
      <w:r w:rsidRPr="00697A73">
        <w:t>По данной строке в случае исполнения бюджета города с дефицитом отражается объ</w:t>
      </w:r>
      <w:r w:rsidR="00BC19D5">
        <w:t>ё</w:t>
      </w:r>
      <w:r w:rsidRPr="00697A73">
        <w:t xml:space="preserve">м расходов </w:t>
      </w:r>
      <w:r>
        <w:br/>
      </w:r>
      <w:r w:rsidRPr="00697A73">
        <w:t>за соответствующий период, в случае исполнения с профицитом – объ</w:t>
      </w:r>
      <w:r w:rsidR="00BC19D5">
        <w:t>ё</w:t>
      </w:r>
      <w:r w:rsidRPr="00697A73">
        <w:t>м доходо</w:t>
      </w:r>
      <w:r w:rsidR="00BC19D5">
        <w:t>в</w:t>
      </w:r>
      <w:r w:rsidRPr="00697A73">
        <w:t xml:space="preserve"> бюджета. </w:t>
      </w:r>
      <w:r>
        <w:br/>
      </w:r>
      <w:r w:rsidRPr="00697A73">
        <w:t>В 2022 году – исполнение с профицитом</w:t>
      </w:r>
      <w:r>
        <w:t>, в стр. 6.1 отраж</w:t>
      </w:r>
      <w:r w:rsidR="00BC19D5">
        <w:t>ё</w:t>
      </w:r>
      <w:r>
        <w:t>н объ</w:t>
      </w:r>
      <w:r w:rsidR="00BC19D5">
        <w:t>ё</w:t>
      </w:r>
      <w:r>
        <w:t>м доходов бюджета.</w:t>
      </w:r>
    </w:p>
  </w:footnote>
  <w:footnote w:id="4">
    <w:p w:rsidR="00AA5A19" w:rsidRPr="00697A73" w:rsidRDefault="00AA5A19" w:rsidP="00BA0841">
      <w:pPr>
        <w:pStyle w:val="af5"/>
      </w:pPr>
      <w:r w:rsidRPr="00697A73">
        <w:rPr>
          <w:rStyle w:val="af7"/>
        </w:rPr>
        <w:footnoteRef/>
      </w:r>
      <w:r>
        <w:t> </w:t>
      </w:r>
      <w:r w:rsidRPr="00697A73">
        <w:t>В целях более корректного отражения объёма проверенных средств (исключения дублирования) объём определён без учёта бюджетных ассигнований 2022 года, охваченных в рамках контроля исполнения бюджета города.</w:t>
      </w:r>
    </w:p>
  </w:footnote>
  <w:footnote w:id="5">
    <w:p w:rsidR="00AA5A19" w:rsidRPr="00452E8B" w:rsidRDefault="00AA5A19" w:rsidP="00BA0841">
      <w:pPr>
        <w:pStyle w:val="af5"/>
      </w:pPr>
      <w:r w:rsidRPr="00452E8B">
        <w:rPr>
          <w:rStyle w:val="af7"/>
        </w:rPr>
        <w:footnoteRef/>
      </w:r>
      <w:r w:rsidRPr="00452E8B">
        <w:rPr>
          <w:rStyle w:val="af7"/>
        </w:rPr>
        <w:t xml:space="preserve"> </w:t>
      </w:r>
      <w:r w:rsidRPr="00452E8B">
        <w:t>Пункт 18.2 Протокола № 5(93) заседания Президиума Союза МКСО от 13.09.2023.</w:t>
      </w:r>
    </w:p>
  </w:footnote>
  <w:footnote w:id="6">
    <w:p w:rsidR="00AA5A19" w:rsidRPr="00452E8B" w:rsidRDefault="00AA5A19" w:rsidP="00BA0841">
      <w:pPr>
        <w:pStyle w:val="af5"/>
      </w:pPr>
      <w:r w:rsidRPr="00452E8B">
        <w:rPr>
          <w:rStyle w:val="af7"/>
        </w:rPr>
        <w:footnoteRef/>
      </w:r>
      <w:r w:rsidRPr="00452E8B">
        <w:t> Решени</w:t>
      </w:r>
      <w:r>
        <w:t>я</w:t>
      </w:r>
      <w:r w:rsidRPr="00452E8B">
        <w:t xml:space="preserve"> Думы города от 03.05.2023 № 330-VII ДГ «О внесении изменений в решение Думы города </w:t>
      </w:r>
      <w:r w:rsidRPr="00452E8B">
        <w:br/>
        <w:t>от 27.02.2007 № 170-IV ДГ «О Контрольно-</w:t>
      </w:r>
      <w:r>
        <w:t xml:space="preserve">счетной палате города Сургута», </w:t>
      </w:r>
      <w:r w:rsidRPr="00452E8B">
        <w:t xml:space="preserve">от 29.11.2023 № 480-VII ДГ </w:t>
      </w:r>
      <w:r>
        <w:br/>
      </w:r>
      <w:r w:rsidRPr="00452E8B">
        <w:t>«О внесении изменений в решение Думы города от 27.02.2007 № 170-IV ДГ «О Контрольно-счетной палате города Сургута».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6841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A5A19" w:rsidRPr="00BA0841" w:rsidRDefault="00AA5A19">
        <w:pPr>
          <w:pStyle w:val="ad"/>
          <w:jc w:val="center"/>
          <w:rPr>
            <w:sz w:val="20"/>
            <w:szCs w:val="20"/>
          </w:rPr>
        </w:pPr>
        <w:r w:rsidRPr="00BA0841">
          <w:rPr>
            <w:sz w:val="20"/>
            <w:szCs w:val="20"/>
          </w:rPr>
          <w:fldChar w:fldCharType="begin"/>
        </w:r>
        <w:r w:rsidRPr="00BA0841">
          <w:rPr>
            <w:sz w:val="20"/>
            <w:szCs w:val="20"/>
          </w:rPr>
          <w:instrText>PAGE   \* MERGEFORMAT</w:instrText>
        </w:r>
        <w:r w:rsidRPr="00BA0841">
          <w:rPr>
            <w:sz w:val="20"/>
            <w:szCs w:val="20"/>
          </w:rPr>
          <w:fldChar w:fldCharType="separate"/>
        </w:r>
        <w:r w:rsidR="00532DD7">
          <w:rPr>
            <w:noProof/>
            <w:sz w:val="20"/>
            <w:szCs w:val="20"/>
          </w:rPr>
          <w:t>2</w:t>
        </w:r>
        <w:r w:rsidRPr="00BA0841">
          <w:rPr>
            <w:sz w:val="20"/>
            <w:szCs w:val="20"/>
          </w:rPr>
          <w:fldChar w:fldCharType="end"/>
        </w:r>
      </w:p>
    </w:sdtContent>
  </w:sdt>
  <w:p w:rsidR="00AA5A19" w:rsidRDefault="00AA5A1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2C26"/>
    <w:rsid w:val="00005B75"/>
    <w:rsid w:val="00022F76"/>
    <w:rsid w:val="00034777"/>
    <w:rsid w:val="00046AC6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0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86122"/>
    <w:rsid w:val="004A338B"/>
    <w:rsid w:val="004B3830"/>
    <w:rsid w:val="004C4E88"/>
    <w:rsid w:val="004E0CF1"/>
    <w:rsid w:val="004E2731"/>
    <w:rsid w:val="004F3970"/>
    <w:rsid w:val="004F6D35"/>
    <w:rsid w:val="00503B30"/>
    <w:rsid w:val="00514C92"/>
    <w:rsid w:val="00520655"/>
    <w:rsid w:val="00532DD7"/>
    <w:rsid w:val="0054747F"/>
    <w:rsid w:val="0055040A"/>
    <w:rsid w:val="00555484"/>
    <w:rsid w:val="00555DB1"/>
    <w:rsid w:val="0056401D"/>
    <w:rsid w:val="00564873"/>
    <w:rsid w:val="005733E0"/>
    <w:rsid w:val="00590621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11DC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35E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B6448"/>
    <w:rsid w:val="008C26BC"/>
    <w:rsid w:val="008D6922"/>
    <w:rsid w:val="008E5C24"/>
    <w:rsid w:val="008F2CFE"/>
    <w:rsid w:val="008F3153"/>
    <w:rsid w:val="008F5360"/>
    <w:rsid w:val="0092525B"/>
    <w:rsid w:val="009309FB"/>
    <w:rsid w:val="00955C47"/>
    <w:rsid w:val="00965268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9E415B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4ACC"/>
    <w:rsid w:val="00A8614E"/>
    <w:rsid w:val="00AA2436"/>
    <w:rsid w:val="00AA4F67"/>
    <w:rsid w:val="00AA5A19"/>
    <w:rsid w:val="00AA6666"/>
    <w:rsid w:val="00AB0F39"/>
    <w:rsid w:val="00AD446C"/>
    <w:rsid w:val="00AD5BA3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47663"/>
    <w:rsid w:val="00B50DF1"/>
    <w:rsid w:val="00B60969"/>
    <w:rsid w:val="00B723A0"/>
    <w:rsid w:val="00B74228"/>
    <w:rsid w:val="00B8274D"/>
    <w:rsid w:val="00B9079D"/>
    <w:rsid w:val="00B92164"/>
    <w:rsid w:val="00BA0841"/>
    <w:rsid w:val="00BA58CF"/>
    <w:rsid w:val="00BA7099"/>
    <w:rsid w:val="00BC19D5"/>
    <w:rsid w:val="00BC1EAC"/>
    <w:rsid w:val="00BE1CA7"/>
    <w:rsid w:val="00BE4D8C"/>
    <w:rsid w:val="00C04801"/>
    <w:rsid w:val="00C07A87"/>
    <w:rsid w:val="00C153D2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13EA7"/>
    <w:rsid w:val="00D15B1D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3EA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7357D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3E7F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1009"/>
    <w:rsid w:val="00F5631F"/>
    <w:rsid w:val="00F607F1"/>
    <w:rsid w:val="00F619C0"/>
    <w:rsid w:val="00F634FC"/>
    <w:rsid w:val="00F64DEF"/>
    <w:rsid w:val="00F668CF"/>
    <w:rsid w:val="00F66DAC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3035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BA084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A0841"/>
    <w:rPr>
      <w:rFonts w:ascii="Times New Roman" w:hAnsi="Times New Roman"/>
      <w:sz w:val="20"/>
      <w:szCs w:val="20"/>
    </w:rPr>
  </w:style>
  <w:style w:type="character" w:styleId="af7">
    <w:name w:val="footnote reference"/>
    <w:aliases w:val="текст сноски,анкета сноска,Знак сноски-FN,Ciae niinee-FN,Знак сноски 1,Ciae niinee 1"/>
    <w:uiPriority w:val="99"/>
    <w:unhideWhenUsed/>
    <w:rsid w:val="00BA0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kso.ru/mkso_union/new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613F6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8F1474"/>
    <w:rsid w:val="00972C1E"/>
    <w:rsid w:val="00984617"/>
    <w:rsid w:val="009D5C74"/>
    <w:rsid w:val="009E5EA7"/>
    <w:rsid w:val="009F583C"/>
    <w:rsid w:val="00A10C17"/>
    <w:rsid w:val="00A34D89"/>
    <w:rsid w:val="00A57D25"/>
    <w:rsid w:val="00A9270E"/>
    <w:rsid w:val="00AE610D"/>
    <w:rsid w:val="00B05F63"/>
    <w:rsid w:val="00B13BE7"/>
    <w:rsid w:val="00B41851"/>
    <w:rsid w:val="00C201AE"/>
    <w:rsid w:val="00C474B1"/>
    <w:rsid w:val="00C73A7F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1972-AE89-4626-9372-3594A353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1210</TotalTime>
  <Pages>1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143</cp:revision>
  <cp:lastPrinted>2024-02-13T08:34:00Z</cp:lastPrinted>
  <dcterms:created xsi:type="dcterms:W3CDTF">2021-02-25T07:49:00Z</dcterms:created>
  <dcterms:modified xsi:type="dcterms:W3CDTF">2024-03-04T06:22:00Z</dcterms:modified>
</cp:coreProperties>
</file>