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DB" w:rsidRDefault="00CE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</w:t>
      </w:r>
    </w:p>
    <w:p w:rsidR="005A34DB" w:rsidRDefault="00CE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финансов Администрации города Сургута</w:t>
      </w:r>
    </w:p>
    <w:p w:rsidR="005A34DB" w:rsidRDefault="00CE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5A34DB" w:rsidRDefault="005A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города Сургута (далее – департамент финансов) является финансовым органом муниципального образования городской округ Сургут Ханты-Мансийского автономного округа – Югры с правами юридического лица.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создан в целях реализации: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части вопроса местного значения по составлению проекта бюджета городского округа, исполнению бюджета городского округа, осуществлению контроля за его исполнением, составлению отчета об исполнении бюджета городского округа; 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обеспечения исполнения вопроса местного значения по установлению, изменению и отмене местных налогов и сборов.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департамента финансов определены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и окружным законодательством, Положением о бюджетном процессе в городском округе город Сургут и иными муниципальными правовыми актами, регулирующими бюджетные правоотношения, а также Положением о департаменте финансов, утвержденным решением Думы города от 07.10.2009 № 611-IV ДГ.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департамент финансов является исполнителем (администратором) муниципальной программы «Управление муниципальными финансами города Сургута на период до 2030 года», охватывающей все сферы деятельности департамента.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программы: «Обеспечение сбалансированности, устойчивости бюджета города, создание условий для качественной организации бюджетного процесса в городе Сургуте». </w:t>
      </w:r>
    </w:p>
    <w:p w:rsidR="005A34DB" w:rsidRDefault="00CE65A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Задача муниципальной программы: «Проведение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процесса».</w:t>
      </w:r>
      <w:r>
        <w:t xml:space="preserve">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для осуществления бюджетных полномочий участниками бюджетного процесса, реализующими другие муниципальные программы города.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в рамках поставленной задачи сформированы мероприятия, соответствующие основным направлениям деятельности департамента. </w:t>
      </w:r>
    </w:p>
    <w:p w:rsidR="005A34DB" w:rsidRDefault="005A34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1. «Обеспечение деятельности департамента финансов».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нормативного правового регулирования бюджетных правоотношений с учетом изменений бюджетного законодательства;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нормативной базы по местным налогам в пределах установленных полномочий;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проекта бюджета с соблюдением установленных сроков и требований;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исполнения бюджета;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контрольных функций, возложенных на финансовый орган законодательством о закупках;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составления и предоставления внешним пользователям бюджетной отчетности;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открытости бюджета и привлечения граждан к обсуждению вопросов в сфере управления муниципальными финансами города Сургута.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департамента финансов осуществляется штатной численностью 68 единиц.</w:t>
      </w:r>
    </w:p>
    <w:p w:rsidR="005A34DB" w:rsidRDefault="005A34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части нормативного правового регулирования бюджетных правоотношений.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установленных полномочий с учетом требований бюджетного законодательства разработаны и утверждены все необходимые правовые акты в сфере бюджетных правоотношений муниципального образования. На постоянной основе в связи с изменением бюджетного законодательства осуществляется их актуализация.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2023 году внесены изменения в действующую редакцию Положения о бюджетном процессе в городском округе Сургут в целях приведения норм Положения в соответствии со статьями 78 и 78.1 Бюджетного кодекса Российской Федерации. 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Российской Федерации в постановление Администрации г. Сургута от 11.11.2021 № 9645 «Об утверждении перечня главных администраторов доходов бюджета и перечня главных администраторов источников финансирования дефицита бюджета городского округа Сургут Ханты-Мансийского автономного округа – Югры» в течение 2023 года внесены изменения в целях актуализации главных администраторов доходов бюджета города и администрируемых ими видов доходов.</w:t>
      </w:r>
    </w:p>
    <w:p w:rsidR="005A34DB" w:rsidRDefault="00CE65A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норм статьи 80 Бюджетного кодекса Российской Федерации   устанавливающих положения об утверждении местной администрацией порядка принятия решений о предоставлении из местного бюджета бюджетных инвестиций юридическим лицам, не являющимся государственными учреждениями и государственными унитарными предприятиями в 2023 году соответствующий порядок разработан и утвержден постановлением Администрац</w:t>
      </w:r>
      <w:r w:rsidR="00D236CD">
        <w:rPr>
          <w:rFonts w:ascii="Times New Roman" w:hAnsi="Times New Roman" w:cs="Times New Roman"/>
          <w:sz w:val="28"/>
          <w:szCs w:val="28"/>
        </w:rPr>
        <w:t>ии города от 12.10.2023 № 4906</w:t>
      </w:r>
      <w:r>
        <w:rPr>
          <w:sz w:val="28"/>
          <w:szCs w:val="28"/>
        </w:rPr>
        <w:t>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порядок составления и ведения сводной бюджетной росписи бюджета городского округа Сургут и бюджетных росписей главных распорядителей бюджетных средств (главных администраторов источников финансирования дефицита бюджета), Порядок составления и ведения кассового плана исполнения бюджета города Сургута.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Российской Федерации в части определения требований к порядкам предоставления субсидий муниципальным бюджетным и автономным учреждениям на иные цели департаментом финансов актуализирован порядок предоставления целевых субсидий, а также уточнена типовая форма соглашения о предоставлении целевых субсидий.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порядок формирования муниципального задания на оказание муниципальных услуг (выполнение работ) муниципальными учреждениями города  (далее –Порядок) в целях его </w:t>
      </w:r>
      <w:r>
        <w:rPr>
          <w:rFonts w:ascii="Times New Roman" w:hAnsi="Times New Roman"/>
          <w:spacing w:val="-6"/>
          <w:sz w:val="28"/>
          <w:szCs w:val="28"/>
        </w:rPr>
        <w:t xml:space="preserve">приведения в соответствие </w:t>
      </w:r>
      <w:r>
        <w:rPr>
          <w:rFonts w:ascii="Times New Roman" w:hAnsi="Times New Roman"/>
          <w:sz w:val="28"/>
          <w:szCs w:val="28"/>
          <w:lang w:eastAsia="ru-RU"/>
        </w:rPr>
        <w:t>с Федеральным законом от 13.07.2020 г.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pacing w:val="-6"/>
          <w:sz w:val="28"/>
          <w:szCs w:val="28"/>
        </w:rPr>
        <w:t xml:space="preserve">, а также в 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Порядка с учетом норм, установленных приказом Департамента финансов автономного округа от 16.01.2018 №4-нп о предоставлении межбюджетных трансфертов в объеме, необходимом для оплаты денежных обязательств муниципальных учреждений.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CD">
        <w:rPr>
          <w:rFonts w:ascii="Times New Roman" w:hAnsi="Times New Roman" w:cs="Times New Roman"/>
          <w:sz w:val="28"/>
          <w:szCs w:val="28"/>
        </w:rPr>
        <w:t>Во исполнение положений приказа Минфина России от 02.11.2021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Федерального закона от 12.01.1996 № 7-ФЗ «О некоммерческих организациях», Федерального закона от 03.11.2006 № 174-ФЗ «Об автономных учреждениях», постановления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 разработан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5A34DB" w:rsidRDefault="00CE6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Порядок и методику планирования бюджетных ассигнований бюджета городского округа Сургут Ханты-Мансийского автономного округа – Югры на очередной финансовый год и плановый период:</w:t>
      </w:r>
    </w:p>
    <w:p w:rsidR="005A34DB" w:rsidRDefault="00CE6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урегулирования механизма планирования расходов на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сфере, а также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</w:p>
    <w:p w:rsidR="005A34DB" w:rsidRDefault="00CE6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бюджетных процедур в 2023 году осуществлен переход по предоставлению обоснований бюджетных ассигнований главными распорядителями бюджетных средств в электронном формате при внесении изменений в бюджет города, а также при составлении проекта бюджета города.</w:t>
      </w:r>
    </w:p>
    <w:p w:rsidR="005A34DB" w:rsidRDefault="00CE65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6CD">
        <w:rPr>
          <w:rFonts w:ascii="Times New Roman" w:hAnsi="Times New Roman" w:cs="Times New Roman"/>
          <w:sz w:val="28"/>
          <w:szCs w:val="28"/>
        </w:rPr>
        <w:t>В соответствии с кадровыми изменениями, происходившими в Администрации города в течение 2023 года, производилась актуализация муниципальных правовых актов, устанавливающих состав комиссии по проведению конкурсного отбора в целях предоставления муниципальной гарантии,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мобилизации дополнительных доходов в бюджет города, составы рабочей группы по подготовке предложений по установлению (изменению) налоговых ставок, предоставлению (отмене) налоговых льгот по местным налогам и сборам, рабочей группы по обследованию зданий (строений, сооружений) и помещений для определения вида их фактического использования для целей налогообложения.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части формирования нормативной базы по местным налогам в пределах установленных полномочий.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задачи по решению вопроса местного значения по установлению, изменению и отмене местных налогов и сборов в 2023 году с учетом требований и сроков, установленных налоговым и бюджетным законодательством Российской Федерации, были подготовлены и приняты Думой города 3 проекта решения Думы города о внесении изменений в местные налоги. 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были направлены на приведение отдельных норм в соответствие с действующим законодательством и освобождение от уплаты земельного налога учреждений, финансовое обеспечение деятельности которых, в том числе в форме финансового обеспечения выполнения муниципального задания, осуществляется за счёт средств бюджета муниципального образования городской округ Сургут Ханты-Мансийского автономного округа –  Югры.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сборах, предусмотренных статьей 34.2 Налогового кодекса Российской Федерации, в 2023 году внесены изменения в постановление Администрации города от 11.09.2020                     № 6417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Сургут Ханты-Мансийского автономного округа – Югры о местных налогах и сборах». Вносимые изменения были направлены на приведение норм постановления в соответствие с действующим законодательством.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части составления проекта бюджета с соблюдением установленных сроков и требований.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города на 2023 год утвержден решением Думы города от 26.12.2022 № 250-VI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ДГ.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2023 года в плановом порядке подготовлено 4 изменения в решение Думы города от 26.12.2022 № 250-VI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 необходимостью финансового обеспечения отдельных направлений расходов.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организовано проведение 8 заседаний Бюджетной комиссии при Главе города, 1 заседание экспертного совета по вопросам определения целесообразности предоставления из бюджета города средств в форме субсидий производителям товаров, работ, услуг.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города на 2024 год и плановый период 2025- 2026 годов департаментом финансов: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 муниципальный правовой акт Администрации города, устанавливающий сроки и действия участников бюджетного процесса при формировании проекта бюджета города;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предложения для рассмотрения Думой города о замене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плановый период 2025-2026 годов;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Основные направления бюджетной и налоговой политики городского округа Сургут на 2024 год и плановый период 2025-2026 годов, в которых определены основные цели, задачи бюджетной и налоговой политики, содержится описание условий и основных подходов к формированию характеристик проекта бюджета;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утверждены перечень главных администраторов доходов бюджета и перечень главных администраторов источников финансирования дефицита бюджета города;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 проект решения Думы города «О замене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плановый период 2025 - 2026 годов» (утвержден решением Думы г. Сургута от 27.09.2023 № 413-VII ДГ).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сроками составления проекта бюджета города планирование началось в июне с формирования прогнозируемых показателей по поступлениям в бюджет города на 2024 год и плановый период 2025-2026 годов и оценки их ожидаемого исполнения за 2023 год.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A4">
        <w:rPr>
          <w:rFonts w:ascii="Times New Roman" w:hAnsi="Times New Roman" w:cs="Times New Roman"/>
          <w:sz w:val="28"/>
          <w:szCs w:val="28"/>
        </w:rPr>
        <w:t xml:space="preserve">В июле-октябре </w:t>
      </w:r>
      <w:r>
        <w:rPr>
          <w:rFonts w:ascii="Times New Roman" w:hAnsi="Times New Roman" w:cs="Times New Roman"/>
          <w:sz w:val="28"/>
          <w:szCs w:val="28"/>
        </w:rPr>
        <w:t xml:space="preserve">проведена работа по распределению предельных объемов бюджетных ассигнований на 2024 год и плановый период 2025 – 2026 годов между главными распорядителями бюджетных средств, в том числе в условиях организации и сопровождения департаментом финансов процедуры рассмотрения и защиты расходов главных распорядителей у Главы города.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города на 2024 год и плановый период 2025 – 2026 годов, сформированный с учетом распределения бюджетных ассигнований главными распорядителями бюджетных средств, направлен в Думу города 15 ноября 2023 года с соблюдением срока, установленного Положением о бюджетном процессе в городском округе Сургут. </w:t>
      </w:r>
    </w:p>
    <w:p w:rsidR="005A34DB" w:rsidRPr="00D236CD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CD">
        <w:rPr>
          <w:rFonts w:ascii="Times New Roman" w:hAnsi="Times New Roman" w:cs="Times New Roman"/>
          <w:sz w:val="28"/>
          <w:szCs w:val="28"/>
        </w:rPr>
        <w:t>По 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 и Положения о бюджетном процессе в городском округе Сургут.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Главы города от 10.11.2023 № 74 «О назначении публичных слушаний» 04 декабря 2023 года проведены публичные слушания по проекту бюджета города. </w:t>
      </w:r>
      <w:r w:rsidRPr="009D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рассмотрения проекта бюджета города на депутатских слушаниях, заседании постоянного комитета Думы города по бюджету, налогам, финансам и имуществу в проект бюджета внесен ряд изменений и дополнений.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вариант проекта бюджета утвержден решением Думы города от 20.12.2023 </w:t>
      </w:r>
      <w:r>
        <w:rPr>
          <w:rFonts w:ascii="Times New Roman" w:hAnsi="Times New Roman" w:cs="Times New Roman"/>
          <w:sz w:val="28"/>
          <w:szCs w:val="28"/>
        </w:rPr>
        <w:t>№ 485-VI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городского округа Сургут Ханты-Мансийского автономного округа – Югры на 2024 год и плановый период 2025 – 2026 годов».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части организации исполнения бюджета города.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бюджетная роспись на 2023 год и плановый период была утверждена в установленный срок. В 2023 году в связи с внесением изменений в решение Думы города о бюджете города утверждено 4 изменения в сводную бюджетную роспись. Своевременно утверждались и доводились до главных распорядителей бюджетных средств лимиты бюджетных обязательств.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в установленном порядке департаментом финансов вносились изменения в показатели сводной бюджетной росписи, лимиты бюджетных обязательств без внесения изменений в решение о бюджете города. На основании заявок главных распорядителей бюджетных средств было подготовлено 433 приказов о внесении изменений в показатели сводной бюджетной росписи, лимиты бюджетных обязательств и кассовый план.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2023 года была продолжена практика ограничения использования экономии по результатам проведенных конкурентных закупок, в связи с чем, департаментом своевременно формировалась сводная информация об объеме экономии и представлялась на рассмотрение Бюджетной комиссией при Главе города с целью определения возможных направлений ее использования.  </w:t>
      </w:r>
    </w:p>
    <w:p w:rsidR="005A34DB" w:rsidRDefault="00C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реализации решения Думы города о бюджете города на 2023 год и плановый период 2024-2025 годов совместно со структурными подразделениями Администрации города были разработаны мероприятия, утвержденные распоряжением Администрации города от 07.02.2022 № 348</w:t>
      </w:r>
      <w:r w:rsidR="000D1684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>
        <w:rPr>
          <w:rFonts w:ascii="Times New Roman" w:hAnsi="Times New Roman" w:cs="Times New Roman"/>
          <w:sz w:val="28"/>
          <w:szCs w:val="28"/>
        </w:rPr>
        <w:t>. Мониторинг выполнения Плана мероприятий по мобилизации доходов, оптимизации расходов бюджета и муниципального долга осуществлялся ежеквартально с предоставлением информации в Департамент финансов Ханты-Мансийского автономного округа – Югры.</w:t>
      </w:r>
    </w:p>
    <w:p w:rsidR="005A34DB" w:rsidRDefault="000D1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="00CE65A4">
        <w:rPr>
          <w:rFonts w:ascii="Times New Roman" w:hAnsi="Times New Roman" w:cs="Times New Roman"/>
          <w:sz w:val="28"/>
          <w:szCs w:val="28"/>
        </w:rPr>
        <w:t>лана осуществлялась деятельность соответствующих рабочих групп (комиссий):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 по мобилизации дополнительных доходов в бюджет города, важнейшей составляющей в работе которой является взаимодействие с главными администраторами доходов бюджета по увеличению доходной базы бюджета и погашению задолженности по налогам.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проведено: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заседания комиссии, на которые были приглашены 103 налогоплательщиков-юридических лиц, имеющих задолженность по налогам. Объем погашенной (урегулированной) задолженности составил 28,0 млн. рублей.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рассматривались вопросы о мерах, принимаемых главными администраторами доходов бюджета с целью урегулирования дебиторской задолженности, а также о влиянии введенной с января 202</w:t>
      </w:r>
      <w:r w:rsidR="000D16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новой системы уплаты налогов на их поступление в местный бюджет и возможных способах нивелирования негативных последствий (рисков возникновения временных кассовых разрывов), возникших в 1 квартале 2023 года в связи с возмещением на единый налоговый счет из бюджета города более 400 млн</w:t>
      </w:r>
      <w:r w:rsidR="000D1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налоговых поступлений.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ситуации департаментом финансов принят комплекс мер: на единый счет бюджета города были привлечены остатки средств бюджетных и автономных учреждений (с их последующим возвратом), а также коммерческие кредиты; направлены обращения в округ о более ранних сроках перечисления дотации на поддержку мер по обеспечению сбалансированности; совместно с налоговым органом организована работа по проведению сверок верификации переплаты по налогу на доходы физических лиц бюджетных организаций и учреждений (федеральных, региональных, муниципальных), проведена адресная работа с налогоплательщиками - организациями и индивидуальными предпринимателями по обеспечению предоставления ими в налоговый орган уведомлений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исчисленных суммах налогов, авансовых платежей по налогам в установленные сроки для своевременного поступления налоговых платежей в бюджет города. Оперативно принятые меры позволили избежать кассовых разрывов, способствовали стабилизации ситуации и положительной динамике поступлений налогов в течение последующих периодов.</w:t>
      </w:r>
    </w:p>
    <w:p w:rsidR="005A34DB" w:rsidRDefault="005A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 работа по повышению роли имущественных налогов в формировании бюджета города</w:t>
      </w:r>
      <w:r w:rsidR="000D1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мероприятия: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5A34DB" w:rsidRDefault="00CE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сверке с налоговым органом полноты поступлений земельного налога по земельным участкам, которые были выкуплены у Администрации города или переданы собственникам безвозмездно.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сверки установлено, что все земельные участки (194 ед.) поставлены на налоговый учет;</w:t>
      </w:r>
    </w:p>
    <w:p w:rsidR="005A34DB" w:rsidRDefault="00CE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по обследованию зданий (строений, сооружений) и помещений для определения вида их фактического использования для целей налогообложения. В 2023 году по обращению Департамента финансов автономного округа членами рабочей группы проведены обследования 14 объектов недвижимости;</w:t>
      </w:r>
    </w:p>
    <w:p w:rsidR="005A34DB" w:rsidRDefault="00CE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информированию граждан о необходимости уплаты задолженности по имущественным налогам путем осуществления рассылки поступающей от налогового органа информации всем сотрудникам Администрации города, сотрудникам муниципальных организаций города, а также посредством доведения информации до руководителей организаций торговых сетей, создания и размещения видеороликов об уплате имущественных налогов с участием представителей структурных подразделений Администрации города и муниципальных организаций города - на официальной странице Администрации города, с участием представителей молодежного сообщества - в социальных группах в сети интернет, организована трансляция информации на LED (светодиодных) экранах в городе,  на информационных стендах и сайтах управляющих организаций и товариществ собственников жилья, на досках объявлений, размещенных в подъездах многоквартирных домов, в социальных группах, мессенджерах,  на оборотной стороне единых платежных документов (квитанций) на оплату жилищно-коммунальных услуг, в автотранспорте общего пользования на информационных стендах и посредством голосового сообщения.  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информация о необходимости своевременной уплаты имущественных налогов была направлена в адрес 22 медицинских организаций.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города от 28.08.2020                    № 6034 «Об утверждении порядка формирования перечня налоговых расходов и оценки налоговых расходов города Сургута»</w:t>
      </w:r>
      <w:r>
        <w:rPr>
          <w:rFonts w:ascii="Times New Roman" w:hAnsi="Times New Roman" w:cs="Times New Roman"/>
          <w:sz w:val="28"/>
          <w:szCs w:val="28"/>
        </w:rPr>
        <w:t>, департаментом финансов совместно с кураторами налоговых расходов проведена оценка налоговых расходов за 2022 год.</w:t>
      </w:r>
    </w:p>
    <w:p w:rsidR="005A34DB" w:rsidRDefault="00CE6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(далее – Перечень), сформированного департаментом финансов Администрации города, в котором определена принадлежность каждого налогового расхода целям муниципальных программ, направлениям социально-экономической политики города. Определены типы налоговых расходов в зависимости от целевой категории (стимулирующие, социальные), а также кураторы.</w:t>
      </w:r>
    </w:p>
    <w:p w:rsidR="005A34DB" w:rsidRDefault="00CE65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включены 34 налоговых расходов в виде налоговых льгот, пониженных ставок и налоговых вычетов, установленных решениями Думы города о местных налогах.</w:t>
      </w:r>
    </w:p>
    <w:p w:rsidR="005A34DB" w:rsidRDefault="00CE6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Общая сумма действующих налоговых льгот и вычетов за 2022 год составила 214,5 млн. рублей, из них </w:t>
      </w:r>
      <w:r>
        <w:rPr>
          <w:rFonts w:ascii="Times New Roman" w:hAnsi="Times New Roman" w:cs="Times New Roman"/>
          <w:sz w:val="28"/>
          <w:szCs w:val="28"/>
        </w:rPr>
        <w:t>130,8 млн. рублей налоговые расходы стимулирующего характера,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83,7 млн. рублей </w:t>
      </w:r>
      <w:r w:rsidR="000D168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социальные налоговые расходы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оценки действие большинства установленных налоговых расходов признано эффективным.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оценки эффективности налоговых расходов муниципального образования за 2022 год (аналитическая записка, перечень налоговых расходов, сводный отчет об оценке налоговых расходов) размещена на официальном портале Администрации города Сургута.</w:t>
      </w:r>
    </w:p>
    <w:p w:rsidR="005A34DB" w:rsidRDefault="005A3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города осуществлялось в соответствии с утвержденным Порядком исполнения расходов бюджета города в условиях открытия и ведения лицевых счетов для учета операций со средствами участников бюджетного процесса в департаменте финансов.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ежедневном режиме обеспечено: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лицевых счетов главных распорядителей и получателей бюджетных средств. В 2023 году обслуживалось 52 лицевых счета;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ведение лицевых счетов участников казначейского сопровождения. В 2023 году обслуживалось 4 лицевых счета;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принятых бюджетных обязательств. В 2023 году зарегистрировано 11 496 бюджетных обязательств;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санкционирование денежных обязательств и проведение кассовых расходов по заявкам получателей бюджетных средств, за 2023 год – 64 234 заявки;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санкционирование операций со средствами участников казначейского сопровождения, за 2023 год – 84 заявки.</w:t>
      </w:r>
    </w:p>
    <w:p w:rsidR="005A34DB" w:rsidRDefault="00C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Для осуществления кассовых выплат по межбюджетным трансфертам специалистами департамента финансов в течение года в информационно-аналитической системе «Исполнение бюджета» НПО «Криста» было сформировано 1 602 заявки на кассовый расход (платежное поручение) на перечисление межбюджетных трансфертов из бюджета автономного округа.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осуществлялось без задержек в сроки, установленные Порядком – не позднее второго рабочего дня, следующего за днем предоставления платежных документов. В целях реализации механизма управления остатком денежных средств на едином счете бюджета города платежные документы исполнялись департаментом не позднее даты, установленной для исполнения денежного обязательства.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в установленном порядке учёт, хранение и исполнение 71 судебного акта по обращению взысканий на средства бюджета города по денежным обязательствам муниципальных казенных учреждений, на средства муниципальных бюджетных и автономных учреждений, лицевые счета которым открыты в департаменте финансов.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финансового обеспечения муниципальных учреждений в 2023 году департаментом финансов осуществлялось обслуживание 93 бюджетных                             и 15 автономных учреждений.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 операций со средствами муниципальных бюджетных и автономных учреждений осуществлялся на 317 лицевых счетах. За 2023 год принято                            и обработано 232 560 заявок на выплату средств бюджетных и автономных учреждений, в том числе на выплату средств, источником финансового обеспечения которых являются субсидии на иную цель – 10 988 заявок.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операций со средствами муниципальных бюджетных                             и автономных учреждений осуществлялось департаментом финансов в сроки, установленные Порядком – не позднее второго рабочего дня, следующего за днем предоставления заявок на выплату средств.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целях выполнения функций, возложенных на финансовый орган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велась работа по формированию и предоставлению в Федеральное казначейство информации и документов для включения в Сводный реестр участников бюджетного процесса, а также юридических лиц, не являющихся участниками бюджетного процесса. Для поддержания в актуальном состоянии Сводного реестра участников бюджетного процесса, а также юридических лиц, не являющихся участниками бюджетного процесса, сформировано и направлено 59 реестровых записей по внесению изменений в реквизиты учреждений. Ответственность за выполнение вышеуказанных функций закреплена приказом департамента финансов от 09.06.2022 № 08-03-218/2.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по информационному взаимодействию департаментом финансов ежеквартально направлялась в Инспекцию Федеральной налоговой службы по г. Сургуту Ханты-Мансийского автономного округа – Югры (далее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ИФНС) информация об организациях, участвующих в реализации национальных проектов. С 2023 года в ежеквартальном режиме осуществляется предоставление информации о налогоплательщиках – получателях средств субсидий из бюджетов бюджетной системы Российской Федерации. По результатам проведения ИФНС контрольных мероприятий организациями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национальных проектов в налоговый орган представлены уточненные декларации, увеличивающие сумму исчисленных налогов в бюджет</w:t>
      </w:r>
      <w: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на сумму </w:t>
      </w:r>
      <w:r w:rsidR="00F266A0">
        <w:rPr>
          <w:rStyle w:val="s2"/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Style w:val="s2"/>
          <w:rFonts w:ascii="Times New Roman" w:hAnsi="Times New Roman" w:cs="Times New Roman"/>
          <w:sz w:val="28"/>
          <w:szCs w:val="28"/>
        </w:rPr>
        <w:t>26</w:t>
      </w:r>
      <w:r w:rsidR="00F266A0">
        <w:rPr>
          <w:rStyle w:val="s2"/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выполнения обязательств концедента и осуществления контроля за исполнением концессионных соглашений о финансировании, проектировании, строительстве и эксплуатации объектов социальной и инженерной инфраструктуры, в рамках регламента взаимодействия структурных подразделений Администрации города, утвержденного распоряжением Администрации города по каждому объекту соглашений, департаментом финансов своевременно формировалась и направлялась информация, предусмотренная мероприятиями регламента.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департаментом финансов в целях анализа и оценки исполнения главными администраторами бюджетных средств бюджетных полномочий, в том числе бюджетных процедур, необходимых для составления проекта бюджета города и его исполнения, ведения бюджетного учета и составления бюджетной отчетности проведен мониторинг качества финансового менеджмента, осуществляемого главными администраторами бюджетных средств за 2022 год и 1 полугодие 2023 года.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сформированы и направлены главным администраторам бюджетных средств соответствующие рекомендации. Сводный отчет о результатах мониторинга качества финансового менеджмента, включающий динамику уровня качества финансового менеджмента</w:t>
      </w:r>
      <w:r w:rsidR="00F26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портале Администрации города.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части выполнения контрольных функций, возложенных на финансовый орган законодательством о закупках.</w:t>
      </w:r>
    </w:p>
    <w:p w:rsidR="005A34DB" w:rsidRPr="00A70D4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контрольных функций, возложенных на финансовый орган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департаментом финансов в Единой информационной системе в сфере закупок в ежедневном режиме было обеспечено проведение контроля информаций о заключенном контракте (его изменении), об исполнении (о расторжении) контракта в количестве 34 836 документов, </w:t>
      </w:r>
      <w:r w:rsidRPr="00A70D40">
        <w:rPr>
          <w:rFonts w:ascii="Times New Roman" w:hAnsi="Times New Roman" w:cs="Times New Roman"/>
          <w:color w:val="000000" w:themeColor="text1"/>
          <w:sz w:val="28"/>
          <w:szCs w:val="28"/>
        </w:rPr>
        <w:t>о непревышении объема финансового обеспечения, включенного в план-график закупок над лимитами бюджетных обязательств в количестве 4</w:t>
      </w:r>
      <w:r w:rsidR="0068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D40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Pr="00A70D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D4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68208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70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подпункту «а» пункта 13, подпункту «а» пункта 25 Правил осуществления контроля, установленных Постановлением Правительства Российской Федерации от 06.08.2020 № 1193 «О порядке осуществления контроля, предусмотренного частями 5 и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специалистами департамента финансов проведены дополнительные контрольные процедуры, предусматривающие проверку проектов контрактов, заключаемых с единственным поставщиком по пунктам 2, 3, 6, 7, 10 – 14, 16, 17, 19, 22, 31 – 33, 35, 37 – 39, 47, 48, 54 части 1 статьи 93 44-ФЗ. По результатам проведения контроля сформировано 1 116 уведомлений о соответствии (протоколов о несоответствии) контролируемой информации.</w:t>
      </w:r>
    </w:p>
    <w:p w:rsidR="005A34DB" w:rsidRDefault="00CE65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части составления и предоставления внешним пользователям бюджетной отчетности.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полугодии 2023 года проведена работа по формированию годовой отчетности об исполнении бюджета города за 2022 год. Годовая бюджетная отчетность была сформирована и направлена в Департамент финансов Ханты-Мансийского автономного округа – Югры в установленные сроки и в полном объеме, принята вышестоящим финансовым органом без замечаний.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 города за 2022 год для внешней проверки Контрольно-счетной палатой города и рассмотрения Думой города был внесен в сроки и в составе, предусмотренные Положением о бюджетном процессе в городе.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Главы города от 20.03.2023 № 10 «О назначении публичных слушаний» проведены публичные слушания по годовому отчету об исполнении бюджета города за 2022 год.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бюджета города за 2022 год утвержден решением Думы города от 31.05.2023 № 352-VII ДГ.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сформированы и своевременно направлены в Департамент финансов Ханты-Мансийского автономного округа – </w:t>
      </w:r>
      <w:r w:rsidRPr="00CE188F">
        <w:rPr>
          <w:rFonts w:ascii="Times New Roman" w:hAnsi="Times New Roman" w:cs="Times New Roman"/>
          <w:sz w:val="28"/>
          <w:szCs w:val="28"/>
        </w:rPr>
        <w:t xml:space="preserve">Югры более 300 ежемесячных,  </w:t>
      </w:r>
      <w:r>
        <w:rPr>
          <w:rFonts w:ascii="Times New Roman" w:hAnsi="Times New Roman" w:cs="Times New Roman"/>
          <w:sz w:val="28"/>
          <w:szCs w:val="28"/>
        </w:rPr>
        <w:t>ежеквартальных отчетов об исполнении бюджета города и аналитической информации по отдельным запросам.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и своевременно утверждены в установленный срок постановлениями Администрации города ежеквартальные отчеты об исполнении бюджета города.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части повышения уровня открытости бюджета и привлечения граждан к обсуждению вопросов в сфере управления муниципальными финансами города Сургута.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продолжил свою работу общественный совет при департаменте финансов Администрации города Сургута (далее Совет). В отчётном периоде проведено 4 заседания Совета, на которых обсуждались вопросы исполнения муниципальной программы «Управление муниципальными финансами города Сургута на период до 2030 года» и бюджета города </w:t>
      </w:r>
      <w:r w:rsidRPr="00CE188F">
        <w:rPr>
          <w:rFonts w:ascii="Times New Roman" w:hAnsi="Times New Roman" w:cs="Times New Roman"/>
          <w:sz w:val="28"/>
          <w:szCs w:val="28"/>
        </w:rPr>
        <w:t>Сургута за 2022 год,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вопрос о реализации инициативного бюджетирования в городе Сургуте в течение 2023 года и проект о бюджете города на 2024 год и плановый период 2025 – 2026 годов. 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плановые мероприятия по повышению уровня финансовой грамотности в рамках утвержденного Плана повышения финансовой грамотности населения в муниципальном образовании городской округ Сургут на 2023 год и внеплановые мероприятия, приуроченные ко дню финансиста. В общеобразовательных учреждениях города специалистами департамента финансов проводились уроки по повышению уровня финансовой грамотности учащихся в рамках Всероссийской акции «Дни финансовой грамотности в учебных заведениях». В рамках мероприятий, приуроченных ко дню финансиста, проводились уроки в том числе и по формированию ценностей финансовой культуры, а именно: понимание важности финансовых знаний и умений для своей жизни и семьи.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36 уроков для учащихся 3-11 классов общеобразовательных учреждений города, количество участников которых составило 1049 человек. 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 финансовой грамотности школьников в доступной и занимательной форме познакомили с основами рационального финансового поведения – как разумно организовать и оптимизировать будущий семейный бюджет, что надо делать для повышения личного и семейного благосостояния, почему важно предусмотреть возможность финансовых потерь и как их минимизировать, как научиться с юных лет управлять своими финансами.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мероприятия направлены на расширение кругозора юного поколения в области финансов и в сфере денежных взаимоотношений.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2023 года был проведен ежегодный День открытых дверей в департаменте финансов, в рамках которого помимо основ бюджетного процесса учащиеся смогли познакомиться с основными функциями департамента финансов, имеющимися у каждого горожанина возможностями участия в принятии таких важных документов как бюджет города и отчет о его исполнении. Кроме того, школьникам в доступной форме была доведена информация об инициативном бюджетировании и возможности участия в жизни города посредством выдвижения и внесения на рассмотрение в Администрацию города инициативных проектов в соответствии с решением Думы города от 22.12.2020 № 690-VI ДГ «Об утверждении Положения о регулировании отдельных вопросов реализации инициативных проектов в городе Сургуте». </w:t>
      </w:r>
    </w:p>
    <w:p w:rsidR="005A34DB" w:rsidRDefault="00C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мероприятии была проведена тренинг-игра «Составь бюджет». В увлекательной игровой форме ребята познакомились с доходными источниками бюджета, с направлениями расходов бюджета города и самостоятельно попробовали сформировать сбалансированный бюджет города.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поддерживается в актуальном состоянии раздел «Открытый бюджет» и продолжена работа по размещению информации в формате открытых данных на специализированном портале Ханты-Мансийского автономного округа – Югры. 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DB" w:rsidRDefault="005A3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 части координации деятельности Администрации города по реализации инициативных проектов граждан.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города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 департамент финансов является ответственным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за координацию деятельности структурных подразделений Администрации города по реализации инициативных проектов, поддержанных Администрацией города.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проводимых в 2023 году мероприятий по развитию практики инициативного бюджетирования были достигнуты следующие показатели:</w:t>
      </w:r>
    </w:p>
    <w:p w:rsidR="005A34DB" w:rsidRDefault="00CE65A4">
      <w:pPr>
        <w:pStyle w:val="a8"/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реализованы все инициативные проекты граждан, поддержанные Администрацией города с целью их реализации в 2023 году. Из бюджета города 55 млн. рублей было направлено на следующие инициативные проекты: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«Устройство освещения для обеспечения безопасного подхода детей к СОШ № 45»;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«Создание этнокультутрных арт-объектов»;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«Открытие молодежного пространства «Точка»;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«Благоустройство приюта для животных без владельцев (приобретение вольеров)»;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«Благоустройство приюта для животных без владельцев (приобретение будок)»;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«Теплая раздевалка при хоккейном корте «Магистраль»;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«Благоустройство исторического сквера в 27-м микрорайоне»;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«Летние филармонические сезоны»;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«Молодежный фестиваль «Сургут в движении»;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«Благоустройство территории МКД пр. Ленина 70 и Ленина 70/1 с установкой площадки для активного отдыха».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2023 году были проведены проектно – изыскательские работы в рамках реализации 1 этапа инициативного проекта «Безопасный переход на Пролетарском» (окончательно проект будет завершен в 2024 году).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получена субсидия из окружного бюджета на софинансирование реализации инициативных проектов-победителей регионального конкурса.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департамента финансов являются операторами по организации участия города в региональном конкурсе инициативных проектов, проводимом округом ежегодно.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в конкурсе участвовало 8 проектов от города Сургута, 5 из которых признаны победителями и получили софинансирование из окружного бюджета на общую сумму порядка 24,7 млн. рублей. Победа в данном конкурсе позволила направить средства местного бюджета дополнительно на реализацию еще 3 инициативных проект</w:t>
      </w:r>
      <w:r w:rsidR="002B38D5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обсуждении инициативных проектов, выдвигаемых на рассмотрение   в Администрацию города, в 2023 году приняли участие порядка 5,4 тысяч человек.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рамках организованной департаментом финансов и проводимой совместно с департаментом массовых коммуникаций и аналитики Администрации города информационной кампании, в целях участия города на региональном конкурсе инициативах проектов, за проекты города отдано порядка 59 тысяч голосов сургутян.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показатели были достигнуты в том числе благодаря проведению </w:t>
      </w:r>
      <w:r>
        <w:rPr>
          <w:rFonts w:ascii="Times New Roman" w:eastAsia="Calibri" w:hAnsi="Times New Roman" w:cs="Times New Roman"/>
          <w:sz w:val="28"/>
          <w:szCs w:val="28"/>
        </w:rPr>
        <w:br/>
        <w:t>в течение года следующих мероприятий: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системное совершенствование нормативного правового регулирования            порядка реализации инициативных проектов, в том числе уточнения регламентных процедур, механизма взаимодействия структурных подразделений Администрации города в процессе рассмотрения и реализации проектов</w:t>
      </w:r>
      <w:r w:rsidR="002B38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активная информационная кампания в части популяризации практики инициативного бюджетирования среди граждан, а именно размещение соответствующих сведений о возможности и порядке внесения инициативных проектов в различных источниках средств массовой информации (госпаблик департамента финансов, газеты, телевиденье, официальные страницы и аккаунты Администрации города).</w:t>
      </w:r>
    </w:p>
    <w:p w:rsidR="005A34DB" w:rsidRDefault="005A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2. «Управление муниципальным долгом города».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направлена на: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и своевременное исполнение обязательств муниципального образования по договорам привлечения заемных средств;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потребностей города в расходах инвестиционного характера путем привлечения кредитных ресурсов;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финансирования текущего исполнения бюджета города путем привлечения коммерческих кредитов на пополнение остатков средств на счете бюджета города в целях недопущения возникновения кассовых разрывов;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значения показателей величины муниципального долга и объема расходов на его обслуживание в пределах допустимых показателей экономической безопасности.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было проведено 4 электронных аукциона по привлечению заемных средств, 1 признан несостоявшимся по причине отсутствия заявок на участие в закупке, заключены 3 муниципальных контракта. Так же в 2023 году было заключено 14 дополнительных соглашений к действующим муниципальным контрактам с банками кредиторами на снижение цены контракта с целью высвобождения зарезервированных средств в бюджете города по обслуживанию муниципального долга и для дальнейшего их перераспределения на иные цели.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положительное влияние на снижение расходов по обслуживанию муниципального долга оказало применению механизма повышения ликвидности счета бюджета, в том числе используя комплекс мероприятий перечисления на единый счет бюджета города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с их возвратом на счета, с которых они были ранее перечислены. В результате принятых решений по уменьшению привлечения количества траншей (выборок) или более позднему привлечению кредитов в рамках возобновляемых кредитных линий объем экономии за 2023 год в сравнении с уточненным планом составил 70,1 млн. рублей.</w:t>
      </w:r>
    </w:p>
    <w:p w:rsidR="005A34DB" w:rsidRDefault="005A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3. «Формирование резервных средств в бюджете города».  </w:t>
      </w:r>
    </w:p>
    <w:p w:rsidR="005A34DB" w:rsidRDefault="00C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Формирование в бюджете города резервного фонда Администрации города осуществлялось в соответствии с требованиями Бюджетного кодекса Российской Федерации и направлено на исключение рисков неисполнения непредвиденных расходов, а также повышение эффективности формирования бюджетных средств путем установления резерва на оптимальном уровне.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города использовались в порядке, </w:t>
      </w:r>
      <w:r w:rsidRPr="00A93D7C">
        <w:rPr>
          <w:rFonts w:ascii="Times New Roman" w:hAnsi="Times New Roman" w:cs="Times New Roman"/>
          <w:sz w:val="28"/>
          <w:szCs w:val="28"/>
        </w:rPr>
        <w:t>утвержденном распоряжением Администрации города от 26.12.2007 № 4312.  В 202</w:t>
      </w:r>
      <w:r w:rsidR="00A93D7C" w:rsidRPr="00A93D7C">
        <w:rPr>
          <w:rFonts w:ascii="Times New Roman" w:hAnsi="Times New Roman" w:cs="Times New Roman"/>
          <w:sz w:val="28"/>
          <w:szCs w:val="28"/>
        </w:rPr>
        <w:t>3</w:t>
      </w:r>
      <w:r w:rsidRPr="00A93D7C">
        <w:rPr>
          <w:rFonts w:ascii="Times New Roman" w:hAnsi="Times New Roman" w:cs="Times New Roman"/>
          <w:sz w:val="28"/>
          <w:szCs w:val="28"/>
        </w:rPr>
        <w:t xml:space="preserve"> году из резервного фонда было выделено </w:t>
      </w:r>
      <w:r w:rsidR="00A93D7C" w:rsidRPr="00A93D7C">
        <w:rPr>
          <w:rFonts w:ascii="Times New Roman" w:hAnsi="Times New Roman" w:cs="Times New Roman"/>
          <w:sz w:val="28"/>
          <w:szCs w:val="28"/>
        </w:rPr>
        <w:t>23,4</w:t>
      </w:r>
      <w:r w:rsidRPr="00A93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 </w:t>
      </w:r>
      <w:r w:rsidRPr="00A93D7C">
        <w:rPr>
          <w:rFonts w:ascii="Times New Roman" w:hAnsi="Times New Roman" w:cs="Times New Roman"/>
          <w:sz w:val="28"/>
          <w:szCs w:val="28"/>
        </w:rPr>
        <w:t>на цели, определенные указанным 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бюджете города резервировались бюджетные ассигнования с целью последующего их распределения между главными распорядителями бюджетных средств при наступлении установленных условий.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расходных обязательств осуществлялось по следующим направлениям: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размере </w:t>
      </w:r>
      <w:r w:rsidR="0060167E" w:rsidRPr="0060167E">
        <w:rPr>
          <w:rFonts w:ascii="Times New Roman" w:hAnsi="Times New Roman" w:cs="Times New Roman"/>
          <w:color w:val="000000" w:themeColor="text1"/>
          <w:sz w:val="28"/>
          <w:szCs w:val="28"/>
        </w:rPr>
        <w:t>10,8</w:t>
      </w:r>
      <w:r w:rsidRPr="0060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E5105D" w:rsidRDefault="00E5105D" w:rsidP="00E51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AF1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оплаты труда, выплат социального характера работникам муниципальных учреждений и органов местного самоуправления в размере 163,0 млн. рублей;</w:t>
      </w:r>
    </w:p>
    <w:p w:rsidR="00E5105D" w:rsidRDefault="00E5105D" w:rsidP="00E51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E5105D">
        <w:rPr>
          <w:rFonts w:ascii="Times New Roman" w:hAnsi="Times New Roman" w:cs="Times New Roman"/>
          <w:color w:val="000000" w:themeColor="text1"/>
          <w:sz w:val="28"/>
          <w:szCs w:val="28"/>
        </w:rPr>
        <w:t>а предоставление дополнительной меры социальной поддержки обучающихся муниципальных образовательных учреждений, вынужденно покинувших территории Украины, Донецкой Народной Республики, Луганской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2,0 млн. рублей;</w:t>
      </w:r>
    </w:p>
    <w:p w:rsidR="00E5105D" w:rsidRDefault="00E5105D" w:rsidP="00E51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BF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дополнительной меры социальной поддержки по оплате содержания жилых помещений отдельным категориям граждан в размере 3,7 млн. рублей;</w:t>
      </w:r>
    </w:p>
    <w:p w:rsidR="00E5105D" w:rsidRPr="00114816" w:rsidRDefault="00E5105D" w:rsidP="00E51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81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обязательств по концессионным соглашениям,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в размере 183,4 млн. рублей;</w:t>
      </w:r>
    </w:p>
    <w:p w:rsidR="005A34DB" w:rsidRPr="00E76AA9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реализация инициативных проектов, предусмотренных 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 в размере </w:t>
      </w:r>
      <w:r w:rsidR="00E76AA9" w:rsidRPr="00E76AA9">
        <w:rPr>
          <w:rFonts w:ascii="Times New Roman" w:hAnsi="Times New Roman" w:cs="Times New Roman"/>
          <w:color w:val="000000" w:themeColor="text1"/>
          <w:sz w:val="28"/>
          <w:szCs w:val="28"/>
        </w:rPr>
        <w:t>35,0</w:t>
      </w:r>
      <w:r w:rsidRPr="00E7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2D53F4" w:rsidRDefault="002D5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53F4">
        <w:rPr>
          <w:rFonts w:ascii="Times New Roman" w:hAnsi="Times New Roman" w:cs="Times New Roman"/>
          <w:color w:val="000000" w:themeColor="text1"/>
          <w:sz w:val="28"/>
          <w:szCs w:val="28"/>
        </w:rPr>
        <w:t>на присуждение премии города Сургута «За личный вклад в реализацию общественно значимых мероприятий»</w:t>
      </w:r>
      <w:r w:rsidR="00BE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1,0 млн. рублей;</w:t>
      </w:r>
    </w:p>
    <w:p w:rsidR="007B714E" w:rsidRPr="00BE2FBF" w:rsidRDefault="007B71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714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обязательств по муниципальным контрактам на выполнение работ, связанных с осуществлением регулярных перевозок пассажиров и багажа по регулируемым тарифам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F56D1A">
        <w:rPr>
          <w:rFonts w:ascii="Times New Roman" w:hAnsi="Times New Roman" w:cs="Times New Roman"/>
          <w:color w:val="000000" w:themeColor="text1"/>
          <w:sz w:val="28"/>
          <w:szCs w:val="28"/>
        </w:rPr>
        <w:t>2,7 млн. рублей;</w:t>
      </w:r>
    </w:p>
    <w:p w:rsidR="005A34DB" w:rsidRPr="00BE2FBF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BF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мероприятий по содействию трудоустройству граждан за счет иных межбюджетных трансфертов из бюджета Ханты-Мансийского автономного округа – Югры в разме</w:t>
      </w:r>
      <w:r w:rsidR="001F3BCB" w:rsidRPr="00BE2FBF">
        <w:rPr>
          <w:rFonts w:ascii="Times New Roman" w:hAnsi="Times New Roman" w:cs="Times New Roman"/>
          <w:color w:val="000000" w:themeColor="text1"/>
          <w:sz w:val="28"/>
          <w:szCs w:val="28"/>
        </w:rPr>
        <w:t>ре 1</w:t>
      </w:r>
      <w:r w:rsidR="00BE2FBF" w:rsidRPr="00BE2FBF">
        <w:rPr>
          <w:rFonts w:ascii="Times New Roman" w:hAnsi="Times New Roman" w:cs="Times New Roman"/>
          <w:color w:val="000000" w:themeColor="text1"/>
          <w:sz w:val="28"/>
          <w:szCs w:val="28"/>
        </w:rPr>
        <w:t>3,6</w:t>
      </w:r>
      <w:r w:rsidR="001F3BCB" w:rsidRPr="00BE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1F3BCB" w:rsidRDefault="001F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4.  «Обеспечение функционирования и развития автоматизированных систем управления бюджетным процессом». </w:t>
      </w:r>
    </w:p>
    <w:p w:rsidR="00583F0C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направлено на: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автоматизированной системы планирования и исполнения бюджета города;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автоматизированной системы планирования и исполнения бюджета города к изменениям бюджетного законодательства;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бюджетного процесса.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процесса планирования и исполнения бюджета города департамент финансов осуществляет администрирование системы «АЦК».  </w:t>
      </w:r>
    </w:p>
    <w:p w:rsidR="005A34DB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Пользователями системы являются главные распорядители бюджетных средств, муниципальные казённые, бюджетные и автономные учреждения города, </w:t>
      </w:r>
      <w:r w:rsidRPr="000A29A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казначейского сопровождения. </w:t>
      </w:r>
      <w:r w:rsidRPr="00D01544">
        <w:rPr>
          <w:rFonts w:ascii="Times New Roman" w:hAnsi="Times New Roman" w:cs="Times New Roman"/>
          <w:color w:val="000000" w:themeColor="text1"/>
          <w:sz w:val="28"/>
          <w:szCs w:val="28"/>
        </w:rPr>
        <w:t>На 31.12.202</w:t>
      </w:r>
      <w:r w:rsidR="000A29A0" w:rsidRPr="00D015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0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охватывала </w:t>
      </w:r>
      <w:r w:rsidR="00D01544" w:rsidRPr="00D01544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Pr="00D0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города, </w:t>
      </w:r>
      <w:r w:rsidRPr="00FC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зарегистрировано более </w:t>
      </w:r>
      <w:r w:rsidR="00D01544">
        <w:rPr>
          <w:rFonts w:ascii="Times New Roman" w:hAnsi="Times New Roman" w:cs="Times New Roman"/>
          <w:color w:val="000000" w:themeColor="text1"/>
          <w:sz w:val="28"/>
          <w:szCs w:val="28"/>
        </w:rPr>
        <w:t>739</w:t>
      </w:r>
      <w:r w:rsidRPr="00FC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пользователей.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 xml:space="preserve">Простоев в работе системы в отчётном периоде не зафиксировано. Все выявленные замечания в процессе работы оперативно направлялись разработчикам системы и исправлялись. 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Операции по исполнению бюджета города выполнялись в электронном виде с применением средств усиленной квалифицированной электронной подписи в соответствии с требованиями Федерального закона от 06.04.2011 № 63-ФЗ «Об электронной подписи», что существенно сокращает временные затраты при исполнении бюджета, а также обеспечивает получение быстрого доступа ко всем необходимым документам.</w:t>
      </w:r>
    </w:p>
    <w:p w:rsidR="005A34DB" w:rsidRPr="000A29A0" w:rsidRDefault="00CE6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ab/>
      </w:r>
      <w:r w:rsidRPr="000A29A0">
        <w:rPr>
          <w:rFonts w:ascii="Times New Roman" w:hAnsi="Times New Roman" w:cs="Times New Roman"/>
          <w:color w:val="000000" w:themeColor="text1"/>
          <w:sz w:val="28"/>
          <w:szCs w:val="28"/>
        </w:rPr>
        <w:t>Для планирования новых расходных обязательств главными распорядителями бюджетных средств, а также для автоматического расчета некоторых видов расходов при подготовке проекта бюджета на 202</w:t>
      </w:r>
      <w:r w:rsidR="005963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A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5963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A29A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5963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A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использовалась автоматизированная информационная система «СКИФ–Бюджетный процесс». 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За счет интеграции с подсистемой «АЦК-Муниципальный заказ» автоматически осуществлялся контроль за соответствием информации об объеме финансового обеспечения, включенной в планы графики, информации об объеме финансового обеспечения для осуществления закупок, утвержденном и доведенном до заказчика, осуществлялось предварительное резервирование объема финансового обеспечения под заявки заказчиков на закупку товаров, работ и услуг, автоматическое принятие обязательств по результатам проведенных конкурсных процедур.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Работа в системе участников бюджетного процесса и муниципальных учреждений города осуществлялась по единой сети передачи данных или с использованием VPN-соединений с применением трехзвенной архитектуры, что гарантирует защищенность системы от несанкционированного доступа.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В целях организации работы по исполнению бюджета города и предоставлению отчётности в 202</w:t>
      </w:r>
      <w:r w:rsidR="000A29A0" w:rsidRPr="000A29A0">
        <w:rPr>
          <w:rFonts w:ascii="Times New Roman" w:hAnsi="Times New Roman" w:cs="Times New Roman"/>
          <w:sz w:val="28"/>
          <w:szCs w:val="28"/>
        </w:rPr>
        <w:t>3</w:t>
      </w:r>
      <w:r w:rsidRPr="000A29A0">
        <w:rPr>
          <w:rFonts w:ascii="Times New Roman" w:hAnsi="Times New Roman" w:cs="Times New Roman"/>
          <w:sz w:val="28"/>
          <w:szCs w:val="28"/>
        </w:rPr>
        <w:t xml:space="preserve"> году департамент финансов осуществлял электронное взаимодействие: 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- с Управлением Федерального казначейства по Ханты-Мансийскому автономному округу – Югре при администрировании доходов и кассовом обслуживании бюджета города;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- с финансовым органом Ханты-Мансийского автономного округа – Югры по предоставлению электронной периодической отчетности об исполнении бюджета, направлению заявок на предоставление межбюджетных трансфертов из округа;</w:t>
      </w:r>
    </w:p>
    <w:p w:rsidR="005A34DB" w:rsidRPr="000A29A0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- с органами Федеральной налоговой службы по получению информации о начисленных, уплаченных налогах и сборах, а также о суммах задолженности по ним.</w:t>
      </w:r>
    </w:p>
    <w:p w:rsidR="005A34DB" w:rsidRPr="007F15EE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EE">
        <w:rPr>
          <w:rFonts w:ascii="Times New Roman" w:hAnsi="Times New Roman" w:cs="Times New Roman"/>
          <w:sz w:val="28"/>
          <w:szCs w:val="28"/>
        </w:rPr>
        <w:t>Главные распорядители и получатели бюджетных средств для предоставления бюджетной отчетности в электронном виде использовали региональную информационно-аналитическую систему «Web-Консолидация», что позволило централизовать информацию о бюджетной отчетности округа в единую базу данных, таким образом снизить трудоемкость при приемке и консолидации бюджетной отчетности, проверке контрольных соотношений.</w:t>
      </w:r>
    </w:p>
    <w:p w:rsidR="005A34DB" w:rsidRPr="007F15EE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E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России от 28.12.2016 </w:t>
      </w:r>
      <w:r w:rsidRPr="007F15EE">
        <w:rPr>
          <w:rFonts w:ascii="Times New Roman" w:hAnsi="Times New Roman" w:cs="Times New Roman"/>
          <w:color w:val="000000" w:themeColor="text1"/>
          <w:sz w:val="28"/>
          <w:szCs w:val="28"/>
        </w:rPr>
        <w:t>№ 243н «О составе и порядке размещения и предоставления информации на едином портале бюджетной системы Российской Федерации», с целью обеспечения прозрачности, открытости и подотчетности деятельности органов государственной власти и органов местного самоуправления, а также повышения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 ежедневно формировалась структурированная информация из муниципальной информационной системы «АЦК» и загружалась в государственную интегрированную информационную систему управления общественными финансами «Электронный бюджет».</w:t>
      </w:r>
    </w:p>
    <w:p w:rsidR="005A34DB" w:rsidRPr="007F15EE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EE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прозрачности бюджета и бюджетного процесса начиная с 2016 года по адресу http://budget.admsurgut.ru/ функционирует информационный портал «Бюджет для граждан», предназначенный для удобного и быстрого поиска информации о муниципальных финансах в доступной и наглядной форме. Сведения о бюджете из подсистемы «АЦК-Финансы» ежемесячно экспортировались на данный информационный портал. </w:t>
      </w:r>
    </w:p>
    <w:p w:rsidR="005A34DB" w:rsidRPr="007F15EE" w:rsidRDefault="00CE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EE">
        <w:rPr>
          <w:rFonts w:ascii="Times New Roman" w:hAnsi="Times New Roman" w:cs="Times New Roman"/>
          <w:sz w:val="28"/>
          <w:szCs w:val="28"/>
        </w:rPr>
        <w:t>На портале «Бюджет для граждан» представлена информация о бюджете города как в форме официальных документов, утвержденных муниципальными правовыми актами, так и в интерактивном графическом формате в различных разрезах и интерпретациях. В разделе «О бюджете наглядно» размещены брошюры к отчету об исполнении бюджета, а также к проекту и утвержденному бюджету города, в которых в доступной форме представлена краткая информация об основных параметрах бюджета города.</w:t>
      </w:r>
    </w:p>
    <w:p w:rsidR="00C17D7A" w:rsidRDefault="00C1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7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№4492 от 15.09.2023 «Об утверждении порядка предоставления субсидии юридическим лицам,      индивидуальным предпринимателям на финансовое обеспечение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ХМАО– Югры» автоматизирован процесс заключения соглашений в электронном виде с формированием текста соглашения и с подписанием электронной подписью сторон.</w:t>
      </w:r>
    </w:p>
    <w:p w:rsidR="005A34DB" w:rsidRDefault="0077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8D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F945E5">
        <w:rPr>
          <w:rFonts w:ascii="Times New Roman" w:hAnsi="Times New Roman" w:cs="Times New Roman"/>
          <w:sz w:val="28"/>
          <w:szCs w:val="28"/>
        </w:rPr>
        <w:t>0</w:t>
      </w:r>
      <w:r w:rsidRPr="007718DE">
        <w:rPr>
          <w:rFonts w:ascii="Times New Roman" w:hAnsi="Times New Roman" w:cs="Times New Roman"/>
          <w:sz w:val="28"/>
          <w:szCs w:val="28"/>
        </w:rPr>
        <w:t>6</w:t>
      </w:r>
      <w:r w:rsidR="00F945E5">
        <w:rPr>
          <w:rFonts w:ascii="Times New Roman" w:hAnsi="Times New Roman" w:cs="Times New Roman"/>
          <w:sz w:val="28"/>
          <w:szCs w:val="28"/>
        </w:rPr>
        <w:t>.08.</w:t>
      </w:r>
      <w:r w:rsidRPr="007718DE">
        <w:rPr>
          <w:rFonts w:ascii="Times New Roman" w:hAnsi="Times New Roman" w:cs="Times New Roman"/>
          <w:sz w:val="28"/>
          <w:szCs w:val="28"/>
        </w:rPr>
        <w:t>2020 № 1193 «О порядке осуществления контроля, предусмотренного частями 5 и 5</w:t>
      </w:r>
      <w:r w:rsidR="00F945E5">
        <w:rPr>
          <w:rFonts w:ascii="Times New Roman" w:hAnsi="Times New Roman" w:cs="Times New Roman"/>
          <w:sz w:val="28"/>
          <w:szCs w:val="28"/>
        </w:rPr>
        <w:t>.</w:t>
      </w:r>
      <w:r w:rsidRPr="007718DE">
        <w:rPr>
          <w:rFonts w:ascii="Times New Roman" w:hAnsi="Times New Roman" w:cs="Times New Roman"/>
          <w:sz w:val="28"/>
          <w:szCs w:val="28"/>
        </w:rPr>
        <w:t>1 статьи 99 Федерального закона «О контрактной системе в сфере закупок товаров, работ, услуг для обеспечения государственных и муниципальных нужд»», внедрен функционал для согласования проектов контрактов</w:t>
      </w:r>
      <w:r w:rsidR="00F945E5">
        <w:rPr>
          <w:rFonts w:ascii="Times New Roman" w:hAnsi="Times New Roman" w:cs="Times New Roman"/>
          <w:sz w:val="28"/>
          <w:szCs w:val="28"/>
        </w:rPr>
        <w:t>,</w:t>
      </w:r>
      <w:r w:rsidRPr="007718DE">
        <w:rPr>
          <w:rFonts w:ascii="Times New Roman" w:hAnsi="Times New Roman" w:cs="Times New Roman"/>
          <w:sz w:val="28"/>
          <w:szCs w:val="28"/>
        </w:rPr>
        <w:t xml:space="preserve"> планируемых к заключению с единственным поставщиком в соответствии с пунктами 2, 3, 6, 7, 10 - 14, 16, 17, 19, 22, 31 - 33, 35, 37-39, 47, 48, 54, 55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2D8D">
        <w:rPr>
          <w:rFonts w:ascii="Times New Roman" w:hAnsi="Times New Roman" w:cs="Times New Roman"/>
          <w:sz w:val="28"/>
          <w:szCs w:val="28"/>
        </w:rPr>
        <w:t>.</w:t>
      </w:r>
    </w:p>
    <w:p w:rsidR="00A82D8D" w:rsidRDefault="00A8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D">
        <w:rPr>
          <w:rFonts w:ascii="Times New Roman" w:hAnsi="Times New Roman" w:cs="Times New Roman"/>
          <w:sz w:val="28"/>
          <w:szCs w:val="28"/>
        </w:rPr>
        <w:t>В соответствии с положениями п.п. 15 п. 1 ст. 102 Налогового кодекса РФ с 01.01.2023 внедрен и введен в эксплуатацию ПК «Колибри-Финансы» для автоматизированной загрузки информации УФНС</w:t>
      </w:r>
      <w:r w:rsidR="00F945E5">
        <w:rPr>
          <w:rFonts w:ascii="Times New Roman" w:hAnsi="Times New Roman" w:cs="Times New Roman"/>
          <w:sz w:val="28"/>
          <w:szCs w:val="28"/>
        </w:rPr>
        <w:t>,</w:t>
      </w:r>
      <w:r w:rsidRPr="00A82D8D">
        <w:rPr>
          <w:rFonts w:ascii="Times New Roman" w:hAnsi="Times New Roman" w:cs="Times New Roman"/>
          <w:sz w:val="28"/>
          <w:szCs w:val="28"/>
        </w:rPr>
        <w:t xml:space="preserve"> поступающей по каналам СМЭВ, по сведениям о принадлежности денежных средств, перечисленных в качестве единого налогового платежа (сведения ЕНП) по налогам, сборам, страховым взносам, являющимся источниками формирования доходов бюджета муниципального образования.</w:t>
      </w:r>
    </w:p>
    <w:p w:rsidR="002B38D5" w:rsidRDefault="002B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4DB" w:rsidRDefault="00C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Основное мероприятие 5. «Внедрение в бюджетный процесс новых инструментов (технологий), обусловленных изменением законодательства или направленных на оптимизацию бюджетных и технологических процедур и повышение эффективности взаимодействия участников бюджетного процесса».</w:t>
      </w:r>
    </w:p>
    <w:p w:rsidR="005A34DB" w:rsidRDefault="00C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45E5" w:rsidRPr="00F945E5">
        <w:rPr>
          <w:rFonts w:ascii="Times New Roman" w:hAnsi="Times New Roman" w:cs="Times New Roman"/>
          <w:sz w:val="28"/>
          <w:szCs w:val="28"/>
        </w:rPr>
        <w:t>В течение 2023 года в целях</w:t>
      </w:r>
      <w:r w:rsidR="00F9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E5">
        <w:rPr>
          <w:rFonts w:ascii="Times New Roman" w:hAnsi="Times New Roman" w:cs="Times New Roman"/>
          <w:sz w:val="28"/>
          <w:szCs w:val="28"/>
        </w:rPr>
        <w:t>оптимизации бюджетного процесса подготовлены и внесены изменения в решение Думы города Сургута от 26.10.2005 № 505-III ГД «Об установлении земельного налога», направленные на о</w:t>
      </w:r>
      <w:r>
        <w:rPr>
          <w:rFonts w:ascii="Times New Roman" w:hAnsi="Times New Roman" w:cs="Times New Roman"/>
          <w:sz w:val="28"/>
          <w:szCs w:val="28"/>
        </w:rPr>
        <w:t>свобождение от уплаты земельного налога организаций, финансовое обеспечение которых (в том числе на выполнени</w:t>
      </w:r>
      <w:r w:rsidR="00F945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задания) осуществляется за счет средств бюджета города, </w:t>
      </w:r>
      <w:r w:rsidR="00F945E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336C75">
        <w:rPr>
          <w:rFonts w:ascii="Times New Roman" w:hAnsi="Times New Roman" w:cs="Times New Roman"/>
          <w:sz w:val="28"/>
          <w:szCs w:val="28"/>
        </w:rPr>
        <w:t xml:space="preserve">устранить встречные финансовые потоки (расходы-доходы) </w:t>
      </w:r>
      <w:r>
        <w:rPr>
          <w:rFonts w:ascii="Times New Roman" w:hAnsi="Times New Roman" w:cs="Times New Roman"/>
          <w:sz w:val="28"/>
          <w:szCs w:val="28"/>
        </w:rPr>
        <w:t>в 2024 году на сумму - 490,6 млн. рублей и порядка 605,9 млн. рублей (ежегодно) в последующие годы.</w:t>
      </w:r>
    </w:p>
    <w:p w:rsidR="005A34DB" w:rsidRDefault="00CE65A4">
      <w:pPr>
        <w:pStyle w:val="a8"/>
        <w:ind w:left="0" w:firstLine="709"/>
        <w:jc w:val="both"/>
        <w:rPr>
          <w:lang w:eastAsia="zh-CN"/>
        </w:rPr>
      </w:pPr>
      <w:r>
        <w:t xml:space="preserve">В </w:t>
      </w:r>
      <w:r>
        <w:rPr>
          <w:color w:val="000000" w:themeColor="text1"/>
        </w:rPr>
        <w:t>целях соблюдения требований</w:t>
      </w:r>
      <w:r>
        <w:t xml:space="preserve"> Приказа Минфина России от 28.12.2016 </w:t>
      </w:r>
      <w:r>
        <w:br/>
      </w:r>
      <w:r>
        <w:rPr>
          <w:color w:val="000000" w:themeColor="text1"/>
        </w:rPr>
        <w:t xml:space="preserve">№ 243н «О составе и порядке размещения и предоставления информации на едином портале бюджетной системы Российской Федерации» с 2023 года процедуры </w:t>
      </w:r>
      <w:r>
        <w:rPr>
          <w:bCs/>
        </w:rPr>
        <w:t xml:space="preserve"> </w:t>
      </w:r>
      <w:r>
        <w:rPr>
          <w:rStyle w:val="s2"/>
        </w:rPr>
        <w:t xml:space="preserve">открытия </w:t>
      </w:r>
      <w:r>
        <w:rPr>
          <w:lang w:eastAsia="zh-CN"/>
        </w:rPr>
        <w:t>лицевых счетов для учета операций со средствами участников казначейского сопровождения</w:t>
      </w:r>
      <w:r>
        <w:rPr>
          <w:bCs/>
        </w:rPr>
        <w:t xml:space="preserve"> осуществлялись в электронном виде в</w:t>
      </w:r>
      <w:r>
        <w:rPr>
          <w:color w:val="000000" w:themeColor="text1"/>
        </w:rPr>
        <w:t xml:space="preserve"> </w:t>
      </w:r>
      <w:r>
        <w:rPr>
          <w:bCs/>
        </w:rPr>
        <w:t>государственной интегрированной информационной системе управления общественными финансами «Электронный бюджет»</w:t>
      </w:r>
      <w:r>
        <w:rPr>
          <w:lang w:eastAsia="zh-CN"/>
        </w:rPr>
        <w:t>. В 2023 году участникам казначейского сопровождения открыто 3 лицевых счета.</w:t>
      </w:r>
    </w:p>
    <w:p w:rsidR="005A34DB" w:rsidRDefault="00CE65A4">
      <w:pPr>
        <w:pStyle w:val="a8"/>
        <w:ind w:left="0" w:firstLine="709"/>
        <w:jc w:val="both"/>
      </w:pPr>
      <w:r>
        <w:t>В 2023 году по результатам проведенного в 2022 году обзора бюджетных расходов на департамент финансов возложена новая функция по организации перехода на единую централизованную</w:t>
      </w:r>
      <w:r>
        <w:rPr>
          <w:bCs/>
        </w:rPr>
        <w:t xml:space="preserve"> информационную систему на основе платформы «1С: Предприятие», </w:t>
      </w:r>
      <w:r>
        <w:t>по обеспечению едиными методологическими и технологическими подходами к автоматизации бухгалтерского, управленческого учёта и формирования отчётности органов местного самоуправления и муниципальных учреждений города.</w:t>
      </w:r>
    </w:p>
    <w:p w:rsidR="005A34DB" w:rsidRDefault="00CE65A4">
      <w:pPr>
        <w:pStyle w:val="a8"/>
        <w:ind w:left="0" w:firstLine="567"/>
        <w:jc w:val="both"/>
      </w:pPr>
      <w:r>
        <w:t>В целях обеспечения единых методологических и технологических подходов к автоматизации бухгалтерского, управленческого учета и формирования отчетности органов местного самоуправления и муниципальных учреждений города: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п</w:t>
      </w:r>
      <w:r>
        <w:t>роведен анализ существующих муниципальных контрактов на оказание услуг по информационно-технологическому сопровождению и по сопровождению и доработке автоматизированных информационных систем бюджетного (бухгалтерского), кадрового учета и отчетности</w:t>
      </w:r>
      <w:r w:rsidR="00336C75">
        <w:t>;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р</w:t>
      </w:r>
      <w:r>
        <w:t>азработаны критерии оценки уровней критичности инцидентов, возникающих в процессе эксплуатации информационных систем и определены требования к срокам и качеству их выполнения, а также порядку приемки работ и услуг по контрактам</w:t>
      </w:r>
      <w:r w:rsidR="00336C75">
        <w:t>;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п</w:t>
      </w:r>
      <w:r>
        <w:t>одготовлены технические задания на 2024 год на оказание услуг по информационно-технологическому сопровождению и по сопровождению и доработке автоматизированных информационных систем бюджетного (бухгалтерского), кадрового учета и отчетности на 2024 год</w:t>
      </w:r>
      <w:r w:rsidR="00336C75">
        <w:t>;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р</w:t>
      </w:r>
      <w:r>
        <w:t>азработано положение и проведены мероприятия по формированию состава комиссии по проведению экспертизы результатов оказания услуг по сопровождению и доработке автоматизированных информационных систем бюджетного (бухгалтерского), кадрового учета и отчетности из представителей органов местного самоуправления и муниципальных учреждений для повышения качества оказания услуг</w:t>
      </w:r>
      <w:r w:rsidR="00336C75">
        <w:t>;</w:t>
      </w:r>
    </w:p>
    <w:p w:rsidR="005A34DB" w:rsidRDefault="00336C75" w:rsidP="00336C75">
      <w:pPr>
        <w:pStyle w:val="a8"/>
        <w:tabs>
          <w:tab w:val="left" w:pos="709"/>
        </w:tabs>
        <w:ind w:left="0" w:firstLine="567"/>
        <w:jc w:val="both"/>
      </w:pPr>
      <w:r>
        <w:t>- р</w:t>
      </w:r>
      <w:r w:rsidR="00CE65A4">
        <w:t>азработан регламент взаимодействия работников структурных подразделений Администрации города и муниципальных учреждений города с исполнителями муниципальных контрактов по сопровождению информационных систем бюджетного (бухгалтерского), кадрового учета и отчетности, при участии специалистов департамента финансов для обеспечения единых методологических и технологических подходов к автоматизации бухгалтерского, управленческого учета и формирования отчетности.</w:t>
      </w:r>
    </w:p>
    <w:p w:rsidR="005A34DB" w:rsidRDefault="00CE65A4">
      <w:pPr>
        <w:pStyle w:val="a8"/>
        <w:ind w:left="0" w:firstLine="567"/>
        <w:jc w:val="both"/>
      </w:pPr>
      <w:r>
        <w:t>В рамках проведенных мероприятий по совершенствованию технологий централизованного ведения бухгалтерского учета и формирования отчетности, обеспечения единых методологических и технологических подходов к автоматизации, удалось достичь таких результатов, как: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п</w:t>
      </w:r>
      <w:r>
        <w:t>овышение прозрачности порядка оказания услуг по сопровождению и выполнения работ по доработке автоматизированных информационных систем бюджетного (бухгалтерского), кадрового учета и отчетности</w:t>
      </w:r>
      <w:r w:rsidR="00336C75">
        <w:t>;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о</w:t>
      </w:r>
      <w:r>
        <w:t>беспечение соответствия программного обеспечения требованиям Федерального законодательства, а также нормативным правовым документам, являющимся обязательными к применению в бюджетном (бухгалтерском), кадровом учете и отчетности</w:t>
      </w:r>
      <w:r w:rsidR="00336C75">
        <w:t>;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с</w:t>
      </w:r>
      <w:r>
        <w:t>окращение бюджетных расходов за счет проведение централизованной конкурентной закупки, отвечающей единым требованиям к срокам, объему и качеству оказываемых услуг</w:t>
      </w:r>
      <w:r w:rsidR="00336C75">
        <w:t>;</w:t>
      </w:r>
    </w:p>
    <w:p w:rsidR="005A34DB" w:rsidRDefault="00CE65A4">
      <w:pPr>
        <w:pStyle w:val="a8"/>
        <w:ind w:left="0" w:firstLine="567"/>
        <w:jc w:val="both"/>
      </w:pPr>
      <w:r>
        <w:t xml:space="preserve">- </w:t>
      </w:r>
      <w:r w:rsidR="00336C75">
        <w:t>о</w:t>
      </w:r>
      <w:r>
        <w:t>птимизация процедур взаимодействия пользователей автоматизированных информационных систем бюджетного (бухгалтерского), кадрового учета и отчетности на платформе «1С: Предприятие»</w:t>
      </w:r>
      <w:r w:rsidR="00336C75">
        <w:t>;</w:t>
      </w:r>
    </w:p>
    <w:p w:rsidR="005A34DB" w:rsidRDefault="00CE65A4">
      <w:pPr>
        <w:pStyle w:val="a8"/>
        <w:ind w:left="0" w:firstLine="709"/>
        <w:jc w:val="both"/>
        <w:rPr>
          <w:lang w:eastAsia="zh-CN"/>
        </w:rPr>
      </w:pPr>
      <w:r>
        <w:t xml:space="preserve">- </w:t>
      </w:r>
      <w:r w:rsidR="00336C75">
        <w:t>о</w:t>
      </w:r>
      <w:r>
        <w:t>беспечение единых подходов к автоматизации бухгалтерского, управленческого учета и формирования отчетности. Разграничение доступа к объектам учета.</w:t>
      </w:r>
    </w:p>
    <w:p w:rsidR="005A34DB" w:rsidRDefault="005A34DB">
      <w:pPr>
        <w:pStyle w:val="a8"/>
        <w:ind w:left="0" w:firstLine="709"/>
        <w:jc w:val="both"/>
        <w:rPr>
          <w:lang w:eastAsia="zh-CN"/>
        </w:rPr>
      </w:pPr>
    </w:p>
    <w:sectPr w:rsidR="005A34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8E" w:rsidRDefault="000B298E">
      <w:pPr>
        <w:spacing w:line="240" w:lineRule="auto"/>
      </w:pPr>
      <w:r>
        <w:separator/>
      </w:r>
    </w:p>
  </w:endnote>
  <w:endnote w:type="continuationSeparator" w:id="0">
    <w:p w:rsidR="000B298E" w:rsidRDefault="000B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8E" w:rsidRDefault="000B298E">
      <w:pPr>
        <w:spacing w:after="0"/>
      </w:pPr>
      <w:r>
        <w:separator/>
      </w:r>
    </w:p>
  </w:footnote>
  <w:footnote w:type="continuationSeparator" w:id="0">
    <w:p w:rsidR="000B298E" w:rsidRDefault="000B29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B32AB"/>
    <w:multiLevelType w:val="multilevel"/>
    <w:tmpl w:val="05EB32AB"/>
    <w:lvl w:ilvl="0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F"/>
    <w:rsid w:val="00000BEB"/>
    <w:rsid w:val="0000128C"/>
    <w:rsid w:val="00003B92"/>
    <w:rsid w:val="00005E16"/>
    <w:rsid w:val="00006046"/>
    <w:rsid w:val="000114BE"/>
    <w:rsid w:val="000125A0"/>
    <w:rsid w:val="00017C24"/>
    <w:rsid w:val="00020B97"/>
    <w:rsid w:val="000245AE"/>
    <w:rsid w:val="000260AE"/>
    <w:rsid w:val="00027494"/>
    <w:rsid w:val="00036CB5"/>
    <w:rsid w:val="00043D84"/>
    <w:rsid w:val="00052624"/>
    <w:rsid w:val="00054B17"/>
    <w:rsid w:val="0005672C"/>
    <w:rsid w:val="000606AE"/>
    <w:rsid w:val="0006435E"/>
    <w:rsid w:val="00065473"/>
    <w:rsid w:val="00080EEE"/>
    <w:rsid w:val="0008139A"/>
    <w:rsid w:val="000847B4"/>
    <w:rsid w:val="00090993"/>
    <w:rsid w:val="000928A6"/>
    <w:rsid w:val="000934B2"/>
    <w:rsid w:val="0009610D"/>
    <w:rsid w:val="000A045A"/>
    <w:rsid w:val="000A1CE6"/>
    <w:rsid w:val="000A29A0"/>
    <w:rsid w:val="000B0616"/>
    <w:rsid w:val="000B298E"/>
    <w:rsid w:val="000B3317"/>
    <w:rsid w:val="000B5826"/>
    <w:rsid w:val="000C1FDC"/>
    <w:rsid w:val="000C21D9"/>
    <w:rsid w:val="000C3377"/>
    <w:rsid w:val="000D1684"/>
    <w:rsid w:val="000D65A3"/>
    <w:rsid w:val="000E1136"/>
    <w:rsid w:val="000E1E6D"/>
    <w:rsid w:val="000E2F04"/>
    <w:rsid w:val="000E3266"/>
    <w:rsid w:val="000E57DA"/>
    <w:rsid w:val="000E5D8B"/>
    <w:rsid w:val="000F14CF"/>
    <w:rsid w:val="000F3FCF"/>
    <w:rsid w:val="000F52D5"/>
    <w:rsid w:val="000F54C1"/>
    <w:rsid w:val="000F5884"/>
    <w:rsid w:val="00100AED"/>
    <w:rsid w:val="00101CBE"/>
    <w:rsid w:val="00102DB1"/>
    <w:rsid w:val="0010475A"/>
    <w:rsid w:val="00105DF7"/>
    <w:rsid w:val="001103CB"/>
    <w:rsid w:val="0011214C"/>
    <w:rsid w:val="00114816"/>
    <w:rsid w:val="0011645D"/>
    <w:rsid w:val="00116ED4"/>
    <w:rsid w:val="001203FF"/>
    <w:rsid w:val="00121CA2"/>
    <w:rsid w:val="00130158"/>
    <w:rsid w:val="00130563"/>
    <w:rsid w:val="00130567"/>
    <w:rsid w:val="00141C34"/>
    <w:rsid w:val="00141D53"/>
    <w:rsid w:val="00142399"/>
    <w:rsid w:val="00143BAC"/>
    <w:rsid w:val="0015311D"/>
    <w:rsid w:val="0015490E"/>
    <w:rsid w:val="001567D4"/>
    <w:rsid w:val="00157BC4"/>
    <w:rsid w:val="001627AE"/>
    <w:rsid w:val="00164EC4"/>
    <w:rsid w:val="001652EC"/>
    <w:rsid w:val="00173925"/>
    <w:rsid w:val="00177C1F"/>
    <w:rsid w:val="00181907"/>
    <w:rsid w:val="00181944"/>
    <w:rsid w:val="00191B84"/>
    <w:rsid w:val="001948C2"/>
    <w:rsid w:val="00195CDF"/>
    <w:rsid w:val="001A0396"/>
    <w:rsid w:val="001A24A0"/>
    <w:rsid w:val="001A7BCE"/>
    <w:rsid w:val="001B26CF"/>
    <w:rsid w:val="001B3329"/>
    <w:rsid w:val="001B6224"/>
    <w:rsid w:val="001B779B"/>
    <w:rsid w:val="001B7910"/>
    <w:rsid w:val="001C01BD"/>
    <w:rsid w:val="001C43F7"/>
    <w:rsid w:val="001D244A"/>
    <w:rsid w:val="001D27D8"/>
    <w:rsid w:val="001D51AB"/>
    <w:rsid w:val="001E062C"/>
    <w:rsid w:val="001E3DC3"/>
    <w:rsid w:val="001F3BCB"/>
    <w:rsid w:val="001F4A85"/>
    <w:rsid w:val="001F7377"/>
    <w:rsid w:val="001F77B5"/>
    <w:rsid w:val="001F7B19"/>
    <w:rsid w:val="00204733"/>
    <w:rsid w:val="00204D53"/>
    <w:rsid w:val="002102AD"/>
    <w:rsid w:val="00216407"/>
    <w:rsid w:val="0021729B"/>
    <w:rsid w:val="00220BC8"/>
    <w:rsid w:val="00222B74"/>
    <w:rsid w:val="00224F98"/>
    <w:rsid w:val="00227542"/>
    <w:rsid w:val="00231258"/>
    <w:rsid w:val="00231BC1"/>
    <w:rsid w:val="00234265"/>
    <w:rsid w:val="00235F7F"/>
    <w:rsid w:val="002365BD"/>
    <w:rsid w:val="002400CA"/>
    <w:rsid w:val="00240E5F"/>
    <w:rsid w:val="00242557"/>
    <w:rsid w:val="00242C78"/>
    <w:rsid w:val="00244099"/>
    <w:rsid w:val="002464EA"/>
    <w:rsid w:val="00246726"/>
    <w:rsid w:val="0025283C"/>
    <w:rsid w:val="00253B72"/>
    <w:rsid w:val="00254FD5"/>
    <w:rsid w:val="002555E1"/>
    <w:rsid w:val="0026693C"/>
    <w:rsid w:val="00272A9E"/>
    <w:rsid w:val="00272DDF"/>
    <w:rsid w:val="00276C2E"/>
    <w:rsid w:val="00281A6A"/>
    <w:rsid w:val="00281B93"/>
    <w:rsid w:val="0028547E"/>
    <w:rsid w:val="002869EE"/>
    <w:rsid w:val="00290881"/>
    <w:rsid w:val="002925F1"/>
    <w:rsid w:val="00292892"/>
    <w:rsid w:val="00293935"/>
    <w:rsid w:val="00295CA3"/>
    <w:rsid w:val="00297DD5"/>
    <w:rsid w:val="002A4363"/>
    <w:rsid w:val="002A486E"/>
    <w:rsid w:val="002B12E4"/>
    <w:rsid w:val="002B38D5"/>
    <w:rsid w:val="002B4A28"/>
    <w:rsid w:val="002D199E"/>
    <w:rsid w:val="002D351C"/>
    <w:rsid w:val="002D53F4"/>
    <w:rsid w:val="002E0DE4"/>
    <w:rsid w:val="002E3336"/>
    <w:rsid w:val="002E7C9E"/>
    <w:rsid w:val="002F54B0"/>
    <w:rsid w:val="0030196A"/>
    <w:rsid w:val="00304BA8"/>
    <w:rsid w:val="00307318"/>
    <w:rsid w:val="00313D77"/>
    <w:rsid w:val="00315948"/>
    <w:rsid w:val="00315A2D"/>
    <w:rsid w:val="003162C8"/>
    <w:rsid w:val="00320388"/>
    <w:rsid w:val="003213DB"/>
    <w:rsid w:val="00321753"/>
    <w:rsid w:val="00323165"/>
    <w:rsid w:val="003274DD"/>
    <w:rsid w:val="003316D0"/>
    <w:rsid w:val="00336C75"/>
    <w:rsid w:val="00340BF6"/>
    <w:rsid w:val="00341FBE"/>
    <w:rsid w:val="00344F62"/>
    <w:rsid w:val="0035452B"/>
    <w:rsid w:val="0036551D"/>
    <w:rsid w:val="00371C2B"/>
    <w:rsid w:val="003744AC"/>
    <w:rsid w:val="00381ABC"/>
    <w:rsid w:val="00387894"/>
    <w:rsid w:val="00387F35"/>
    <w:rsid w:val="00391480"/>
    <w:rsid w:val="00392133"/>
    <w:rsid w:val="003965B3"/>
    <w:rsid w:val="00397A9B"/>
    <w:rsid w:val="003A097B"/>
    <w:rsid w:val="003A29AF"/>
    <w:rsid w:val="003A526C"/>
    <w:rsid w:val="003B46E4"/>
    <w:rsid w:val="003B6434"/>
    <w:rsid w:val="003B7DA5"/>
    <w:rsid w:val="003C267B"/>
    <w:rsid w:val="003C4DC8"/>
    <w:rsid w:val="003C5891"/>
    <w:rsid w:val="003D0DA1"/>
    <w:rsid w:val="003D2C06"/>
    <w:rsid w:val="003D7EC3"/>
    <w:rsid w:val="003E1884"/>
    <w:rsid w:val="003E1C20"/>
    <w:rsid w:val="003E33B9"/>
    <w:rsid w:val="003E4890"/>
    <w:rsid w:val="003E7A7B"/>
    <w:rsid w:val="003F09F6"/>
    <w:rsid w:val="003F3FB1"/>
    <w:rsid w:val="003F620B"/>
    <w:rsid w:val="00401AF1"/>
    <w:rsid w:val="0040471A"/>
    <w:rsid w:val="00404FCF"/>
    <w:rsid w:val="00405912"/>
    <w:rsid w:val="0040722C"/>
    <w:rsid w:val="00410141"/>
    <w:rsid w:val="00415F79"/>
    <w:rsid w:val="0041661C"/>
    <w:rsid w:val="004209E3"/>
    <w:rsid w:val="0042100F"/>
    <w:rsid w:val="00421A02"/>
    <w:rsid w:val="00422CEC"/>
    <w:rsid w:val="00422EE6"/>
    <w:rsid w:val="00424882"/>
    <w:rsid w:val="004257F0"/>
    <w:rsid w:val="00425E94"/>
    <w:rsid w:val="004263E5"/>
    <w:rsid w:val="00431313"/>
    <w:rsid w:val="00431E28"/>
    <w:rsid w:val="004325E6"/>
    <w:rsid w:val="00433038"/>
    <w:rsid w:val="00433E7B"/>
    <w:rsid w:val="00434596"/>
    <w:rsid w:val="00445374"/>
    <w:rsid w:val="00450F76"/>
    <w:rsid w:val="004574DA"/>
    <w:rsid w:val="0047317A"/>
    <w:rsid w:val="004736A3"/>
    <w:rsid w:val="00475539"/>
    <w:rsid w:val="00483192"/>
    <w:rsid w:val="00487439"/>
    <w:rsid w:val="004918E8"/>
    <w:rsid w:val="004939DF"/>
    <w:rsid w:val="004A0D65"/>
    <w:rsid w:val="004A785E"/>
    <w:rsid w:val="004B15A0"/>
    <w:rsid w:val="004B62B3"/>
    <w:rsid w:val="004C2924"/>
    <w:rsid w:val="004D2F4B"/>
    <w:rsid w:val="004D5638"/>
    <w:rsid w:val="004D7194"/>
    <w:rsid w:val="004E2604"/>
    <w:rsid w:val="004E4592"/>
    <w:rsid w:val="004E61D3"/>
    <w:rsid w:val="004F08BC"/>
    <w:rsid w:val="004F38E9"/>
    <w:rsid w:val="00502640"/>
    <w:rsid w:val="00505B0B"/>
    <w:rsid w:val="00505C4E"/>
    <w:rsid w:val="00507D50"/>
    <w:rsid w:val="00513A0D"/>
    <w:rsid w:val="00517AC9"/>
    <w:rsid w:val="005220FA"/>
    <w:rsid w:val="00523776"/>
    <w:rsid w:val="00535636"/>
    <w:rsid w:val="00536FC5"/>
    <w:rsid w:val="0054485D"/>
    <w:rsid w:val="00544ABC"/>
    <w:rsid w:val="00545105"/>
    <w:rsid w:val="00547AC7"/>
    <w:rsid w:val="00547DBA"/>
    <w:rsid w:val="0055334D"/>
    <w:rsid w:val="00554D5F"/>
    <w:rsid w:val="00555B62"/>
    <w:rsid w:val="00562155"/>
    <w:rsid w:val="00573669"/>
    <w:rsid w:val="00583F0C"/>
    <w:rsid w:val="005869D5"/>
    <w:rsid w:val="00591EE6"/>
    <w:rsid w:val="00595009"/>
    <w:rsid w:val="00596325"/>
    <w:rsid w:val="00597999"/>
    <w:rsid w:val="005A34DB"/>
    <w:rsid w:val="005A7EA1"/>
    <w:rsid w:val="005C7F04"/>
    <w:rsid w:val="005D2306"/>
    <w:rsid w:val="005D271A"/>
    <w:rsid w:val="005D51EB"/>
    <w:rsid w:val="005F2A06"/>
    <w:rsid w:val="005F63E4"/>
    <w:rsid w:val="0060167E"/>
    <w:rsid w:val="00610810"/>
    <w:rsid w:val="006170E6"/>
    <w:rsid w:val="0061756B"/>
    <w:rsid w:val="006177E2"/>
    <w:rsid w:val="00617975"/>
    <w:rsid w:val="00620AEB"/>
    <w:rsid w:val="0062299B"/>
    <w:rsid w:val="00622C11"/>
    <w:rsid w:val="00626909"/>
    <w:rsid w:val="006279D2"/>
    <w:rsid w:val="00627FED"/>
    <w:rsid w:val="006312CC"/>
    <w:rsid w:val="006355F9"/>
    <w:rsid w:val="00635624"/>
    <w:rsid w:val="006376E8"/>
    <w:rsid w:val="0064453D"/>
    <w:rsid w:val="006453FA"/>
    <w:rsid w:val="00651234"/>
    <w:rsid w:val="00657FA1"/>
    <w:rsid w:val="0066310F"/>
    <w:rsid w:val="006656F1"/>
    <w:rsid w:val="0067154F"/>
    <w:rsid w:val="00672211"/>
    <w:rsid w:val="006726F7"/>
    <w:rsid w:val="0067602A"/>
    <w:rsid w:val="00676E6B"/>
    <w:rsid w:val="00677B34"/>
    <w:rsid w:val="00681EA4"/>
    <w:rsid w:val="0068208D"/>
    <w:rsid w:val="0068370C"/>
    <w:rsid w:val="00684CDC"/>
    <w:rsid w:val="006851B7"/>
    <w:rsid w:val="0068523E"/>
    <w:rsid w:val="0068645F"/>
    <w:rsid w:val="006867B1"/>
    <w:rsid w:val="00690B70"/>
    <w:rsid w:val="00692734"/>
    <w:rsid w:val="006938E0"/>
    <w:rsid w:val="00693EB0"/>
    <w:rsid w:val="0069528D"/>
    <w:rsid w:val="006955B4"/>
    <w:rsid w:val="006A22F5"/>
    <w:rsid w:val="006A2887"/>
    <w:rsid w:val="006A36F7"/>
    <w:rsid w:val="006A7221"/>
    <w:rsid w:val="006B2D4E"/>
    <w:rsid w:val="006C7DDE"/>
    <w:rsid w:val="006D182A"/>
    <w:rsid w:val="006D53C3"/>
    <w:rsid w:val="006D6F15"/>
    <w:rsid w:val="006D7E4B"/>
    <w:rsid w:val="006E1297"/>
    <w:rsid w:val="006E3392"/>
    <w:rsid w:val="006E5082"/>
    <w:rsid w:val="006F07FB"/>
    <w:rsid w:val="006F1DCC"/>
    <w:rsid w:val="006F346D"/>
    <w:rsid w:val="007006F2"/>
    <w:rsid w:val="007032ED"/>
    <w:rsid w:val="007033C7"/>
    <w:rsid w:val="00711D51"/>
    <w:rsid w:val="00713734"/>
    <w:rsid w:val="00715D27"/>
    <w:rsid w:val="00720518"/>
    <w:rsid w:val="0072080C"/>
    <w:rsid w:val="00720DD7"/>
    <w:rsid w:val="0072109B"/>
    <w:rsid w:val="00721CFF"/>
    <w:rsid w:val="0072203E"/>
    <w:rsid w:val="00723F73"/>
    <w:rsid w:val="00725B81"/>
    <w:rsid w:val="00727A44"/>
    <w:rsid w:val="00731629"/>
    <w:rsid w:val="00732E2E"/>
    <w:rsid w:val="0073325F"/>
    <w:rsid w:val="007348E6"/>
    <w:rsid w:val="007369C2"/>
    <w:rsid w:val="00744FA6"/>
    <w:rsid w:val="0074561C"/>
    <w:rsid w:val="00746351"/>
    <w:rsid w:val="00756B17"/>
    <w:rsid w:val="00760EBE"/>
    <w:rsid w:val="00762932"/>
    <w:rsid w:val="0076357C"/>
    <w:rsid w:val="00763A8D"/>
    <w:rsid w:val="00764DFE"/>
    <w:rsid w:val="007676FF"/>
    <w:rsid w:val="007707C6"/>
    <w:rsid w:val="007718DE"/>
    <w:rsid w:val="00775C7F"/>
    <w:rsid w:val="00783F24"/>
    <w:rsid w:val="007910CA"/>
    <w:rsid w:val="00791841"/>
    <w:rsid w:val="00794840"/>
    <w:rsid w:val="007A3E31"/>
    <w:rsid w:val="007B714E"/>
    <w:rsid w:val="007B7565"/>
    <w:rsid w:val="007C16AF"/>
    <w:rsid w:val="007C32A5"/>
    <w:rsid w:val="007C65D4"/>
    <w:rsid w:val="007C73B8"/>
    <w:rsid w:val="007E42D5"/>
    <w:rsid w:val="007E7859"/>
    <w:rsid w:val="007F15EE"/>
    <w:rsid w:val="007F59FF"/>
    <w:rsid w:val="007F5B27"/>
    <w:rsid w:val="00801A8F"/>
    <w:rsid w:val="00815A41"/>
    <w:rsid w:val="00815C54"/>
    <w:rsid w:val="00821C97"/>
    <w:rsid w:val="00822CB4"/>
    <w:rsid w:val="008254D4"/>
    <w:rsid w:val="00831F74"/>
    <w:rsid w:val="00833B81"/>
    <w:rsid w:val="00840126"/>
    <w:rsid w:val="008403E1"/>
    <w:rsid w:val="008423B7"/>
    <w:rsid w:val="00852ECD"/>
    <w:rsid w:val="00860A07"/>
    <w:rsid w:val="00867087"/>
    <w:rsid w:val="00874769"/>
    <w:rsid w:val="00877793"/>
    <w:rsid w:val="008809BE"/>
    <w:rsid w:val="00881B18"/>
    <w:rsid w:val="008829C3"/>
    <w:rsid w:val="00883DEF"/>
    <w:rsid w:val="00886E6B"/>
    <w:rsid w:val="00892E74"/>
    <w:rsid w:val="00895D56"/>
    <w:rsid w:val="008A2DB1"/>
    <w:rsid w:val="008A309F"/>
    <w:rsid w:val="008A33DD"/>
    <w:rsid w:val="008A3B35"/>
    <w:rsid w:val="008B6282"/>
    <w:rsid w:val="008C02E8"/>
    <w:rsid w:val="008D1BEC"/>
    <w:rsid w:val="008D2AFA"/>
    <w:rsid w:val="008D4D09"/>
    <w:rsid w:val="008E040C"/>
    <w:rsid w:val="008E1DED"/>
    <w:rsid w:val="008E5BEE"/>
    <w:rsid w:val="008F2DA2"/>
    <w:rsid w:val="008F300E"/>
    <w:rsid w:val="008F3D04"/>
    <w:rsid w:val="008F667D"/>
    <w:rsid w:val="008F6E95"/>
    <w:rsid w:val="008F7244"/>
    <w:rsid w:val="00901661"/>
    <w:rsid w:val="00902D89"/>
    <w:rsid w:val="0090310B"/>
    <w:rsid w:val="00912ABC"/>
    <w:rsid w:val="00912D10"/>
    <w:rsid w:val="0091479E"/>
    <w:rsid w:val="00914C10"/>
    <w:rsid w:val="00917624"/>
    <w:rsid w:val="0092419B"/>
    <w:rsid w:val="00926C02"/>
    <w:rsid w:val="00926D58"/>
    <w:rsid w:val="0093017F"/>
    <w:rsid w:val="00933C65"/>
    <w:rsid w:val="00940764"/>
    <w:rsid w:val="00945721"/>
    <w:rsid w:val="00952483"/>
    <w:rsid w:val="00952513"/>
    <w:rsid w:val="009528BA"/>
    <w:rsid w:val="00952D2D"/>
    <w:rsid w:val="0095310C"/>
    <w:rsid w:val="0095537E"/>
    <w:rsid w:val="00961CE6"/>
    <w:rsid w:val="00965543"/>
    <w:rsid w:val="00967E61"/>
    <w:rsid w:val="00972D91"/>
    <w:rsid w:val="00987E64"/>
    <w:rsid w:val="0099013A"/>
    <w:rsid w:val="009913FD"/>
    <w:rsid w:val="00992765"/>
    <w:rsid w:val="00992B3F"/>
    <w:rsid w:val="00994C98"/>
    <w:rsid w:val="009A5AF3"/>
    <w:rsid w:val="009A647A"/>
    <w:rsid w:val="009A771C"/>
    <w:rsid w:val="009B07AD"/>
    <w:rsid w:val="009B23DD"/>
    <w:rsid w:val="009B579C"/>
    <w:rsid w:val="009D43AC"/>
    <w:rsid w:val="009D703E"/>
    <w:rsid w:val="009D7F54"/>
    <w:rsid w:val="009E0067"/>
    <w:rsid w:val="009E0D35"/>
    <w:rsid w:val="009E4879"/>
    <w:rsid w:val="009F034B"/>
    <w:rsid w:val="009F1257"/>
    <w:rsid w:val="009F6531"/>
    <w:rsid w:val="009F6D0F"/>
    <w:rsid w:val="00A0267A"/>
    <w:rsid w:val="00A05A5E"/>
    <w:rsid w:val="00A05E66"/>
    <w:rsid w:val="00A0729D"/>
    <w:rsid w:val="00A10173"/>
    <w:rsid w:val="00A116CE"/>
    <w:rsid w:val="00A160E8"/>
    <w:rsid w:val="00A1671E"/>
    <w:rsid w:val="00A23E27"/>
    <w:rsid w:val="00A32842"/>
    <w:rsid w:val="00A34041"/>
    <w:rsid w:val="00A40B06"/>
    <w:rsid w:val="00A43715"/>
    <w:rsid w:val="00A468CC"/>
    <w:rsid w:val="00A5177C"/>
    <w:rsid w:val="00A536DA"/>
    <w:rsid w:val="00A53FBF"/>
    <w:rsid w:val="00A61F08"/>
    <w:rsid w:val="00A65180"/>
    <w:rsid w:val="00A656F9"/>
    <w:rsid w:val="00A66DFE"/>
    <w:rsid w:val="00A6797E"/>
    <w:rsid w:val="00A70D40"/>
    <w:rsid w:val="00A71C42"/>
    <w:rsid w:val="00A72649"/>
    <w:rsid w:val="00A7603F"/>
    <w:rsid w:val="00A7799F"/>
    <w:rsid w:val="00A81A59"/>
    <w:rsid w:val="00A82D8D"/>
    <w:rsid w:val="00A93D7C"/>
    <w:rsid w:val="00A94038"/>
    <w:rsid w:val="00A959FE"/>
    <w:rsid w:val="00A96E09"/>
    <w:rsid w:val="00AA3888"/>
    <w:rsid w:val="00AB3CF1"/>
    <w:rsid w:val="00AC19C5"/>
    <w:rsid w:val="00AC1C50"/>
    <w:rsid w:val="00AC2A7E"/>
    <w:rsid w:val="00AD18A4"/>
    <w:rsid w:val="00AD57D4"/>
    <w:rsid w:val="00AD6916"/>
    <w:rsid w:val="00AE4D4F"/>
    <w:rsid w:val="00AF243C"/>
    <w:rsid w:val="00AF3962"/>
    <w:rsid w:val="00AF52A1"/>
    <w:rsid w:val="00AF534F"/>
    <w:rsid w:val="00AF7E8A"/>
    <w:rsid w:val="00B00EFA"/>
    <w:rsid w:val="00B01BC2"/>
    <w:rsid w:val="00B07AA0"/>
    <w:rsid w:val="00B13E6E"/>
    <w:rsid w:val="00B3618E"/>
    <w:rsid w:val="00B36E04"/>
    <w:rsid w:val="00B423B5"/>
    <w:rsid w:val="00B441F3"/>
    <w:rsid w:val="00B45C0E"/>
    <w:rsid w:val="00B5471A"/>
    <w:rsid w:val="00B55814"/>
    <w:rsid w:val="00B60778"/>
    <w:rsid w:val="00B635C2"/>
    <w:rsid w:val="00B63683"/>
    <w:rsid w:val="00B63A1F"/>
    <w:rsid w:val="00B65823"/>
    <w:rsid w:val="00B772D3"/>
    <w:rsid w:val="00B80128"/>
    <w:rsid w:val="00B817C9"/>
    <w:rsid w:val="00B86769"/>
    <w:rsid w:val="00B90A04"/>
    <w:rsid w:val="00B90F39"/>
    <w:rsid w:val="00B96705"/>
    <w:rsid w:val="00BA1712"/>
    <w:rsid w:val="00BA3068"/>
    <w:rsid w:val="00BA5C78"/>
    <w:rsid w:val="00BB4871"/>
    <w:rsid w:val="00BB547C"/>
    <w:rsid w:val="00BB56FA"/>
    <w:rsid w:val="00BB7F06"/>
    <w:rsid w:val="00BD0C75"/>
    <w:rsid w:val="00BD1C33"/>
    <w:rsid w:val="00BD46F8"/>
    <w:rsid w:val="00BD5811"/>
    <w:rsid w:val="00BE1B4A"/>
    <w:rsid w:val="00BE2165"/>
    <w:rsid w:val="00BE2FBF"/>
    <w:rsid w:val="00BE4F04"/>
    <w:rsid w:val="00BE5A80"/>
    <w:rsid w:val="00BF1560"/>
    <w:rsid w:val="00BF6AE5"/>
    <w:rsid w:val="00BF6BDA"/>
    <w:rsid w:val="00C01E4C"/>
    <w:rsid w:val="00C17D7A"/>
    <w:rsid w:val="00C21324"/>
    <w:rsid w:val="00C36B1B"/>
    <w:rsid w:val="00C36BB2"/>
    <w:rsid w:val="00C41D24"/>
    <w:rsid w:val="00C43173"/>
    <w:rsid w:val="00C46A76"/>
    <w:rsid w:val="00C50108"/>
    <w:rsid w:val="00C503F6"/>
    <w:rsid w:val="00C51CDF"/>
    <w:rsid w:val="00C52193"/>
    <w:rsid w:val="00C5352D"/>
    <w:rsid w:val="00C5379F"/>
    <w:rsid w:val="00C54087"/>
    <w:rsid w:val="00C5647A"/>
    <w:rsid w:val="00C6418C"/>
    <w:rsid w:val="00C7112A"/>
    <w:rsid w:val="00C71B21"/>
    <w:rsid w:val="00C7216A"/>
    <w:rsid w:val="00C8195F"/>
    <w:rsid w:val="00C82EE2"/>
    <w:rsid w:val="00C86E1F"/>
    <w:rsid w:val="00C9315B"/>
    <w:rsid w:val="00C93E7A"/>
    <w:rsid w:val="00C94C3F"/>
    <w:rsid w:val="00C96AFC"/>
    <w:rsid w:val="00CA0760"/>
    <w:rsid w:val="00CA4FFA"/>
    <w:rsid w:val="00CA7FB2"/>
    <w:rsid w:val="00CB15B4"/>
    <w:rsid w:val="00CB54CC"/>
    <w:rsid w:val="00CC3877"/>
    <w:rsid w:val="00CC456D"/>
    <w:rsid w:val="00CD369A"/>
    <w:rsid w:val="00CD39CE"/>
    <w:rsid w:val="00CD7A35"/>
    <w:rsid w:val="00CE188F"/>
    <w:rsid w:val="00CE22A5"/>
    <w:rsid w:val="00CE65A4"/>
    <w:rsid w:val="00CF510E"/>
    <w:rsid w:val="00CF62C3"/>
    <w:rsid w:val="00D00DCC"/>
    <w:rsid w:val="00D01544"/>
    <w:rsid w:val="00D01ABA"/>
    <w:rsid w:val="00D02A29"/>
    <w:rsid w:val="00D05772"/>
    <w:rsid w:val="00D06CF4"/>
    <w:rsid w:val="00D07F15"/>
    <w:rsid w:val="00D14091"/>
    <w:rsid w:val="00D16CE4"/>
    <w:rsid w:val="00D2177D"/>
    <w:rsid w:val="00D236CD"/>
    <w:rsid w:val="00D24965"/>
    <w:rsid w:val="00D25011"/>
    <w:rsid w:val="00D30114"/>
    <w:rsid w:val="00D3092C"/>
    <w:rsid w:val="00D320BB"/>
    <w:rsid w:val="00D32D9C"/>
    <w:rsid w:val="00D33414"/>
    <w:rsid w:val="00D3483E"/>
    <w:rsid w:val="00D34DA2"/>
    <w:rsid w:val="00D36AAC"/>
    <w:rsid w:val="00D36DF5"/>
    <w:rsid w:val="00D3753B"/>
    <w:rsid w:val="00D37B9B"/>
    <w:rsid w:val="00D40B76"/>
    <w:rsid w:val="00D41E9F"/>
    <w:rsid w:val="00D46C56"/>
    <w:rsid w:val="00D50502"/>
    <w:rsid w:val="00D507D0"/>
    <w:rsid w:val="00D52233"/>
    <w:rsid w:val="00D541A9"/>
    <w:rsid w:val="00D56A6C"/>
    <w:rsid w:val="00D57795"/>
    <w:rsid w:val="00D63132"/>
    <w:rsid w:val="00D63302"/>
    <w:rsid w:val="00D63A90"/>
    <w:rsid w:val="00D6439F"/>
    <w:rsid w:val="00D75973"/>
    <w:rsid w:val="00D76EE3"/>
    <w:rsid w:val="00D80176"/>
    <w:rsid w:val="00D803F2"/>
    <w:rsid w:val="00D822CD"/>
    <w:rsid w:val="00D82735"/>
    <w:rsid w:val="00D84695"/>
    <w:rsid w:val="00D92A43"/>
    <w:rsid w:val="00DA00F9"/>
    <w:rsid w:val="00DA1F1C"/>
    <w:rsid w:val="00DB0413"/>
    <w:rsid w:val="00DB1597"/>
    <w:rsid w:val="00DB2160"/>
    <w:rsid w:val="00DB2553"/>
    <w:rsid w:val="00DB28BB"/>
    <w:rsid w:val="00DB62AF"/>
    <w:rsid w:val="00DB71E7"/>
    <w:rsid w:val="00DC0317"/>
    <w:rsid w:val="00DC24AF"/>
    <w:rsid w:val="00DD647F"/>
    <w:rsid w:val="00DE118B"/>
    <w:rsid w:val="00DE4D7D"/>
    <w:rsid w:val="00DF151E"/>
    <w:rsid w:val="00DF1C3C"/>
    <w:rsid w:val="00DF4EED"/>
    <w:rsid w:val="00DF6E02"/>
    <w:rsid w:val="00E00947"/>
    <w:rsid w:val="00E030FB"/>
    <w:rsid w:val="00E055DC"/>
    <w:rsid w:val="00E05AA5"/>
    <w:rsid w:val="00E06395"/>
    <w:rsid w:val="00E06C29"/>
    <w:rsid w:val="00E1246A"/>
    <w:rsid w:val="00E13029"/>
    <w:rsid w:val="00E15C8D"/>
    <w:rsid w:val="00E1770A"/>
    <w:rsid w:val="00E177DB"/>
    <w:rsid w:val="00E179CD"/>
    <w:rsid w:val="00E25D7A"/>
    <w:rsid w:val="00E25F3B"/>
    <w:rsid w:val="00E32F3D"/>
    <w:rsid w:val="00E3408F"/>
    <w:rsid w:val="00E4209A"/>
    <w:rsid w:val="00E47845"/>
    <w:rsid w:val="00E5105D"/>
    <w:rsid w:val="00E512CB"/>
    <w:rsid w:val="00E52BA3"/>
    <w:rsid w:val="00E57964"/>
    <w:rsid w:val="00E6058F"/>
    <w:rsid w:val="00E65659"/>
    <w:rsid w:val="00E76AA9"/>
    <w:rsid w:val="00E77823"/>
    <w:rsid w:val="00E83E50"/>
    <w:rsid w:val="00E92B59"/>
    <w:rsid w:val="00E93D56"/>
    <w:rsid w:val="00E95CD8"/>
    <w:rsid w:val="00EA1557"/>
    <w:rsid w:val="00EA75F4"/>
    <w:rsid w:val="00EB012C"/>
    <w:rsid w:val="00EB13EF"/>
    <w:rsid w:val="00EB31D8"/>
    <w:rsid w:val="00EB78E7"/>
    <w:rsid w:val="00EC4AA2"/>
    <w:rsid w:val="00EC6967"/>
    <w:rsid w:val="00ED5275"/>
    <w:rsid w:val="00ED6746"/>
    <w:rsid w:val="00ED742F"/>
    <w:rsid w:val="00EE133E"/>
    <w:rsid w:val="00EE5249"/>
    <w:rsid w:val="00EE6099"/>
    <w:rsid w:val="00EF6B0C"/>
    <w:rsid w:val="00F025D1"/>
    <w:rsid w:val="00F0733F"/>
    <w:rsid w:val="00F13F54"/>
    <w:rsid w:val="00F172DE"/>
    <w:rsid w:val="00F226CC"/>
    <w:rsid w:val="00F23950"/>
    <w:rsid w:val="00F25CB5"/>
    <w:rsid w:val="00F266A0"/>
    <w:rsid w:val="00F27222"/>
    <w:rsid w:val="00F31827"/>
    <w:rsid w:val="00F32E5F"/>
    <w:rsid w:val="00F43FB5"/>
    <w:rsid w:val="00F46023"/>
    <w:rsid w:val="00F46586"/>
    <w:rsid w:val="00F50086"/>
    <w:rsid w:val="00F5339E"/>
    <w:rsid w:val="00F568A5"/>
    <w:rsid w:val="00F56D1A"/>
    <w:rsid w:val="00F64548"/>
    <w:rsid w:val="00F6609F"/>
    <w:rsid w:val="00F70DC5"/>
    <w:rsid w:val="00F70F1E"/>
    <w:rsid w:val="00F750E3"/>
    <w:rsid w:val="00F800C6"/>
    <w:rsid w:val="00F8020D"/>
    <w:rsid w:val="00F8633A"/>
    <w:rsid w:val="00F91C17"/>
    <w:rsid w:val="00F92F44"/>
    <w:rsid w:val="00F945E5"/>
    <w:rsid w:val="00F9775C"/>
    <w:rsid w:val="00FA0190"/>
    <w:rsid w:val="00FA0B7C"/>
    <w:rsid w:val="00FA33CC"/>
    <w:rsid w:val="00FB39A6"/>
    <w:rsid w:val="00FB4581"/>
    <w:rsid w:val="00FB66E0"/>
    <w:rsid w:val="00FC0DA6"/>
    <w:rsid w:val="00FC2215"/>
    <w:rsid w:val="00FC4ACA"/>
    <w:rsid w:val="00FC68B8"/>
    <w:rsid w:val="00FC6A2A"/>
    <w:rsid w:val="00FD2E19"/>
    <w:rsid w:val="00FD6ED8"/>
    <w:rsid w:val="00FE0C2E"/>
    <w:rsid w:val="00FE7DD4"/>
    <w:rsid w:val="00FF0325"/>
    <w:rsid w:val="00FF1A47"/>
    <w:rsid w:val="206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C052"/>
  <w15:docId w15:val="{1BAB6FF1-3428-4FDD-BD16-4D3FB9F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customStyle="1" w:styleId="a7">
    <w:name w:val="Заголовок статьи"/>
    <w:basedOn w:val="a0"/>
    <w:next w:val="a0"/>
    <w:uiPriority w:val="99"/>
    <w:qFormat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0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0"/>
    <w:next w:val="a0"/>
    <w:uiPriority w:val="99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Текст выноски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a1"/>
    <w:qFormat/>
  </w:style>
  <w:style w:type="character" w:customStyle="1" w:styleId="aa">
    <w:name w:val="Цветовое выделение"/>
    <w:uiPriority w:val="99"/>
    <w:rPr>
      <w:b/>
      <w:color w:val="000080"/>
    </w:rPr>
  </w:style>
  <w:style w:type="character" w:customStyle="1" w:styleId="10">
    <w:name w:val="Заголовок 1 Знак"/>
    <w:basedOn w:val="a1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s2">
    <w:name w:val="s2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2893-009A-4AC7-8945-41269967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Елена Анатольевна</dc:creator>
  <cp:lastModifiedBy>Лёвина Ирина Михайловна</cp:lastModifiedBy>
  <cp:revision>608</cp:revision>
  <cp:lastPrinted>2024-02-24T05:30:00Z</cp:lastPrinted>
  <dcterms:created xsi:type="dcterms:W3CDTF">2020-05-19T07:29:00Z</dcterms:created>
  <dcterms:modified xsi:type="dcterms:W3CDTF">2024-02-26T12:59:00Z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E1381E2B96BB4A8CB29F498DC3CC51CC_12</vt:lpwstr>
  </property>
</Properties>
</file>