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Департамент строительства и жилищно-коммунального комплекса Ханты-Мансийского автономного округа – Югры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конкурса 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«Лидеры Югры»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/>
    </w:p>
    <w:p>
      <w:pPr>
        <w:jc w:val="cent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«Лучший государственный гражданский служащий Ханты-Мансийского автономного округа – Югры» (категория «специалисты»)</w:t>
      </w:r>
      <w:r/>
    </w:p>
    <w:p>
      <w:pPr>
        <w:jc w:val="cent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конкурса:</w:t>
      </w:r>
      <w:r/>
    </w:p>
    <w:p>
      <w:pPr>
        <w:jc w:val="right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Коплик Алексей Юрьевич</w:t>
      </w:r>
      <w:r/>
    </w:p>
    <w:p>
      <w:pPr>
        <w:jc w:val="right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отдела коммунальной инфраструктуры Управления жилищно-коммунального комплекса и энергетики Департамент строительства и жилищно-коммунального комплекса Ханты-Мансийского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автономного округа – Югры</w:t>
      </w:r>
      <w:r/>
      <w:r/>
    </w:p>
    <w:p>
      <w:pPr>
        <w:jc w:val="right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Ханты-Мансийск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</w:t>
      </w:r>
      <w:r/>
    </w:p>
    <w:p>
      <w:pPr>
        <w:pStyle w:val="680"/>
        <w:tabs>
          <w:tab w:val="right" w:pos="9631" w:leader="dot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tooltip="#_Toc106211574" w:anchor="_Toc106211574" w:history="1">
        <w:r>
          <w:rPr>
            <w:rStyle w:val="679"/>
            <w:rFonts w:ascii="Times New Roman CYR" w:hAnsi="Times New Roman CYR" w:cs="Times New Roman CYR"/>
            <w:b/>
            <w:sz w:val="28"/>
            <w:szCs w:val="28"/>
          </w:rPr>
          <w:t xml:space="preserve">Введение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_Toc106211574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3</w:t>
        </w:r>
        <w:r>
          <w:rPr>
            <w:sz w:val="28"/>
            <w:szCs w:val="28"/>
          </w:rPr>
          <w:fldChar w:fldCharType="end"/>
        </w:r>
      </w:hyperlink>
      <w:r>
        <w:rPr>
          <w:sz w:val="28"/>
          <w:szCs w:val="28"/>
        </w:rPr>
        <w:t xml:space="preserve"> стр.</w:t>
      </w:r>
      <w:r/>
    </w:p>
    <w:p>
      <w:pPr>
        <w:pStyle w:val="680"/>
        <w:tabs>
          <w:tab w:val="right" w:pos="9631" w:leader="dot"/>
        </w:tabs>
        <w:rPr>
          <w:rFonts w:asciiTheme="minorHAnsi" w:hAnsiTheme="minorHAnsi" w:eastAsiaTheme="minorEastAsia" w:cstheme="minorBidi"/>
          <w:sz w:val="28"/>
          <w:szCs w:val="28"/>
        </w:rPr>
      </w:pPr>
      <w:r/>
      <w:hyperlink w:tooltip="#_Toc106211575" w:anchor="_Toc106211575" w:history="1">
        <w:r>
          <w:rPr>
            <w:rStyle w:val="679"/>
            <w:sz w:val="28"/>
            <w:szCs w:val="28"/>
          </w:rPr>
          <w:t xml:space="preserve">Глава 1: Введение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 xml:space="preserve">.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_Toc106211575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bCs/>
            <w:sz w:val="28"/>
            <w:szCs w:val="28"/>
          </w:rPr>
          <w:t xml:space="preserve">3</w:t>
        </w:r>
        <w:r>
          <w:rPr>
            <w:sz w:val="28"/>
            <w:szCs w:val="28"/>
          </w:rPr>
          <w:fldChar w:fldCharType="end"/>
        </w:r>
      </w:hyperlink>
      <w:r>
        <w:rPr>
          <w:sz w:val="28"/>
          <w:szCs w:val="28"/>
        </w:rPr>
        <w:t xml:space="preserve"> стр.</w:t>
      </w:r>
      <w:r/>
    </w:p>
    <w:p>
      <w:pPr>
        <w:pStyle w:val="680"/>
        <w:tabs>
          <w:tab w:val="left" w:pos="880" w:leader="none"/>
          <w:tab w:val="right" w:pos="9631" w:leader="dot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rPr>
          <w:sz w:val="28"/>
          <w:szCs w:val="28"/>
        </w:rPr>
        <w:t xml:space="preserve">1.</w:t>
      </w:r>
      <w:hyperlink w:tooltip="#_Toc106211577" w:anchor="_Toc106211577" w:history="1">
        <w:r>
          <w:rPr>
            <w:rStyle w:val="679"/>
            <w:sz w:val="28"/>
            <w:szCs w:val="28"/>
          </w:rPr>
          <w:t xml:space="preserve">1.</w:t>
        </w:r>
        <w:r>
          <w:rPr>
            <w:rFonts w:asciiTheme="minorHAnsi" w:hAnsiTheme="minorHAnsi" w:eastAsiaTheme="minorEastAsia" w:cstheme="minorBidi"/>
            <w:sz w:val="28"/>
            <w:szCs w:val="28"/>
          </w:rPr>
          <w:t xml:space="preserve"> </w:t>
        </w:r>
        <w:r>
          <w:rPr>
            <w:rStyle w:val="679"/>
            <w:sz w:val="28"/>
            <w:szCs w:val="28"/>
          </w:rPr>
          <w:t xml:space="preserve">Анализ ситуации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стр.</w:t>
      </w:r>
      <w:r/>
    </w:p>
    <w:p>
      <w:pPr>
        <w:pStyle w:val="680"/>
        <w:tabs>
          <w:tab w:val="left" w:pos="880" w:leader="none"/>
          <w:tab w:val="right" w:pos="9631" w:leader="dot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rPr>
          <w:sz w:val="28"/>
          <w:szCs w:val="28"/>
        </w:rPr>
        <w:t xml:space="preserve">1.</w:t>
      </w:r>
      <w:hyperlink w:tooltip="#_Toc106211578" w:anchor="_Toc106211578" w:history="1">
        <w:r>
          <w:rPr>
            <w:rStyle w:val="679"/>
            <w:rFonts w:ascii="Times New Roman CYR" w:hAnsi="Times New Roman CYR" w:cs="Times New Roman CYR"/>
            <w:sz w:val="28"/>
            <w:szCs w:val="28"/>
          </w:rPr>
          <w:t xml:space="preserve">2. Обоснование актуальности темы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стр.</w:t>
      </w:r>
      <w:r/>
    </w:p>
    <w:p>
      <w:pPr>
        <w:pStyle w:val="680"/>
        <w:tabs>
          <w:tab w:val="left" w:pos="880" w:leader="none"/>
          <w:tab w:val="right" w:pos="9631" w:leader="dot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hyperlink w:tooltip="#_Toc106211579" w:anchor="_Toc106211579" w:history="1">
        <w:r>
          <w:rPr>
            <w:rStyle w:val="679"/>
            <w:rFonts w:ascii="Times New Roman CYR" w:hAnsi="Times New Roman CYR" w:cs="Times New Roman CYR"/>
            <w:sz w:val="28"/>
            <w:szCs w:val="28"/>
          </w:rPr>
          <w:t xml:space="preserve">3. Цели и задачи проекта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стр.</w:t>
      </w:r>
      <w:r/>
    </w:p>
    <w:p>
      <w:pPr>
        <w:pStyle w:val="680"/>
        <w:tabs>
          <w:tab w:val="left" w:pos="880" w:leader="none"/>
          <w:tab w:val="right" w:pos="9631" w:leader="dot"/>
        </w:tabs>
        <w:rPr>
          <w:rFonts w:asciiTheme="minorHAnsi" w:hAnsiTheme="minorHAnsi" w:eastAsiaTheme="minorEastAsia" w:cstheme="minorBidi"/>
          <w:sz w:val="28"/>
          <w:szCs w:val="28"/>
        </w:rPr>
      </w:pPr>
      <w:r>
        <w:rPr>
          <w:sz w:val="28"/>
          <w:szCs w:val="28"/>
        </w:rPr>
        <w:t xml:space="preserve">1.</w:t>
      </w:r>
      <w:hyperlink w:tooltip="#_Toc106211579" w:anchor="_Toc106211579" w:history="1">
        <w:r>
          <w:rPr>
            <w:rStyle w:val="679"/>
            <w:rFonts w:ascii="Times New Roman CYR" w:hAnsi="Times New Roman CYR" w:cs="Times New Roman CYR"/>
            <w:sz w:val="28"/>
            <w:szCs w:val="28"/>
          </w:rPr>
          <w:t xml:space="preserve">4. Практическая значимость</w:t>
        </w:r>
        <w:r>
          <w:rPr>
            <w:rStyle w:val="679"/>
            <w:rFonts w:ascii="Times New Roman CYR" w:hAnsi="Times New Roman CYR" w:cs="Times New Roman CYR"/>
            <w:sz w:val="28"/>
            <w:szCs w:val="28"/>
          </w:rPr>
          <w:t xml:space="preserve">. Новизна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стр.</w:t>
      </w:r>
      <w:r/>
    </w:p>
    <w:p>
      <w:pPr>
        <w:pStyle w:val="680"/>
        <w:tabs>
          <w:tab w:val="right" w:pos="9631" w:leader="dot"/>
        </w:tabs>
        <w:rPr>
          <w:rFonts w:asciiTheme="minorHAnsi" w:hAnsiTheme="minorHAnsi" w:eastAsiaTheme="minorEastAsia" w:cstheme="minorBidi"/>
          <w:sz w:val="28"/>
          <w:szCs w:val="28"/>
        </w:rPr>
      </w:pPr>
      <w:r/>
      <w:hyperlink w:tooltip="#_Toc106211580" w:anchor="_Toc106211580" w:history="1">
        <w:r>
          <w:rPr>
            <w:rStyle w:val="679"/>
            <w:rFonts w:ascii="Times New Roman CYR" w:hAnsi="Times New Roman CYR" w:cs="Times New Roman CYR"/>
            <w:b/>
            <w:sz w:val="28"/>
            <w:szCs w:val="28"/>
          </w:rPr>
          <w:t xml:space="preserve">Глава 2:</w:t>
        </w:r>
        <w:r>
          <w:rPr>
            <w:rStyle w:val="679"/>
            <w:rFonts w:ascii="Times New Roman CYR" w:hAnsi="Times New Roman CYR" w:cs="Times New Roman CYR"/>
            <w:sz w:val="28"/>
            <w:szCs w:val="28"/>
          </w:rPr>
          <w:t xml:space="preserve"> Основная часть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стр.</w:t>
      </w:r>
      <w:r/>
    </w:p>
    <w:p>
      <w:pPr>
        <w:pStyle w:val="680"/>
        <w:tabs>
          <w:tab w:val="right" w:pos="9631" w:leader="dot"/>
        </w:tabs>
        <w:rPr>
          <w:rFonts w:asciiTheme="minorHAnsi" w:hAnsiTheme="minorHAnsi" w:eastAsiaTheme="minorEastAsia" w:cstheme="minorBidi"/>
          <w:sz w:val="28"/>
          <w:szCs w:val="28"/>
        </w:rPr>
      </w:pPr>
      <w:r/>
      <w:hyperlink w:tooltip="#_Toc106211581" w:anchor="_Toc106211581" w:history="1">
        <w:r>
          <w:rPr>
            <w:rStyle w:val="679"/>
            <w:rFonts w:ascii="Times New Roman CYR" w:hAnsi="Times New Roman CYR" w:cs="Times New Roman CYR"/>
            <w:sz w:val="28"/>
            <w:szCs w:val="28"/>
          </w:rPr>
          <w:t xml:space="preserve">2.1. </w:t>
        </w:r>
        <w:r>
          <w:rPr>
            <w:rStyle w:val="679"/>
            <w:rFonts w:ascii="Times New Roman CYR" w:hAnsi="Times New Roman CYR" w:cs="Times New Roman CYR"/>
            <w:sz w:val="28"/>
            <w:szCs w:val="28"/>
          </w:rPr>
          <w:t xml:space="preserve">Описание проблематики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стр.</w:t>
      </w:r>
      <w:r/>
    </w:p>
    <w:p>
      <w:pPr>
        <w:pStyle w:val="680"/>
        <w:tabs>
          <w:tab w:val="right" w:pos="9631" w:leader="dot"/>
        </w:tabs>
        <w:rPr>
          <w:rFonts w:asciiTheme="minorHAnsi" w:hAnsiTheme="minorHAnsi" w:eastAsiaTheme="minorEastAsia" w:cstheme="minorBidi"/>
          <w:sz w:val="28"/>
          <w:szCs w:val="28"/>
        </w:rPr>
      </w:pPr>
      <w:r/>
      <w:hyperlink w:tooltip="#_Toc106211582" w:anchor="_Toc106211582" w:history="1">
        <w:r>
          <w:rPr>
            <w:rStyle w:val="679"/>
            <w:rFonts w:ascii="Times New Roman CYR" w:hAnsi="Times New Roman CYR" w:cs="Times New Roman CYR"/>
            <w:sz w:val="28"/>
            <w:szCs w:val="28"/>
          </w:rPr>
          <w:t xml:space="preserve">2.2. </w:t>
        </w:r>
        <w:r>
          <w:rPr>
            <w:rStyle w:val="679"/>
            <w:rFonts w:ascii="Times New Roman CYR" w:hAnsi="Times New Roman CYR" w:cs="Times New Roman CYR"/>
            <w:sz w:val="28"/>
            <w:szCs w:val="28"/>
          </w:rPr>
          <w:t xml:space="preserve">Предложения и механизмы решения проблемы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_Toc106211582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bCs/>
            <w:sz w:val="28"/>
            <w:szCs w:val="28"/>
          </w:rPr>
          <w:t xml:space="preserve">1</w:t>
        </w:r>
        <w:r>
          <w:rPr>
            <w:sz w:val="28"/>
            <w:szCs w:val="28"/>
          </w:rPr>
          <w:fldChar w:fldCharType="end"/>
        </w:r>
      </w:hyperlink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стр.</w:t>
      </w:r>
      <w:r/>
    </w:p>
    <w:p>
      <w:pPr>
        <w:pStyle w:val="680"/>
        <w:tabs>
          <w:tab w:val="right" w:pos="9631" w:leader="dot"/>
        </w:tabs>
        <w:rPr>
          <w:rFonts w:asciiTheme="minorHAnsi" w:hAnsiTheme="minorHAnsi" w:eastAsiaTheme="minorEastAsia" w:cstheme="minorBidi"/>
          <w:sz w:val="28"/>
          <w:szCs w:val="28"/>
        </w:rPr>
      </w:pPr>
      <w:r/>
      <w:hyperlink w:tooltip="#_Toc106211588" w:anchor="_Toc106211588" w:history="1">
        <w:r>
          <w:rPr>
            <w:rStyle w:val="679"/>
            <w:rFonts w:ascii="Times New Roman CYR" w:hAnsi="Times New Roman CYR" w:cs="Times New Roman CYR"/>
            <w:b/>
            <w:sz w:val="28"/>
            <w:szCs w:val="28"/>
          </w:rPr>
          <w:t xml:space="preserve">Глава 3:</w:t>
        </w:r>
        <w:r>
          <w:rPr>
            <w:rStyle w:val="679"/>
            <w:rFonts w:ascii="Times New Roman CYR" w:hAnsi="Times New Roman CYR" w:cs="Times New Roman CYR"/>
            <w:sz w:val="28"/>
            <w:szCs w:val="28"/>
          </w:rPr>
          <w:t xml:space="preserve"> </w:t>
        </w:r>
        <w:r>
          <w:rPr>
            <w:rStyle w:val="679"/>
            <w:rFonts w:ascii="Times New Roman CYR" w:hAnsi="Times New Roman CYR" w:cs="Times New Roman CYR"/>
            <w:sz w:val="28"/>
            <w:szCs w:val="28"/>
          </w:rPr>
          <w:t xml:space="preserve">Заключение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_Toc106211588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bCs/>
            <w:sz w:val="28"/>
            <w:szCs w:val="28"/>
          </w:rPr>
          <w:t xml:space="preserve">1</w:t>
        </w:r>
        <w:r>
          <w:rPr>
            <w:sz w:val="28"/>
            <w:szCs w:val="28"/>
          </w:rPr>
          <w:fldChar w:fldCharType="end"/>
        </w:r>
      </w:hyperlink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стр.</w:t>
      </w:r>
      <w:r/>
    </w:p>
    <w:p>
      <w:pPr>
        <w:pStyle w:val="680"/>
        <w:tabs>
          <w:tab w:val="right" w:pos="9631" w:leader="dot"/>
        </w:tabs>
        <w:rPr>
          <w:rFonts w:asciiTheme="minorHAnsi" w:hAnsiTheme="minorHAnsi" w:eastAsiaTheme="minorEastAsia" w:cstheme="minorBidi"/>
          <w:sz w:val="28"/>
          <w:szCs w:val="28"/>
        </w:rPr>
      </w:pPr>
      <w:r/>
      <w:hyperlink w:tooltip="#_Toc106211589" w:anchor="_Toc106211589" w:history="1">
        <w:r>
          <w:rPr>
            <w:rStyle w:val="679"/>
            <w:rFonts w:ascii="Times New Roman CYR" w:hAnsi="Times New Roman CYR" w:cs="Times New Roman CYR"/>
            <w:sz w:val="28"/>
            <w:szCs w:val="28"/>
          </w:rPr>
          <w:t xml:space="preserve">3.1. </w:t>
        </w:r>
        <w:r>
          <w:rPr>
            <w:rStyle w:val="679"/>
            <w:rFonts w:ascii="Times New Roman CYR" w:hAnsi="Times New Roman CYR" w:cs="Times New Roman CYR"/>
            <w:sz w:val="28"/>
            <w:szCs w:val="28"/>
          </w:rPr>
          <w:t xml:space="preserve">Итоги работы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_Toc106211589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bCs/>
            <w:sz w:val="28"/>
            <w:szCs w:val="28"/>
          </w:rPr>
          <w:t xml:space="preserve">1</w:t>
        </w:r>
        <w:r>
          <w:rPr>
            <w:sz w:val="28"/>
            <w:szCs w:val="28"/>
          </w:rPr>
          <w:fldChar w:fldCharType="end"/>
        </w:r>
      </w:hyperlink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стр.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fldChar w:fldCharType="end"/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Технологическое присоединение к сетям тепло-, водоснабжения и водоотведения, как один из видов деятельности ресурсоснабжающей организации, представляет собой комплекс технологических мероприятий и юридических процедур, обеспечивающих фактическо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присоединение объекта капитального строительства, индивидуального жилищного строительства к сетям инженерно-технического обеспечения.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Обеспечение доступности, сокращение сроков присоединения, количества процедур является одной из задач развития коммунального комплекса Российской Федерации. 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 настоящее время существует целый ряд проблемных вопросов </w:t>
      </w: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технологического присоединения потребителей к объектам коммунальной инфраструктуры, эти вопросы актуальны как потенциальных инвесторов, так и для населения в целом.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Эти проблемы связаны с большими сроками</w:t>
      </w:r>
      <w:r>
        <w:rPr>
          <w:rFonts w:ascii="Times New Roman" w:hAnsi="Times New Roman" w:cs="Times New Roman"/>
          <w:sz w:val="28"/>
          <w:szCs w:val="28"/>
        </w:rPr>
        <w:t xml:space="preserve"> оказани</w:t>
      </w:r>
      <w:r>
        <w:rPr>
          <w:rFonts w:ascii="Times New Roman" w:hAnsi="Times New Roman" w:cs="Times New Roman"/>
          <w:sz w:val="28"/>
          <w:szCs w:val="28"/>
        </w:rPr>
        <w:t xml:space="preserve">я услуг по подключению, высокой стоимостью подключения, отсутствием информационного технического обеспечения в ресурсоснабжающих организациях, сложностью оформления заявок и их согласования, выполнения проектно-изыскательских и строительно-монтажных работ.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технологического присоединения является сложным как с технической, так и с юридической стороны, поэтому существует необходимость в регулировании данного процесса государством.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опишу </w:t>
      </w:r>
      <w:r>
        <w:rPr>
          <w:rFonts w:ascii="Times New Roman" w:hAnsi="Times New Roman" w:cs="Times New Roman"/>
          <w:sz w:val="28"/>
          <w:szCs w:val="28"/>
        </w:rPr>
        <w:t xml:space="preserve">основные цели, задачи, проблематику и </w:t>
      </w:r>
      <w:r>
        <w:rPr>
          <w:rFonts w:ascii="Times New Roman" w:hAnsi="Times New Roman" w:cs="Times New Roman"/>
          <w:sz w:val="28"/>
          <w:szCs w:val="28"/>
        </w:rPr>
        <w:t xml:space="preserve">возможные решения,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направленные на устранение административных барьеров в процессе технологического присоединения.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ситуации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Ханты-Мансийском автономном округе – Югре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регулируемую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сфере тепло-, водоснабжения и водоотведения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51</w:t>
      </w:r>
      <w:r>
        <w:rPr>
          <w:rFonts w:ascii="Times New Roman" w:hAnsi="Times New Roman" w:cs="Times New Roman"/>
          <w:sz w:val="28"/>
          <w:szCs w:val="28"/>
        </w:rPr>
        <w:t xml:space="preserve"> ресурсоснабжающ</w:t>
      </w:r>
      <w:r>
        <w:rPr>
          <w:rFonts w:ascii="Times New Roman" w:hAnsi="Times New Roman" w:cs="Times New Roman"/>
          <w:sz w:val="28"/>
          <w:szCs w:val="28"/>
        </w:rPr>
        <w:t xml:space="preserve">ая организация.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видов деятельности данных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является выполнение процесса подключения юридических организаций,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к сетям инженерно-технического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2017 году органам исполнительной власти субъектов Российской Федерации рекомендовано разработать и утвердить «дорожные карты» по внедрению в субъектах Российской Федерации целевых моделей по улучшению инвестиционной привлекательности </w:t>
      </w:r>
      <w:r>
        <w:rPr>
          <w:rFonts w:ascii="Times New Roman" w:hAnsi="Times New Roman" w:cs="Times New Roman"/>
          <w:sz w:val="28"/>
          <w:szCs w:val="28"/>
        </w:rPr>
        <w:t xml:space="preserve">региона.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этой части, на территории автономного округа реализован проект, основанный на целевой модели «Подключение (технологическое присоединение) к сетям водоснабжения и водоотведения» (включающий в себя 36 целевых показателей).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Данный проект позволил существенно </w:t>
      </w:r>
      <w:r>
        <w:rPr>
          <w:rFonts w:ascii="Times New Roman" w:hAnsi="Times New Roman" w:cs="Times New Roman"/>
          <w:sz w:val="28"/>
          <w:szCs w:val="28"/>
        </w:rPr>
        <w:t xml:space="preserve">сократить сроки присоединения по информационному, организационному</w:t>
      </w:r>
      <w:r>
        <w:rPr>
          <w:rFonts w:ascii="Times New Roman" w:hAnsi="Times New Roman" w:cs="Times New Roman"/>
          <w:sz w:val="28"/>
          <w:szCs w:val="28"/>
        </w:rPr>
        <w:t xml:space="preserve"> и правовому направлениям.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Обоснование актуальности темы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Разбирая определенные условия договора технологического присоединения, </w:t>
      </w:r>
      <w:r>
        <w:rPr>
          <w:rFonts w:ascii="Times New Roman" w:hAnsi="Times New Roman" w:cs="Times New Roman"/>
          <w:sz w:val="28"/>
          <w:szCs w:val="28"/>
        </w:rPr>
        <w:t xml:space="preserve">существенными являются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величина нагрузки и мероприятия которые стороны подключения должны выполнить;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точка присоединения, сроки подключение и его стоимость.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Плата за технологическое присоединение - существенное условие договора. Плата подлежит государственному регулированию и устанавливается на основании приказа уполномоченного органа. 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Различают два вида платы: платы, которая устанавливается при наличии возможности технологического присоединения. При этом, по </w:t>
      </w:r>
      <w:r>
        <w:rPr>
          <w:rFonts w:ascii="Times New Roman" w:hAnsi="Times New Roman" w:cs="Times New Roman"/>
          <w:sz w:val="28"/>
          <w:szCs w:val="28"/>
        </w:rPr>
        <w:t xml:space="preserve">некоторым Правилам </w:t>
      </w:r>
      <w:r>
        <w:rPr>
          <w:rFonts w:ascii="Times New Roman" w:hAnsi="Times New Roman" w:cs="Times New Roman"/>
          <w:sz w:val="28"/>
          <w:szCs w:val="28"/>
        </w:rPr>
        <w:t xml:space="preserve">в зависимости от категории потребителя такая плата может составлять фиксированную стоимость (то есть, установленную нечувствительную к выполняемым мероприятиям сетевой организации, величину), а также плата, которая устанавливается в индивидуальном порядке.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платы в индивидуальном порядке -  такая плата утверждается также уполномоченным органом.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Плата за подключение (технологическое присоединение) - плата, которую вносят лица, осуществляющие строительство здания, строения, сооружения, подключаемых (технологически присоединяемых) </w:t>
      </w:r>
      <w:r>
        <w:rPr>
          <w:rFonts w:ascii="Times New Roman" w:hAnsi="Times New Roman" w:cs="Times New Roman"/>
          <w:sz w:val="28"/>
          <w:szCs w:val="28"/>
        </w:rPr>
        <w:t xml:space="preserve">к системе потребления ресурса, а также плата, которую вносят лица, осуществляющие реконструкцию здания, строения, сооружения в случае, если данная реконструкция влечет за собой увеличение потребляемой нагрузки реконструируемых здания, строения, сооружения.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Регулирование платы напрямую связанно с объемом выполнения строительно-монтажных работ и сроками их проведения, и как следствие их качества.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самое главное для инвестора, заявителя при осуществлении подключения к сетям теплоснабжения, водоснабжения и водоотведения, это низкая цена и сжатые сроки, простота в оформлении бумаг, но преобладающим фактором является цена подключения и в</w:t>
      </w:r>
      <w:r>
        <w:rPr>
          <w:rFonts w:ascii="Times New Roman" w:hAnsi="Times New Roman" w:cs="Times New Roman"/>
          <w:sz w:val="28"/>
          <w:szCs w:val="28"/>
        </w:rPr>
        <w:t xml:space="preserve">виду отсутствия федерального нормативного воздействия на ресурсоснабжающие организации, устанавливать, заявляться на формирование тарифа в орган осуществляющий правовое регулирование в сфере государственного регулирования цен (тарифов), в Ханты-Мансийско</w:t>
      </w:r>
      <w:r>
        <w:rPr>
          <w:rFonts w:ascii="Times New Roman" w:hAnsi="Times New Roman" w:cs="Times New Roman"/>
          <w:sz w:val="28"/>
          <w:szCs w:val="28"/>
        </w:rPr>
        <w:t xml:space="preserve">м автономном округе </w:t>
      </w:r>
      <w:r>
        <w:rPr>
          <w:rFonts w:ascii="Times New Roman" w:hAnsi="Times New Roman" w:cs="Times New Roman"/>
          <w:sz w:val="28"/>
          <w:szCs w:val="28"/>
        </w:rPr>
        <w:t xml:space="preserve">у ресурсоснабжающих организаций отсутствует установленный тариф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 подключение к системам теплоснабжения, водоснабжения и водоотведения в расчете на единицу мощности подключаемой нагрузки</w:t>
      </w:r>
      <w:r>
        <w:rPr>
          <w:rFonts w:ascii="Times New Roman" w:hAnsi="Times New Roman" w:cs="Times New Roman"/>
          <w:sz w:val="28"/>
          <w:szCs w:val="28"/>
        </w:rPr>
        <w:t xml:space="preserve"> (плата за подключение осуществляется  в индивидуальном порядке)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проекта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Сократить срок подготовки и направления договора на технологическое присоединение с 20 до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в период до 20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 г.: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 централизованной системе водоснабжения и водоотведения (за исключением случаев, когда расчет стоимости ведется по индивидуальному проекту) – с 20 до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в период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г.;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 централизованной системе холодного водоснабжения и (или) водоотведения для субъектов малого предпринимательства – с 20 до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в период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 централизованной системе горячего водоснабжения (за исключением случаев, когда расчет стоимости ведется по индивидуальному проекту) – с 20 до 10 рабочих дней в период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г.;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 системе теплоснабжения (за исключением случаев, когда расчет стоимости ведется по индивидуальному проекту) – до 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в период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Сократить срок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государственной (муниципальной) услуги по выдаче разрешения на осуществление земляных работ (оценка данного показателя осуществляется только при наличии в субъекте Российской Федерации, муниципальном образовании такой процедуры) – к 31 декабря 20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2*. Приоритетной задачей является перевести процедуру получения ордера на проведение земляных работ на уведомительный порядок.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Сократить срок выдачи заявителю акта об осуществлении подключ</w:t>
      </w:r>
      <w:r>
        <w:rPr>
          <w:rFonts w:ascii="Times New Roman" w:hAnsi="Times New Roman" w:cs="Times New Roman"/>
          <w:sz w:val="28"/>
          <w:szCs w:val="28"/>
        </w:rPr>
        <w:t xml:space="preserve">ения (технологического присоединения) к централизованной системе холодного водоснабжения и(или) водоотведения, акта об осуществлении подключения (технологического присоединения) к централизованной системе горячего водоснабжения и к системе теплоснабжения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в период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Сократить процедуру технологическо</w:t>
      </w:r>
      <w:r>
        <w:rPr>
          <w:rFonts w:ascii="Times New Roman" w:hAnsi="Times New Roman" w:cs="Times New Roman"/>
          <w:sz w:val="28"/>
          <w:szCs w:val="28"/>
        </w:rPr>
        <w:t xml:space="preserve">го подключения к 31 декабря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 с 36 до 18 месяцев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</w:t>
      </w:r>
      <w:r>
        <w:rPr>
          <w:rFonts w:ascii="Times New Roman" w:hAnsi="Times New Roman" w:cs="Times New Roman"/>
          <w:sz w:val="28"/>
          <w:szCs w:val="28"/>
        </w:rPr>
        <w:t xml:space="preserve">нести предложения в Министерство строительства и жилищно-коммунального хозяйства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Минстрой России)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направленные на ограничение сро</w:t>
      </w:r>
      <w:r>
        <w:rPr>
          <w:rFonts w:ascii="Times New Roman" w:hAnsi="Times New Roman" w:cs="Times New Roman"/>
          <w:sz w:val="28"/>
          <w:szCs w:val="28"/>
        </w:rPr>
        <w:t xml:space="preserve">ков осуществления мероприятий по технологическому присоединению по срокам проведения строительно-монтажных работ по типу нагрузки и расстоянию до точки подключения объектов капитального строительства к сетям теплоснабжения, водоснабжения и водоотведения). 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Направ</w:t>
      </w:r>
      <w:r>
        <w:rPr>
          <w:rFonts w:ascii="Times New Roman" w:hAnsi="Times New Roman" w:cs="Times New Roman"/>
          <w:sz w:val="28"/>
          <w:szCs w:val="28"/>
        </w:rPr>
        <w:t xml:space="preserve">лены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в Минстрой России по внесению изменений в нормативные правовые акты для установления возможности направления в уполномоченные органы заявлений о предост</w:t>
      </w:r>
      <w:r>
        <w:rPr>
          <w:rFonts w:ascii="Times New Roman" w:hAnsi="Times New Roman" w:cs="Times New Roman"/>
          <w:sz w:val="28"/>
          <w:szCs w:val="28"/>
        </w:rPr>
        <w:t xml:space="preserve">авлении государственных услуг в электронном виде исключительно посредством ЕПГУ, в котором предусмотрена система идентификации заявителя (включение в перечень федеральный реестр государственных и муниципальных услуг, услуг по технологическому присоединению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 Предложения сформировано Ханты-Мансийским автономным округом – Югрой совместно с Нижегородской Областью. Предложение включено в план </w:t>
      </w:r>
      <w:r>
        <w:rPr>
          <w:rFonts w:ascii="Times New Roman" w:hAnsi="Times New Roman" w:cs="Times New Roman"/>
          <w:sz w:val="28"/>
          <w:szCs w:val="28"/>
        </w:rPr>
        <w:t xml:space="preserve"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оптимизацию и стандартизацию «клиентского пути» инвестора при реализации инвестиционных проектов на территории субъектов Российской Федерации, прилагается).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значимость. Новизна.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Значимость проекта направлена на дополнительное исследование контрактов полного цикла при реализации проектных работ и строительно-монтажных работ в технологическом присоединении и поиска первопричин: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– в большинстве случаев заявители (инвесторы) выполняют работы по проектированию и строительству сетей самостоятельно;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 устраивают сроки и стоимость работ при их выполнении ресурсоснабжающими организациями;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ресурсоснабжающие организации пытаются нивелировать риски существенного изменения стоимости строительно-монтажных работ.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необходимо отметить значимость мероприятий направленных на ограничение сроков по технологическому присоединению по срокам проведения строительно-монтажных работ </w:t>
      </w:r>
      <w:r>
        <w:rPr>
          <w:rFonts w:ascii="Times New Roman" w:hAnsi="Times New Roman" w:cs="Times New Roman"/>
          <w:sz w:val="28"/>
          <w:szCs w:val="28"/>
        </w:rPr>
        <w:t xml:space="preserve">в зависимости от нагрузки и расстояния</w:t>
      </w:r>
      <w:r>
        <w:rPr>
          <w:rFonts w:ascii="Times New Roman" w:hAnsi="Times New Roman" w:cs="Times New Roman"/>
          <w:sz w:val="28"/>
          <w:szCs w:val="28"/>
        </w:rPr>
        <w:t xml:space="preserve"> до точки подключения объектов капитального строительства к сетям теплоснабжения, водоснабжения и водоотведения)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этом случае, необходимо </w:t>
      </w:r>
      <w:r>
        <w:rPr>
          <w:rFonts w:ascii="Times New Roman" w:hAnsi="Times New Roman" w:cs="Times New Roman"/>
          <w:sz w:val="28"/>
          <w:szCs w:val="28"/>
        </w:rPr>
        <w:t xml:space="preserve">обратить внимание на вопросы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ресурсоснабжающ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устраивает </w:t>
      </w:r>
      <w:r>
        <w:rPr>
          <w:rFonts w:ascii="Times New Roman" w:hAnsi="Times New Roman" w:cs="Times New Roman"/>
          <w:sz w:val="28"/>
          <w:szCs w:val="28"/>
        </w:rPr>
        <w:t xml:space="preserve">максимальный срок,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определенный действующим законодательством 18 месяцев, для исполнения любого договора присоединения, что приводит к тенденции реализации проектирования 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сетей</w:t>
      </w:r>
      <w:r>
        <w:rPr>
          <w:rFonts w:ascii="Times New Roman" w:hAnsi="Times New Roman" w:cs="Times New Roman"/>
          <w:sz w:val="28"/>
          <w:szCs w:val="28"/>
        </w:rPr>
        <w:t xml:space="preserve"> силами заявителя (инвестора);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ресурсоснабжающих организаций на сегодняшний день фактически выдают технические условия и точку присоединения не выполняя работы по прокладке сетей для подключения заявителей.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обратить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вопросы,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связанные с длительным сроком выполнения строительно-монтажных работ, обусловленного необходимость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согласования трасс и производства земляных работ в условиях плотной городской застройки к таковы относятся: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отсутствие единой и полной электронной базы коммуникаций между участниками процесса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землепользования и градостроительства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ресурсоснабжающие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bookmarkEnd w:id="0"/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процесса – визуальный инструмент, который помогает сформировать единое понимание основных шагов процесса, его границ, потерь, дублирующих функций и узких мест. 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Картирование (составление карты или блок-схемы) выполняется на основе того, как процесс происходит в реальной жизни, а не по документам.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части, при реализации проекта был осуществлен анализ текущего процесса подключения и целевого, по итогам которого предполагается сокращение общего количества времени на подключения, количества документов, и процедур.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проблематики.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Решение.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правового обеспечения процесса подключения (технологического присоединения) объектов капитального строительства к сетям тепло-, водоснабжения и водоотведения,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унифицирова</w:t>
      </w:r>
      <w:r>
        <w:rPr>
          <w:rFonts w:ascii="Times New Roman" w:hAnsi="Times New Roman" w:cs="Times New Roman"/>
          <w:sz w:val="28"/>
          <w:szCs w:val="28"/>
        </w:rPr>
        <w:t xml:space="preserve">н порядок проведения «земляных». Процедура переведена</w:t>
      </w:r>
      <w:r>
        <w:rPr>
          <w:rFonts w:ascii="Times New Roman" w:hAnsi="Times New Roman" w:cs="Times New Roman"/>
          <w:sz w:val="28"/>
          <w:szCs w:val="28"/>
        </w:rPr>
        <w:t xml:space="preserve"> на уведомительный порядок.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порядок позволит сократить процедуру согласования проверки трассировки</w:t>
      </w:r>
      <w:r>
        <w:rPr>
          <w:rFonts w:ascii="Times New Roman" w:hAnsi="Times New Roman" w:cs="Times New Roman"/>
          <w:sz w:val="28"/>
          <w:szCs w:val="28"/>
        </w:rPr>
        <w:t xml:space="preserve"> (пересечения)</w:t>
      </w:r>
      <w:r>
        <w:rPr>
          <w:rFonts w:ascii="Times New Roman" w:hAnsi="Times New Roman" w:cs="Times New Roman"/>
          <w:sz w:val="28"/>
          <w:szCs w:val="28"/>
        </w:rPr>
        <w:t xml:space="preserve"> сетей на планируемом к застройке участке, и освободит заявителя (инвестора) от личного обращения в смежные организации, к</w:t>
      </w:r>
      <w:r>
        <w:rPr>
          <w:rFonts w:ascii="Times New Roman" w:hAnsi="Times New Roman" w:cs="Times New Roman"/>
          <w:sz w:val="28"/>
          <w:szCs w:val="28"/>
        </w:rPr>
        <w:t xml:space="preserve">оторым принадлежат данные сети. 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еализован принцип «единого окна»,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со стороны администрации выполня</w:t>
      </w:r>
      <w:r>
        <w:rPr>
          <w:rFonts w:ascii="Times New Roman" w:hAnsi="Times New Roman" w:cs="Times New Roman"/>
          <w:sz w:val="28"/>
          <w:szCs w:val="28"/>
        </w:rPr>
        <w:t xml:space="preserve">ют</w:t>
      </w:r>
      <w:r>
        <w:rPr>
          <w:rFonts w:ascii="Times New Roman" w:hAnsi="Times New Roman" w:cs="Times New Roman"/>
          <w:sz w:val="28"/>
          <w:szCs w:val="28"/>
        </w:rPr>
        <w:t xml:space="preserve"> все необходимые процедуры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за инвестора, посредством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работ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по оптимизации процессов действий инвестора </w:t>
      </w:r>
      <w:r>
        <w:rPr>
          <w:rFonts w:ascii="Times New Roman" w:hAnsi="Times New Roman" w:cs="Times New Roman"/>
          <w:sz w:val="28"/>
          <w:szCs w:val="28"/>
        </w:rPr>
        <w:t xml:space="preserve">я так же учел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проблематику,</w:t>
      </w:r>
      <w:r>
        <w:rPr>
          <w:rFonts w:ascii="Times New Roman" w:hAnsi="Times New Roman" w:cs="Times New Roman"/>
          <w:sz w:val="28"/>
          <w:szCs w:val="28"/>
        </w:rPr>
        <w:t xml:space="preserve"> связанную с подключением объектов </w:t>
      </w: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к сетям теплоснабжения, водоснабжения и водоотведения:</w:t>
      </w:r>
      <w:r/>
    </w:p>
    <w:p>
      <w:pPr>
        <w:pStyle w:val="681"/>
        <w:ind w:left="0" w:firstLine="708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согласование с правообладателями объектов капитального строительства, переуступки права на использование высвобождаемой доступной мощности заинтересованным в подключении заявителям;</w:t>
      </w:r>
      <w:r/>
    </w:p>
    <w:p>
      <w:pPr>
        <w:pStyle w:val="681"/>
        <w:ind w:left="0" w:firstLine="708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отсутствие установленной платы (тарифа) за подключение к системам теплоснабжения, водоснабжения и в</w:t>
      </w:r>
      <w:r>
        <w:rPr>
          <w:rFonts w:ascii="Times New Roman" w:hAnsi="Times New Roman" w:cs="Times New Roman"/>
          <w:sz w:val="28"/>
          <w:szCs w:val="28"/>
        </w:rPr>
        <w:t xml:space="preserve">одоотведения в расчете на единицу мощности подключаемой нагрузки объектов капитального строительства заявителей, подключаемая нагрузка которых от 0,1 Гкал до 1,5 Гкал, свыше 1,5 Гкал и не превышает 10 м/куб, при наличии технической возможности подключения;</w:t>
      </w:r>
      <w:r/>
    </w:p>
    <w:p>
      <w:pPr>
        <w:ind w:firstLine="708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несвоевременная инвентаризация органами местного самоуправления и последующая регистрация права на бесхозяйные объекты систем теплоснабжения, водоснабжения и водоотведения;</w:t>
      </w:r>
      <w:r/>
    </w:p>
    <w:p>
      <w:pPr>
        <w:ind w:firstLine="708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отсутствие возможности подачи заявки на подключение </w:t>
      </w:r>
      <w:r>
        <w:rPr>
          <w:rFonts w:ascii="Times New Roman" w:hAnsi="Times New Roman" w:cs="Times New Roman"/>
          <w:sz w:val="28"/>
          <w:szCs w:val="28"/>
        </w:rPr>
        <w:t xml:space="preserve">(технологическое присоединение) по средством федеральной информационной системы по технологическому присоединению к сетям теплоснабжения, водоснабжения и водоотведения, в том числе интегрированного обмена информацией в части правоудостоверяющих документов;</w:t>
      </w:r>
      <w:r/>
    </w:p>
    <w:p>
      <w:pPr>
        <w:ind w:firstLine="708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ограничение с</w:t>
      </w:r>
      <w:r>
        <w:rPr>
          <w:rFonts w:ascii="Times New Roman" w:hAnsi="Times New Roman" w:cs="Times New Roman"/>
          <w:sz w:val="28"/>
          <w:szCs w:val="28"/>
        </w:rPr>
        <w:t xml:space="preserve">роков осуществления мероприятий по технологическому присоединению по срокам проведения строительно-монтажных работ по типу нагрузки и расстоянию до точки подключения объектов капитального строительства к сетям теплоснабжения, водоснабжения и водоотведения;</w:t>
      </w:r>
      <w:r/>
    </w:p>
    <w:p>
      <w:pPr>
        <w:ind w:firstLine="708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отсутствие возможности заключения в ресурсоснабжающей организации договоров полного цикла на выполнение работ в рамках технологического присоединения (проектно-изыскательские работы, строительно-монтажные работы);</w:t>
      </w:r>
      <w:r/>
    </w:p>
    <w:p>
      <w:pPr>
        <w:ind w:firstLine="708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возможность подачи комплексного заявления на получение технических условий, договора на технологическое присоединение;</w:t>
      </w:r>
      <w:r/>
    </w:p>
    <w:p>
      <w:pPr>
        <w:pStyle w:val="681"/>
        <w:numPr>
          <w:ilvl w:val="0"/>
          <w:numId w:val="5"/>
        </w:numPr>
        <w:ind w:left="0" w:firstLine="708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вынос/демонтаж инженерных сетей из зоны строительства (пятно застройки);</w:t>
      </w:r>
      <w:r/>
    </w:p>
    <w:p>
      <w:pPr>
        <w:pStyle w:val="681"/>
        <w:numPr>
          <w:ilvl w:val="0"/>
          <w:numId w:val="5"/>
        </w:numPr>
        <w:ind w:left="0" w:firstLine="708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едино</w:t>
      </w:r>
      <w:r>
        <w:rPr>
          <w:rFonts w:ascii="Times New Roman" w:hAnsi="Times New Roman" w:cs="Times New Roman"/>
          <w:sz w:val="28"/>
          <w:szCs w:val="28"/>
        </w:rPr>
        <w:t xml:space="preserve">го нормативного подхода по перечню документов, находящихся на предприятии по окончании строительно-монтажных работ и сдачи приемки теплотрассы, сетей водоснабжения/водоотведения в эксплуатацию, а также подготовки данных документов по временному признаку.  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механизмы решения проблемы.</w:t>
      </w:r>
      <w:r/>
    </w:p>
    <w:p>
      <w:pPr>
        <w:pStyle w:val="681"/>
        <w:numPr>
          <w:ilvl w:val="0"/>
          <w:numId w:val="7"/>
        </w:num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Проблема: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</w:t>
      </w:r>
      <w:r>
        <w:rPr>
          <w:rFonts w:ascii="Times New Roman" w:hAnsi="Times New Roman" w:cs="Times New Roman"/>
          <w:sz w:val="28"/>
          <w:szCs w:val="28"/>
        </w:rPr>
        <w:t xml:space="preserve">тсутствие возможности подачи заявки по средством информационной системы, в том числе с возможностью интегрированного обмена информацией в части правоудостоверяющих документов (отсутствие автоматизации процесса прохождения документов на тех.присоединение).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Коренная причина: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отсутствие законодательно закрепленных требований по использованию информационных систем для автоматизации процесса прохождения документов на присоединение к сетям.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Возможные решения: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установление единых требований на федеральном уровне к информационным системам для взаимодействия заявителей и ресурсоснабжающих организаций и их разработка на региональном уровне;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определение на законодательном уровне такой системой ГИОСГД с закреплением обязанности ресурсоснабжающей организации использовать данную систему для взаимодействия.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включены в «Перечень предложений субъектов Российской Федерации, участвующих в реализации бережливого проекта «Сквозной инвестиционный поток» по совершенствованию законодательства Российской Федерации».</w:t>
      </w:r>
      <w:r/>
    </w:p>
    <w:p>
      <w:pPr>
        <w:pStyle w:val="681"/>
        <w:numPr>
          <w:ilvl w:val="0"/>
          <w:numId w:val="7"/>
        </w:num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возможность подачи комплексной заявки на получение технических условий и заявления на заключение договора о присоединении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Коренная причина: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Законодательно закреплен последовательный алгоритм подачи заявки на получение технических условий и затем договора на присоединение.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Возможные решения: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– внесение изменений в постановление Правительства Российской Федерации № 2130 </w:t>
      </w:r>
      <w:r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>
        <w:rPr>
          <w:rFonts w:ascii="Times New Roman" w:hAnsi="Times New Roman" w:cs="Times New Roman"/>
          <w:sz w:val="28"/>
          <w:szCs w:val="28"/>
        </w:rPr>
        <w:t xml:space="preserve">в части объединения этапов получения технических условий и заключение договора на присоединение;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внесение в Постановление ограничений на сроки выдачу технических условий.</w:t>
      </w:r>
      <w:r/>
    </w:p>
    <w:p>
      <w:pPr>
        <w:pStyle w:val="681"/>
        <w:numPr>
          <w:ilvl w:val="0"/>
          <w:numId w:val="7"/>
        </w:num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Проблема: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 значительная практика заключения контрактов полног</w:t>
      </w:r>
      <w:r>
        <w:rPr>
          <w:rFonts w:ascii="Times New Roman" w:hAnsi="Times New Roman" w:cs="Times New Roman"/>
          <w:sz w:val="28"/>
          <w:szCs w:val="28"/>
        </w:rPr>
        <w:t xml:space="preserve">о цикла при реализации проектно-изыскательских</w:t>
      </w:r>
      <w:r>
        <w:rPr>
          <w:rFonts w:ascii="Times New Roman" w:hAnsi="Times New Roman" w:cs="Times New Roman"/>
          <w:sz w:val="28"/>
          <w:szCs w:val="28"/>
        </w:rPr>
        <w:t xml:space="preserve"> работ и СМР в рамках технологического присоединения.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Коренная причина: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Риски связанные с изменением стоимости работ по итогам проектирования.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Возможные решения: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формирование на региональном (муниципальном) уровне базы «добросовестных» подрядных организаций.</w:t>
      </w:r>
      <w:r/>
    </w:p>
    <w:p>
      <w:pPr>
        <w:pStyle w:val="681"/>
        <w:numPr>
          <w:ilvl w:val="0"/>
          <w:numId w:val="7"/>
        </w:num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Проблема: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категорирования объектов по срокам подключения к централизованным системам тепло-, водоснабжения и водоотведения (по аналогии с электроснабжением и газоснабжением)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Коренная причина: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 не определены категории и сроки подключения к сетям тепло-, водоснабжения и водоотведения (максимальный срок 18 месяцев).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Возможные решения: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категорий объектов (сечение линейного объекта, тип прокладки) в зависимости выполнения работ по подключению к сетям тепло-, водоснабжения и водоотведения.</w:t>
      </w:r>
      <w:r/>
    </w:p>
    <w:p>
      <w:pPr>
        <w:pStyle w:val="681"/>
        <w:numPr>
          <w:ilvl w:val="0"/>
          <w:numId w:val="7"/>
        </w:num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Проблема: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Длительный срок выполнения согласования трассировки сетей, свободных коридоров перед выполнением строительно-монтажных работ.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Коренная причина: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 не определен порядок проверки смежных линейных объектов на планируемом к застройке участке посредством информационных систем (ИСОГД).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Возможные решения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</w:t>
      </w:r>
      <w:r>
        <w:rPr>
          <w:rFonts w:ascii="Times New Roman" w:hAnsi="Times New Roman" w:cs="Times New Roman"/>
          <w:sz w:val="28"/>
          <w:szCs w:val="28"/>
        </w:rPr>
        <w:t xml:space="preserve">лены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в Минстрой России по внесению изменений в нормативные правовые акты для установления возмо</w:t>
      </w:r>
      <w:r>
        <w:rPr>
          <w:rFonts w:ascii="Times New Roman" w:hAnsi="Times New Roman" w:cs="Times New Roman"/>
          <w:sz w:val="28"/>
          <w:szCs w:val="28"/>
        </w:rPr>
        <w:t xml:space="preserve">жности направления в уполномоченные органы заявлений о предоставлении государственных услуг в электронном виде исключительно посредством ЕПГУ, в котором предусмотрена система идентификации заявителя (включение в перечень федеральный реестр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услуг, услуг по технологическому присоединению). Предложения сформировано Ханты-Мансийским автономным округом – Югрой совместно с Нижегородской Областью. Предложение включено в план мероприятий, направленных на оптимизацию и стандартизацию </w:t>
      </w:r>
      <w:r>
        <w:rPr>
          <w:rFonts w:ascii="Times New Roman" w:hAnsi="Times New Roman" w:cs="Times New Roman"/>
          <w:sz w:val="28"/>
          <w:szCs w:val="28"/>
        </w:rPr>
        <w:t xml:space="preserve">«клиентского пути» инвестора при реализации инвестиционных проектов на территории субъектов Российской Федерации, прилагается).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Заключение. 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Итоги работы.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Что определяет инвестиционную привлекательность процесса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технологического присоединения – </w:t>
      </w:r>
      <w:r>
        <w:rPr>
          <w:rFonts w:ascii="Times New Roman" w:hAnsi="Times New Roman" w:cs="Times New Roman"/>
          <w:sz w:val="28"/>
          <w:szCs w:val="28"/>
        </w:rPr>
        <w:t xml:space="preserve">это скорость, доступность и привлекательная цена.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плане доступности Ханты-Мансийский автономный округ – Югра, провел </w:t>
      </w:r>
      <w:r>
        <w:rPr>
          <w:rFonts w:ascii="Times New Roman" w:hAnsi="Times New Roman" w:cs="Times New Roman"/>
          <w:sz w:val="28"/>
          <w:szCs w:val="28"/>
        </w:rPr>
        <w:t xml:space="preserve">большую планомерную работу,</w:t>
      </w:r>
      <w:r>
        <w:rPr>
          <w:rFonts w:ascii="Times New Roman" w:hAnsi="Times New Roman" w:cs="Times New Roman"/>
          <w:sz w:val="28"/>
          <w:szCs w:val="28"/>
        </w:rPr>
        <w:t xml:space="preserve"> направленную на: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процесса подключения: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наличие в открытом доступе на сайте органов местного самоуправления или ресурсоснабжающих организаций информации о доступной мощности;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обеспечено размещение на сайтах ресурсоснабжающих организаций информации об исчерпывающем перечне документов, необходимых к представлению для получения технических условий для заключения договора на техническое присоединение;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 всех ресурсоснабжающих организациях автономного округа – Югры обеспечено наличие «горячей линии» по вопросам технологического подключения к сетям водоснабжения и водоотведения.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организационное обеспечение процесса подключения: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обеспечено наличие на сайтах ресурсоснабжающих организаций, осуществляющих подключение (технологическое присоединение), регламента подключения к сетям водоснабжения и водоотведения;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сокращены сроки по выдаче заявителю акта об осуществлении подключения (технологического присоединения) к централизованной системе холодного водоснабжения и(или) водоотведения до 7 рабочих дней;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 всех муниципальных образованиях приняты регламенты о создании муниципальных комиссий по рассмотрению в выдаче технических </w:t>
      </w:r>
      <w:r>
        <w:rPr>
          <w:rFonts w:ascii="Times New Roman" w:hAnsi="Times New Roman" w:cs="Times New Roman"/>
          <w:sz w:val="28"/>
          <w:szCs w:val="28"/>
        </w:rPr>
        <w:t xml:space="preserve">условий для подключения к сетям теплоснабжения, водоснабжения и водоотведения с возможным участием заявителя в случае мотивированного отказа заявителю в технологическом присоединении;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достижения мероприятия: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регламент проведения технической комиссии; 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протокол технической комиссии с участием заявителя; 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перечень заявителей, участвовавших в технических комиссиях; 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реестр технических условий, рассматриваемых на технической комиссии, по которым принято положительное решение.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правовое обеспечение процесса подключения: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осуществлена разработка и принятие на региональном уровне нормативно правовых документов, направленных на сокращение сроков прохождения экспертизы проектно-сметной документации на строительство сетей водоснабжения и водоотведения;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оптимизированы сроки модельного раздела правил благоустройства, регламентирующего проведение «земляных работ»;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разработаны и приняты на региональном уровне нормативные правовые документы,</w:t>
      </w:r>
      <w:r>
        <w:rPr>
          <w:rFonts w:ascii="Times New Roman" w:hAnsi="Times New Roman" w:cs="Times New Roman"/>
          <w:sz w:val="28"/>
          <w:szCs w:val="28"/>
        </w:rPr>
        <w:t xml:space="preserve"> отменяющие необходимость получения разрешения на строительство сетей водоснабжения и водоотведения (об установлении Перечня случаев, при которых не требуется получение разрешения на строительство на территории Ханты-Мансийского автономного округа - Югры);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реализация межведомственного взаимодействия между Федеральной антимонопольной службой и Правительством Ханты-Мансийского автономного округ</w:t>
      </w:r>
      <w:r>
        <w:rPr>
          <w:rFonts w:ascii="Times New Roman" w:hAnsi="Times New Roman" w:cs="Times New Roman"/>
          <w:sz w:val="28"/>
          <w:szCs w:val="28"/>
        </w:rPr>
        <w:t xml:space="preserve">а – Югры по следующим направлениям: повышение инвестиционной активности, соблюдение антимонопольного законодательства, законодательства в сфере деятельности субъектов естественных монополий и государственного регулирования цен (тарифов) на товары (услуги);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 целью выполнения мероприятий по приему заявлений и заключению договоров на выполнение технологического присоединения, направленных на подключение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к сетям водоснабжения и водоотведения, распоряжением Правительства Ханты-Мансийского автономного округа – Югры от 21.12.2018 №685-рп расширен перечень услуг и мер поддержки в многофункциональных центрах в части услуг ориентированных на подключение к сетям </w:t>
      </w:r>
      <w:r>
        <w:rPr>
          <w:rFonts w:ascii="Times New Roman" w:hAnsi="Times New Roman" w:cs="Times New Roman"/>
          <w:sz w:val="28"/>
          <w:szCs w:val="28"/>
        </w:rPr>
        <w:t xml:space="preserve">теплоснабжения, </w:t>
      </w:r>
      <w:r>
        <w:rPr>
          <w:rFonts w:ascii="Times New Roman" w:hAnsi="Times New Roman" w:cs="Times New Roman"/>
          <w:sz w:val="28"/>
          <w:szCs w:val="28"/>
        </w:rPr>
        <w:t xml:space="preserve">водоснабжения и водоотведения;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ежегодно осуществляется актуализация схем водоснабжения и водоотведения.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части минимизации стоимости подключения и количества процедур, требуется дополнительная проработка проблемных вопросов с федеральными </w:t>
      </w:r>
      <w:r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власти.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/>
    </w:p>
    <w:sectPr>
      <w:footerReference w:type="default" r:id="rId9"/>
      <w:footnotePr/>
      <w:endnotePr/>
      <w:type w:val="nextPage"/>
      <w:pgSz w:w="11906" w:h="16838" w:orient="portrait"/>
      <w:pgMar w:top="1418" w:right="1276" w:bottom="1134" w:left="15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72232766"/>
      <w:docPartObj>
        <w:docPartGallery w:val="Page Numbers (Bottom of Page)"/>
        <w:docPartUnique w:val="true"/>
      </w:docPartObj>
      <w:rPr/>
    </w:sdtPr>
    <w:sdtContent>
      <w:p>
        <w:pPr>
          <w:pStyle w:val="68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9</w:t>
        </w:r>
        <w:r>
          <w:fldChar w:fldCharType="end"/>
        </w:r>
        <w:r/>
      </w:p>
    </w:sdtContent>
  </w:sdt>
  <w:p>
    <w:pPr>
      <w:pStyle w:val="6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3"/>
      <w:numFmt w:val="bullet"/>
      <w:isLgl w:val="false"/>
      <w:suff w:val="tab"/>
      <w:lvlText w:val="–"/>
      <w:lvlJc w:val="left"/>
      <w:pPr>
        <w:ind w:left="1068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68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3"/>
      <w:numFmt w:val="bullet"/>
      <w:isLgl w:val="false"/>
      <w:suff w:val="tab"/>
      <w:lvlText w:val="–"/>
      <w:lvlJc w:val="left"/>
      <w:pPr>
        <w:ind w:left="1068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7">
    <w:multiLevelType w:val="hybridMultilevel"/>
    <w:lvl w:ilvl="0">
      <w:start w:val="3"/>
      <w:numFmt w:val="bullet"/>
      <w:isLgl w:val="false"/>
      <w:suff w:val="tab"/>
      <w:lvlText w:val="–"/>
      <w:lvlJc w:val="left"/>
      <w:pPr>
        <w:ind w:left="1068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5"/>
    <w:next w:val="67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5"/>
    <w:next w:val="67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5"/>
    <w:next w:val="67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5"/>
    <w:next w:val="6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6"/>
    <w:link w:val="34"/>
    <w:uiPriority w:val="10"/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6"/>
    <w:link w:val="36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6"/>
    <w:link w:val="686"/>
    <w:uiPriority w:val="99"/>
  </w:style>
  <w:style w:type="character" w:styleId="45">
    <w:name w:val="Footer Char"/>
    <w:basedOn w:val="676"/>
    <w:link w:val="688"/>
    <w:uiPriority w:val="99"/>
  </w:style>
  <w:style w:type="paragraph" w:styleId="4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8"/>
    <w:uiPriority w:val="99"/>
  </w:style>
  <w:style w:type="table" w:styleId="48">
    <w:name w:val="Table Grid"/>
    <w:basedOn w:val="6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6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6"/>
    <w:uiPriority w:val="99"/>
    <w:semiHidden/>
    <w:unhideWhenUsed/>
    <w:rPr>
      <w:vertAlign w:val="superscript"/>
    </w:r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qFormat/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>
    <w:name w:val="Hyperlink"/>
    <w:uiPriority w:val="99"/>
    <w:rPr>
      <w:color w:val="0000ff"/>
      <w:u w:val="single"/>
    </w:rPr>
  </w:style>
  <w:style w:type="paragraph" w:styleId="680">
    <w:name w:val="toc 1"/>
    <w:basedOn w:val="675"/>
    <w:next w:val="675"/>
    <w:uiPriority w:val="39"/>
    <w:unhideWhenUsed/>
    <w:pPr>
      <w:spacing w:after="10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1">
    <w:name w:val="List Paragraph"/>
    <w:basedOn w:val="675"/>
    <w:uiPriority w:val="34"/>
    <w:qFormat/>
    <w:pPr>
      <w:contextualSpacing/>
      <w:ind w:left="720"/>
    </w:pPr>
  </w:style>
  <w:style w:type="paragraph" w:styleId="682" w:customStyle="1">
    <w:name w:val="Основной текст1"/>
    <w:basedOn w:val="675"/>
    <w:link w:val="683"/>
    <w:pPr>
      <w:jc w:val="right"/>
      <w:spacing w:after="0" w:line="322" w:lineRule="exact"/>
      <w:shd w:val="clear" w:color="auto" w:fill="ffffff"/>
    </w:pPr>
    <w:rPr>
      <w:rFonts w:ascii="Times New Roman" w:hAnsi="Times New Roman" w:eastAsia="Times New Roman" w:cs="Times New Roman"/>
      <w:sz w:val="27"/>
      <w:szCs w:val="27"/>
      <w:lang w:eastAsia="ru-RU"/>
    </w:rPr>
  </w:style>
  <w:style w:type="character" w:styleId="683" w:customStyle="1">
    <w:name w:val="Основной текст_"/>
    <w:link w:val="682"/>
    <w:rPr>
      <w:rFonts w:ascii="Times New Roman" w:hAnsi="Times New Roman" w:eastAsia="Times New Roman" w:cs="Times New Roman"/>
      <w:sz w:val="27"/>
      <w:szCs w:val="27"/>
      <w:shd w:val="clear" w:color="auto" w:fill="ffffff"/>
      <w:lang w:eastAsia="ru-RU"/>
    </w:rPr>
  </w:style>
  <w:style w:type="paragraph" w:styleId="684">
    <w:name w:val="Balloon Text"/>
    <w:basedOn w:val="675"/>
    <w:link w:val="68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5" w:customStyle="1">
    <w:name w:val="Текст выноски Знак"/>
    <w:basedOn w:val="676"/>
    <w:link w:val="684"/>
    <w:uiPriority w:val="99"/>
    <w:semiHidden/>
    <w:rPr>
      <w:rFonts w:ascii="Segoe UI" w:hAnsi="Segoe UI" w:cs="Segoe UI"/>
      <w:sz w:val="18"/>
      <w:szCs w:val="18"/>
    </w:rPr>
  </w:style>
  <w:style w:type="paragraph" w:styleId="686">
    <w:name w:val="Header"/>
    <w:basedOn w:val="675"/>
    <w:link w:val="6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7" w:customStyle="1">
    <w:name w:val="Верхний колонтитул Знак"/>
    <w:basedOn w:val="676"/>
    <w:link w:val="686"/>
    <w:uiPriority w:val="99"/>
  </w:style>
  <w:style w:type="paragraph" w:styleId="688">
    <w:name w:val="Footer"/>
    <w:basedOn w:val="675"/>
    <w:link w:val="6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9" w:customStyle="1">
    <w:name w:val="Нижний колонтитул Знак"/>
    <w:basedOn w:val="676"/>
    <w:link w:val="68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2965C-6866-4A6F-880D-B852826A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Коплик Алексей Юрьевич</dc:creator>
  <cp:keywords/>
  <dc:description/>
  <cp:revision>10</cp:revision>
  <dcterms:created xsi:type="dcterms:W3CDTF">2023-09-05T02:46:00Z</dcterms:created>
  <dcterms:modified xsi:type="dcterms:W3CDTF">2023-10-03T12:14:25Z</dcterms:modified>
</cp:coreProperties>
</file>