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CCB1393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B31C7" w:rsidRPr="009B31C7">
        <w:rPr>
          <w:sz w:val="24"/>
          <w:szCs w:val="24"/>
          <w:u w:val="single"/>
        </w:rPr>
        <w:t>Деньги под залог..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88704" w14:textId="77777777" w:rsidR="003E73D8" w:rsidRDefault="003E73D8">
      <w:r>
        <w:separator/>
      </w:r>
    </w:p>
  </w:endnote>
  <w:endnote w:type="continuationSeparator" w:id="0">
    <w:p w14:paraId="547798AF" w14:textId="77777777" w:rsidR="003E73D8" w:rsidRDefault="003E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B63E" w14:textId="77777777" w:rsidR="003E73D8" w:rsidRDefault="003E73D8">
      <w:r>
        <w:separator/>
      </w:r>
    </w:p>
  </w:footnote>
  <w:footnote w:type="continuationSeparator" w:id="0">
    <w:p w14:paraId="17438397" w14:textId="77777777" w:rsidR="003E73D8" w:rsidRDefault="003E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E73D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31C7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2023-03-27T12:12:00Z</dcterms:modified>
</cp:coreProperties>
</file>