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4C3BBB">
        <w:rPr>
          <w:rFonts w:eastAsia="Calibri"/>
          <w:szCs w:val="28"/>
        </w:rPr>
        <w:t xml:space="preserve">8 февраля </w:t>
      </w:r>
      <w:r w:rsidR="00244B5C" w:rsidRPr="00833826">
        <w:rPr>
          <w:rFonts w:cs="Times New Roman"/>
          <w:szCs w:val="28"/>
        </w:rPr>
        <w:t>202</w:t>
      </w:r>
      <w:r w:rsidR="004C3BBB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591E02" w:rsidRDefault="00591E02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277-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EF4C69" w:rsidRPr="00EF4C69" w:rsidRDefault="00EF4C69" w:rsidP="00EF4C69">
      <w:pPr>
        <w:ind w:right="5385"/>
        <w:rPr>
          <w:rFonts w:eastAsia="Times New Roman" w:cs="Times New Roman"/>
          <w:szCs w:val="28"/>
          <w:lang w:eastAsia="ru-RU"/>
        </w:rPr>
      </w:pPr>
      <w:r w:rsidRPr="00EF4C69">
        <w:rPr>
          <w:rFonts w:eastAsia="Times New Roman" w:cs="Times New Roman"/>
          <w:szCs w:val="28"/>
          <w:lang w:eastAsia="ru-RU"/>
        </w:rPr>
        <w:t>Об отчёте Контрольно-счетной палаты города Сургута за 2022 год</w:t>
      </w:r>
    </w:p>
    <w:p w:rsidR="00EF4C69" w:rsidRDefault="00EF4C69" w:rsidP="00EF4C69">
      <w:pPr>
        <w:ind w:right="-6" w:firstLine="720"/>
        <w:rPr>
          <w:rFonts w:eastAsia="Times New Roman" w:cs="Times New Roman"/>
          <w:szCs w:val="28"/>
          <w:lang w:eastAsia="ru-RU"/>
        </w:rPr>
      </w:pPr>
    </w:p>
    <w:p w:rsidR="00EF4C69" w:rsidRDefault="00EF4C69" w:rsidP="00EF4C69">
      <w:pPr>
        <w:ind w:right="-6" w:firstLine="720"/>
        <w:rPr>
          <w:rFonts w:eastAsia="Times New Roman" w:cs="Times New Roman"/>
          <w:szCs w:val="28"/>
          <w:lang w:eastAsia="ru-RU"/>
        </w:rPr>
      </w:pPr>
      <w:r w:rsidRPr="00EF4C69">
        <w:rPr>
          <w:rFonts w:eastAsia="Times New Roman" w:cs="Times New Roman"/>
          <w:szCs w:val="28"/>
          <w:lang w:eastAsia="ru-RU"/>
        </w:rPr>
        <w:t xml:space="preserve">В соответствии со статьёй 19 Федерального закона от 07.02.2011 </w:t>
      </w:r>
      <w:r w:rsidRPr="00EF4C69">
        <w:rPr>
          <w:rFonts w:eastAsia="Times New Roman" w:cs="Times New Roman"/>
          <w:szCs w:val="28"/>
          <w:lang w:eastAsia="ru-RU"/>
        </w:rPr>
        <w:br/>
        <w:t>№ 6-ФЗ «Об общих принципах организации и деятельности контрольно-счетных органов субъектов Российской Федерации и муниципальных образований», рассмотрев представленный Контрольно-счетной палатой города Сургута отчёт за 2022 год, Дума города РЕШИЛА:</w:t>
      </w:r>
    </w:p>
    <w:p w:rsidR="00EF4C69" w:rsidRDefault="00EF4C69" w:rsidP="00EF4C69">
      <w:pPr>
        <w:ind w:right="-6" w:firstLine="720"/>
        <w:rPr>
          <w:rFonts w:eastAsia="Times New Roman" w:cs="Times New Roman"/>
          <w:szCs w:val="28"/>
          <w:lang w:eastAsia="ru-RU"/>
        </w:rPr>
      </w:pPr>
    </w:p>
    <w:p w:rsidR="002C63CA" w:rsidRDefault="00EF4C69" w:rsidP="00EF4C69">
      <w:pPr>
        <w:ind w:right="-6" w:firstLine="720"/>
        <w:rPr>
          <w:rFonts w:eastAsia="Calibri" w:cs="Times New Roman"/>
          <w:szCs w:val="28"/>
        </w:rPr>
      </w:pPr>
      <w:r w:rsidRPr="00EF4C69">
        <w:rPr>
          <w:rFonts w:eastAsia="Times New Roman" w:cs="Times New Roman"/>
          <w:szCs w:val="28"/>
          <w:lang w:eastAsia="ru-RU"/>
        </w:rPr>
        <w:t>Принять к сведению отчёт Контрольно-счетной палаты города Сургута за 2022 год согласно приложению.</w:t>
      </w:r>
    </w:p>
    <w:p w:rsidR="006A10FB" w:rsidRDefault="006A10FB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F4C69" w:rsidRDefault="00EF4C69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F4C69" w:rsidRDefault="00EF4C69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623E7F" w:rsidP="00DC313D">
      <w:pPr>
        <w:rPr>
          <w:szCs w:val="28"/>
        </w:rPr>
      </w:pPr>
      <w:r>
        <w:rPr>
          <w:szCs w:val="28"/>
        </w:rPr>
        <w:t xml:space="preserve">И.о. </w:t>
      </w:r>
      <w:r w:rsidR="00DC313D" w:rsidRPr="00B55A96">
        <w:rPr>
          <w:szCs w:val="28"/>
        </w:rPr>
        <w:t>Председател</w:t>
      </w:r>
      <w:r>
        <w:rPr>
          <w:szCs w:val="28"/>
        </w:rPr>
        <w:t>я</w:t>
      </w:r>
      <w:r w:rsidR="00DC313D" w:rsidRPr="00B55A96">
        <w:rPr>
          <w:szCs w:val="28"/>
        </w:rPr>
        <w:t xml:space="preserve"> Думы города</w:t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 w:rsidR="00DC313D" w:rsidRPr="00B55A96">
        <w:rPr>
          <w:szCs w:val="28"/>
        </w:rPr>
        <w:tab/>
      </w:r>
      <w:r>
        <w:rPr>
          <w:szCs w:val="28"/>
        </w:rPr>
        <w:t xml:space="preserve">    А.И. Олейников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591E02">
        <w:rPr>
          <w:rFonts w:eastAsia="Times New Roman" w:cs="Times New Roman"/>
          <w:szCs w:val="20"/>
          <w:lang w:eastAsia="ru-RU"/>
        </w:rPr>
        <w:t>«</w:t>
      </w:r>
      <w:r w:rsidR="00591E02">
        <w:rPr>
          <w:rFonts w:eastAsia="Times New Roman" w:cs="Times New Roman"/>
          <w:szCs w:val="20"/>
          <w:u w:val="single"/>
          <w:lang w:eastAsia="ru-RU"/>
        </w:rPr>
        <w:t>01</w:t>
      </w:r>
      <w:r w:rsidR="00591E02">
        <w:rPr>
          <w:rFonts w:eastAsia="Times New Roman" w:cs="Times New Roman"/>
          <w:szCs w:val="20"/>
          <w:lang w:eastAsia="ru-RU"/>
        </w:rPr>
        <w:t xml:space="preserve">» </w:t>
      </w:r>
      <w:r w:rsidR="00591E02">
        <w:rPr>
          <w:rFonts w:eastAsia="Times New Roman" w:cs="Times New Roman"/>
          <w:szCs w:val="20"/>
          <w:u w:val="single"/>
          <w:lang w:eastAsia="ru-RU"/>
        </w:rPr>
        <w:t>марта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90CBE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EF4C69" w:rsidRDefault="00EF4C69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EF4C69" w:rsidRDefault="00EF4C69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EF4C69" w:rsidRDefault="00EF4C69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EF4C69" w:rsidRDefault="00EF4C69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EF4C69" w:rsidRPr="00EF4C69" w:rsidRDefault="00EF4C69" w:rsidP="005D7795">
      <w:pPr>
        <w:ind w:left="5954"/>
        <w:jc w:val="left"/>
        <w:rPr>
          <w:rFonts w:eastAsia="Times New Roman" w:cs="Times New Roman"/>
          <w:kern w:val="28"/>
          <w:szCs w:val="28"/>
          <w:lang w:eastAsia="x-none"/>
        </w:rPr>
      </w:pPr>
      <w:r w:rsidRPr="00EF4C69">
        <w:rPr>
          <w:rFonts w:eastAsia="Times New Roman" w:cs="Times New Roman"/>
          <w:kern w:val="28"/>
          <w:szCs w:val="28"/>
          <w:lang w:eastAsia="x-none"/>
        </w:rPr>
        <w:lastRenderedPageBreak/>
        <w:t xml:space="preserve">Приложение </w:t>
      </w:r>
    </w:p>
    <w:p w:rsidR="00EF4C69" w:rsidRPr="00EF4C69" w:rsidRDefault="00EF4C69" w:rsidP="005D7795">
      <w:pPr>
        <w:ind w:left="5954"/>
        <w:jc w:val="left"/>
        <w:rPr>
          <w:rFonts w:eastAsia="Times New Roman" w:cs="Times New Roman"/>
          <w:kern w:val="28"/>
          <w:szCs w:val="28"/>
          <w:lang w:eastAsia="x-none"/>
        </w:rPr>
      </w:pPr>
      <w:r w:rsidRPr="00EF4C69">
        <w:rPr>
          <w:rFonts w:eastAsia="Times New Roman" w:cs="Times New Roman"/>
          <w:kern w:val="28"/>
          <w:szCs w:val="28"/>
          <w:lang w:eastAsia="x-none"/>
        </w:rPr>
        <w:t>к решени</w:t>
      </w:r>
      <w:r w:rsidR="005D7795">
        <w:rPr>
          <w:rFonts w:eastAsia="Times New Roman" w:cs="Times New Roman"/>
          <w:kern w:val="28"/>
          <w:szCs w:val="28"/>
          <w:lang w:eastAsia="x-none"/>
        </w:rPr>
        <w:t>ю</w:t>
      </w:r>
      <w:r w:rsidRPr="00EF4C69">
        <w:rPr>
          <w:rFonts w:eastAsia="Times New Roman" w:cs="Times New Roman"/>
          <w:kern w:val="28"/>
          <w:szCs w:val="28"/>
          <w:lang w:eastAsia="x-none"/>
        </w:rPr>
        <w:t xml:space="preserve"> Думы города</w:t>
      </w:r>
    </w:p>
    <w:p w:rsidR="00EF4C69" w:rsidRPr="00591E02" w:rsidRDefault="00591E02" w:rsidP="005D7795">
      <w:pPr>
        <w:ind w:left="5954"/>
        <w:jc w:val="left"/>
        <w:rPr>
          <w:rFonts w:eastAsia="Times New Roman" w:cs="Times New Roman"/>
          <w:kern w:val="28"/>
          <w:szCs w:val="28"/>
          <w:u w:val="single"/>
          <w:lang w:eastAsia="x-none"/>
        </w:rPr>
      </w:pPr>
      <w:r>
        <w:rPr>
          <w:rFonts w:eastAsia="Times New Roman" w:cs="Times New Roman"/>
          <w:kern w:val="28"/>
          <w:szCs w:val="28"/>
          <w:lang w:eastAsia="x-none"/>
        </w:rPr>
        <w:t xml:space="preserve">от </w:t>
      </w:r>
      <w:r>
        <w:rPr>
          <w:rFonts w:eastAsia="Times New Roman" w:cs="Times New Roman"/>
          <w:kern w:val="28"/>
          <w:szCs w:val="28"/>
          <w:u w:val="single"/>
          <w:lang w:eastAsia="x-none"/>
        </w:rPr>
        <w:t>01.03.2023</w:t>
      </w:r>
      <w:r>
        <w:rPr>
          <w:rFonts w:eastAsia="Times New Roman" w:cs="Times New Roman"/>
          <w:kern w:val="28"/>
          <w:szCs w:val="28"/>
          <w:lang w:eastAsia="x-none"/>
        </w:rPr>
        <w:t xml:space="preserve"> № </w:t>
      </w:r>
      <w:r>
        <w:rPr>
          <w:rFonts w:eastAsia="Times New Roman" w:cs="Times New Roman"/>
          <w:kern w:val="28"/>
          <w:szCs w:val="28"/>
          <w:u w:val="single"/>
          <w:lang w:eastAsia="x-none"/>
        </w:rPr>
        <w:t>277-</w:t>
      </w:r>
      <w:r>
        <w:rPr>
          <w:rFonts w:eastAsia="Times New Roman" w:cs="Times New Roman"/>
          <w:kern w:val="28"/>
          <w:szCs w:val="28"/>
          <w:u w:val="single"/>
          <w:lang w:val="en-US" w:eastAsia="x-none"/>
        </w:rPr>
        <w:t xml:space="preserve">VII </w:t>
      </w:r>
      <w:r>
        <w:rPr>
          <w:rFonts w:eastAsia="Times New Roman" w:cs="Times New Roman"/>
          <w:kern w:val="28"/>
          <w:szCs w:val="28"/>
          <w:u w:val="single"/>
          <w:lang w:eastAsia="x-none"/>
        </w:rPr>
        <w:t>ДГ</w:t>
      </w:r>
      <w:bookmarkStart w:id="0" w:name="_GoBack"/>
      <w:bookmarkEnd w:id="0"/>
    </w:p>
    <w:p w:rsidR="00EF4C69" w:rsidRPr="00EF4C69" w:rsidRDefault="00EF4C69" w:rsidP="00EF4C69">
      <w:pPr>
        <w:jc w:val="center"/>
        <w:rPr>
          <w:rFonts w:eastAsia="Times New Roman" w:cs="Times New Roman"/>
          <w:kern w:val="28"/>
          <w:szCs w:val="28"/>
          <w:lang w:eastAsia="x-none"/>
        </w:rPr>
      </w:pPr>
    </w:p>
    <w:p w:rsidR="005D7795" w:rsidRDefault="005D7795" w:rsidP="00EF4C69">
      <w:pPr>
        <w:jc w:val="center"/>
        <w:rPr>
          <w:rFonts w:eastAsia="Times New Roman" w:cs="Times New Roman"/>
          <w:kern w:val="28"/>
          <w:szCs w:val="28"/>
          <w:lang w:eastAsia="x-none"/>
        </w:rPr>
      </w:pPr>
      <w:r>
        <w:rPr>
          <w:rFonts w:eastAsia="Times New Roman" w:cs="Times New Roman"/>
          <w:kern w:val="28"/>
          <w:szCs w:val="28"/>
          <w:lang w:eastAsia="x-none"/>
        </w:rPr>
        <w:t xml:space="preserve">Отчёт </w:t>
      </w:r>
    </w:p>
    <w:p w:rsidR="00EF4C69" w:rsidRPr="005D7795" w:rsidRDefault="00EF4C69" w:rsidP="00EF4C69">
      <w:pPr>
        <w:jc w:val="center"/>
        <w:rPr>
          <w:rFonts w:eastAsia="Times New Roman" w:cs="Times New Roman"/>
          <w:bCs/>
          <w:kern w:val="28"/>
          <w:szCs w:val="28"/>
          <w:lang w:val="x-none" w:eastAsia="x-none"/>
        </w:rPr>
      </w:pPr>
      <w:r w:rsidRPr="005D7795">
        <w:rPr>
          <w:rFonts w:eastAsia="Times New Roman" w:cs="Times New Roman"/>
          <w:kern w:val="28"/>
          <w:szCs w:val="28"/>
          <w:lang w:val="x-none" w:eastAsia="x-none"/>
        </w:rPr>
        <w:t>Контрольно-счетной палаты города Сургута за 20</w:t>
      </w:r>
      <w:r w:rsidRPr="005D7795">
        <w:rPr>
          <w:rFonts w:eastAsia="Times New Roman" w:cs="Times New Roman"/>
          <w:kern w:val="28"/>
          <w:szCs w:val="28"/>
          <w:lang w:eastAsia="x-none"/>
        </w:rPr>
        <w:t>22</w:t>
      </w:r>
      <w:r w:rsidRPr="005D7795">
        <w:rPr>
          <w:rFonts w:eastAsia="Times New Roman" w:cs="Times New Roman"/>
          <w:kern w:val="28"/>
          <w:szCs w:val="28"/>
          <w:lang w:val="x-none" w:eastAsia="x-none"/>
        </w:rPr>
        <w:t xml:space="preserve"> год</w:t>
      </w:r>
    </w:p>
    <w:p w:rsidR="00EF4C69" w:rsidRPr="00EF4C69" w:rsidRDefault="00EF4C69" w:rsidP="00EF4C69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EF4C69" w:rsidRPr="00EF4C69" w:rsidRDefault="00EF4C69" w:rsidP="00EF4C69">
      <w:pPr>
        <w:ind w:firstLine="709"/>
        <w:rPr>
          <w:rFonts w:eastAsia="Times New Roman" w:cs="Times New Roman"/>
          <w:szCs w:val="28"/>
          <w:lang w:eastAsia="ru-RU"/>
        </w:rPr>
      </w:pPr>
      <w:r w:rsidRPr="00EF4C69">
        <w:rPr>
          <w:rFonts w:eastAsia="Times New Roman" w:cs="Times New Roman"/>
          <w:bCs/>
          <w:szCs w:val="28"/>
          <w:lang w:eastAsia="ru-RU"/>
        </w:rPr>
        <w:t xml:space="preserve">Отчёт о деятельности Контрольно-счетной палаты города Сургута (далее – Контрольно-счетная палата, КСП) за 2022 год подготовлен </w:t>
      </w:r>
      <w:r w:rsidR="005D7795">
        <w:rPr>
          <w:rFonts w:eastAsia="Times New Roman" w:cs="Times New Roman"/>
          <w:bCs/>
          <w:szCs w:val="28"/>
          <w:lang w:eastAsia="ru-RU"/>
        </w:rPr>
        <w:br/>
      </w:r>
      <w:r w:rsidRPr="00EF4C69">
        <w:rPr>
          <w:rFonts w:eastAsia="Times New Roman" w:cs="Times New Roman"/>
          <w:bCs/>
          <w:szCs w:val="28"/>
          <w:lang w:eastAsia="ru-RU"/>
        </w:rPr>
        <w:t xml:space="preserve">в соответствии с </w:t>
      </w:r>
      <w:r w:rsidRPr="00EF4C69">
        <w:rPr>
          <w:rFonts w:eastAsia="Times New Roman" w:cs="Times New Roman"/>
          <w:szCs w:val="28"/>
          <w:lang w:eastAsia="ru-RU"/>
        </w:rPr>
        <w:t>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EF4C69">
        <w:rPr>
          <w:rFonts w:eastAsia="Times New Roman" w:cs="Times New Roman"/>
          <w:bCs/>
          <w:szCs w:val="28"/>
          <w:lang w:eastAsia="ru-RU"/>
        </w:rPr>
        <w:t xml:space="preserve"> </w:t>
      </w:r>
      <w:r w:rsidR="005D7795">
        <w:rPr>
          <w:rFonts w:eastAsia="Times New Roman" w:cs="Times New Roman"/>
          <w:bCs/>
          <w:szCs w:val="28"/>
          <w:lang w:eastAsia="ru-RU"/>
        </w:rPr>
        <w:br/>
      </w:r>
      <w:r w:rsidRPr="00EF4C69">
        <w:rPr>
          <w:rFonts w:eastAsia="Times New Roman" w:cs="Times New Roman"/>
          <w:bCs/>
          <w:szCs w:val="28"/>
          <w:lang w:eastAsia="ru-RU"/>
        </w:rPr>
        <w:t>(далее</w:t>
      </w:r>
      <w:r w:rsidR="005D7795">
        <w:rPr>
          <w:rFonts w:eastAsia="Times New Roman" w:cs="Times New Roman"/>
          <w:bCs/>
          <w:szCs w:val="28"/>
          <w:lang w:eastAsia="ru-RU"/>
        </w:rPr>
        <w:t xml:space="preserve"> –  </w:t>
      </w:r>
      <w:r w:rsidRPr="00EF4C69">
        <w:rPr>
          <w:rFonts w:eastAsia="Times New Roman" w:cs="Times New Roman"/>
          <w:bCs/>
          <w:szCs w:val="28"/>
          <w:lang w:eastAsia="ru-RU"/>
        </w:rPr>
        <w:t xml:space="preserve"> Закон № 6-ФЗ)</w:t>
      </w:r>
      <w:r w:rsidRPr="00EF4C69">
        <w:rPr>
          <w:rFonts w:eastAsia="Times New Roman" w:cs="Times New Roman"/>
          <w:szCs w:val="28"/>
          <w:lang w:eastAsia="ru-RU"/>
        </w:rPr>
        <w:t xml:space="preserve">, </w:t>
      </w:r>
      <w:r w:rsidRPr="00EF4C69">
        <w:rPr>
          <w:rFonts w:eastAsia="Times New Roman" w:cs="Times New Roman"/>
          <w:bCs/>
          <w:szCs w:val="28"/>
          <w:lang w:eastAsia="ru-RU"/>
        </w:rPr>
        <w:t>Положением о Контрольно-счетной палате города, утверждённым решением Думы города от 27.02.2007</w:t>
      </w:r>
      <w:r w:rsidR="005D7795">
        <w:rPr>
          <w:rFonts w:eastAsia="Times New Roman" w:cs="Times New Roman"/>
          <w:bCs/>
          <w:szCs w:val="28"/>
          <w:lang w:eastAsia="ru-RU"/>
        </w:rPr>
        <w:t xml:space="preserve"> </w:t>
      </w:r>
      <w:r w:rsidRPr="00EF4C69">
        <w:rPr>
          <w:rFonts w:eastAsia="Times New Roman" w:cs="Times New Roman"/>
          <w:bCs/>
          <w:szCs w:val="28"/>
          <w:lang w:eastAsia="ru-RU"/>
        </w:rPr>
        <w:t>№ 170-</w:t>
      </w:r>
      <w:r w:rsidRPr="00EF4C69">
        <w:rPr>
          <w:rFonts w:eastAsia="Times New Roman" w:cs="Times New Roman"/>
          <w:bCs/>
          <w:szCs w:val="28"/>
          <w:lang w:val="en-US" w:eastAsia="ru-RU"/>
        </w:rPr>
        <w:t>IV</w:t>
      </w:r>
      <w:r w:rsidRPr="00EF4C69">
        <w:rPr>
          <w:rFonts w:eastAsia="Times New Roman" w:cs="Times New Roman"/>
          <w:bCs/>
          <w:szCs w:val="28"/>
          <w:lang w:eastAsia="ru-RU"/>
        </w:rPr>
        <w:t xml:space="preserve"> ДГ </w:t>
      </w:r>
      <w:r w:rsidR="005D7795">
        <w:rPr>
          <w:rFonts w:eastAsia="Times New Roman" w:cs="Times New Roman"/>
          <w:bCs/>
          <w:szCs w:val="28"/>
          <w:lang w:eastAsia="ru-RU"/>
        </w:rPr>
        <w:br/>
      </w:r>
      <w:r w:rsidRPr="00EF4C69">
        <w:rPr>
          <w:rFonts w:eastAsia="Times New Roman" w:cs="Times New Roman"/>
          <w:bCs/>
          <w:szCs w:val="28"/>
          <w:lang w:eastAsia="ru-RU"/>
        </w:rPr>
        <w:t>(далее – Положение № 170-</w:t>
      </w:r>
      <w:r w:rsidRPr="00EF4C69">
        <w:rPr>
          <w:rFonts w:eastAsia="Times New Roman" w:cs="Times New Roman"/>
          <w:bCs/>
          <w:szCs w:val="28"/>
          <w:lang w:val="en-US" w:eastAsia="ru-RU"/>
        </w:rPr>
        <w:t>IV</w:t>
      </w:r>
      <w:r w:rsidRPr="00EF4C69">
        <w:rPr>
          <w:rFonts w:eastAsia="Times New Roman" w:cs="Times New Roman"/>
          <w:bCs/>
          <w:szCs w:val="28"/>
          <w:lang w:eastAsia="ru-RU"/>
        </w:rPr>
        <w:t> ДГ)</w:t>
      </w:r>
      <w:r w:rsidRPr="00EF4C69">
        <w:rPr>
          <w:rFonts w:eastAsia="Times New Roman" w:cs="Times New Roman"/>
          <w:szCs w:val="28"/>
          <w:lang w:eastAsia="ru-RU"/>
        </w:rPr>
        <w:t>.</w:t>
      </w:r>
    </w:p>
    <w:p w:rsidR="00EF4C69" w:rsidRPr="00EF4C69" w:rsidRDefault="00EF4C69" w:rsidP="00EF4C69">
      <w:pPr>
        <w:ind w:firstLine="709"/>
        <w:rPr>
          <w:rFonts w:eastAsia="Times New Roman" w:cs="Times New Roman"/>
          <w:szCs w:val="28"/>
          <w:lang w:eastAsia="ru-RU"/>
        </w:rPr>
      </w:pPr>
    </w:p>
    <w:p w:rsidR="00EF4C69" w:rsidRPr="00EF4C69" w:rsidRDefault="00EF4C69" w:rsidP="00EF4C69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EF4C69">
        <w:rPr>
          <w:rFonts w:eastAsia="Times New Roman" w:cs="Times New Roman"/>
          <w:szCs w:val="28"/>
          <w:lang w:eastAsia="ru-RU"/>
        </w:rPr>
        <w:t>1. Основные положения.</w:t>
      </w:r>
    </w:p>
    <w:p w:rsidR="00EF4C69" w:rsidRPr="00EF4C69" w:rsidRDefault="00EF4C69" w:rsidP="00EF4C69">
      <w:pPr>
        <w:ind w:firstLine="709"/>
        <w:rPr>
          <w:rFonts w:eastAsia="Times New Roman" w:cs="Times New Roman"/>
          <w:bCs/>
          <w:szCs w:val="28"/>
          <w:lang w:eastAsia="ru-RU"/>
        </w:rPr>
      </w:pPr>
    </w:p>
    <w:p w:rsidR="00EF4C69" w:rsidRPr="00EF4C69" w:rsidRDefault="00EF4C69" w:rsidP="00EF4C69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EF4C69">
        <w:rPr>
          <w:rFonts w:eastAsia="Times New Roman" w:cs="Times New Roman"/>
          <w:bCs/>
          <w:szCs w:val="28"/>
          <w:lang w:eastAsia="ru-RU"/>
        </w:rPr>
        <w:t>1.1. Задачи и функции.</w:t>
      </w:r>
    </w:p>
    <w:p w:rsidR="00EF4C69" w:rsidRPr="00EF4C69" w:rsidRDefault="00EF4C69" w:rsidP="00EF4C69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EF4C69">
        <w:rPr>
          <w:rFonts w:eastAsia="Times New Roman" w:cs="Times New Roman"/>
          <w:bCs/>
          <w:szCs w:val="28"/>
          <w:lang w:eastAsia="ru-RU"/>
        </w:rPr>
        <w:t>Муниципальный финансовый контроль является одним из средств реализации государственной политики и инструментом государства, обеспечивающим повышение эффективности использования бюджетных средств и муниципальных ресурсов в целом, и, как следствие, стабильность социально-экономического развития.</w:t>
      </w:r>
    </w:p>
    <w:p w:rsidR="00EF4C69" w:rsidRPr="00EF4C69" w:rsidRDefault="00EF4C69" w:rsidP="00EF4C69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EF4C69">
        <w:rPr>
          <w:rFonts w:eastAsia="Times New Roman" w:cs="Times New Roman"/>
          <w:bCs/>
          <w:szCs w:val="28"/>
          <w:lang w:eastAsia="ru-RU"/>
        </w:rPr>
        <w:t xml:space="preserve">Функции внешнего муниципального финансового контроля охватывают все финансовые отношения, которые происходят </w:t>
      </w:r>
      <w:r w:rsidR="005D7795">
        <w:rPr>
          <w:rFonts w:eastAsia="Times New Roman" w:cs="Times New Roman"/>
          <w:bCs/>
          <w:szCs w:val="28"/>
          <w:lang w:eastAsia="ru-RU"/>
        </w:rPr>
        <w:br/>
      </w:r>
      <w:r w:rsidRPr="00EF4C69">
        <w:rPr>
          <w:rFonts w:eastAsia="Times New Roman" w:cs="Times New Roman"/>
          <w:bCs/>
          <w:szCs w:val="28"/>
          <w:lang w:eastAsia="ru-RU"/>
        </w:rPr>
        <w:t xml:space="preserve">на муниципальном уровне в процессе формирования, распределения </w:t>
      </w:r>
      <w:r w:rsidR="005D7795">
        <w:rPr>
          <w:rFonts w:eastAsia="Times New Roman" w:cs="Times New Roman"/>
          <w:bCs/>
          <w:szCs w:val="28"/>
          <w:lang w:eastAsia="ru-RU"/>
        </w:rPr>
        <w:br/>
      </w:r>
      <w:r w:rsidRPr="00EF4C69">
        <w:rPr>
          <w:rFonts w:eastAsia="Times New Roman" w:cs="Times New Roman"/>
          <w:bCs/>
          <w:szCs w:val="28"/>
          <w:lang w:eastAsia="ru-RU"/>
        </w:rPr>
        <w:t>и расходования средств.</w:t>
      </w:r>
    </w:p>
    <w:p w:rsidR="00EF4C69" w:rsidRPr="00EF4C69" w:rsidRDefault="00EF4C69" w:rsidP="00EF4C69">
      <w:pPr>
        <w:ind w:firstLine="709"/>
        <w:rPr>
          <w:rFonts w:eastAsia="Times New Roman" w:cs="Times New Roman"/>
          <w:bCs/>
          <w:szCs w:val="28"/>
          <w:highlight w:val="yellow"/>
          <w:lang w:eastAsia="ru-RU"/>
        </w:rPr>
      </w:pPr>
      <w:r w:rsidRPr="00EF4C69">
        <w:rPr>
          <w:rFonts w:eastAsia="Times New Roman" w:cs="Times New Roman"/>
          <w:bCs/>
          <w:szCs w:val="28"/>
          <w:lang w:eastAsia="ru-RU"/>
        </w:rPr>
        <w:t xml:space="preserve">Основные задачи Контрольно-счетной палаты в отчётном периоде заключались в контроле за исполнением местного бюджета, соблюдением установленного порядка подготовки и рассмотрения проекта бюджета города, отчёта о его исполнении, а также в проверке законности </w:t>
      </w:r>
      <w:r w:rsidR="005D7795">
        <w:rPr>
          <w:rFonts w:eastAsia="Times New Roman" w:cs="Times New Roman"/>
          <w:bCs/>
          <w:szCs w:val="28"/>
          <w:lang w:eastAsia="ru-RU"/>
        </w:rPr>
        <w:br/>
      </w:r>
      <w:r w:rsidRPr="00EF4C69">
        <w:rPr>
          <w:rFonts w:eastAsia="Times New Roman" w:cs="Times New Roman"/>
          <w:bCs/>
          <w:szCs w:val="28"/>
          <w:lang w:eastAsia="ru-RU"/>
        </w:rPr>
        <w:t xml:space="preserve">и результативности использования средств местного бюджета </w:t>
      </w:r>
      <w:r w:rsidR="005D7795">
        <w:rPr>
          <w:rFonts w:eastAsia="Times New Roman" w:cs="Times New Roman"/>
          <w:bCs/>
          <w:szCs w:val="28"/>
          <w:lang w:eastAsia="ru-RU"/>
        </w:rPr>
        <w:br/>
      </w:r>
      <w:r w:rsidRPr="00EF4C69">
        <w:rPr>
          <w:rFonts w:eastAsia="Times New Roman" w:cs="Times New Roman"/>
          <w:bCs/>
          <w:szCs w:val="28"/>
          <w:lang w:eastAsia="ru-RU"/>
        </w:rPr>
        <w:t>и муниципальной собственности.</w:t>
      </w:r>
    </w:p>
    <w:p w:rsidR="00EF4C69" w:rsidRPr="00EF4C69" w:rsidRDefault="00EF4C69" w:rsidP="00EF4C69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EF4C69">
        <w:rPr>
          <w:rFonts w:eastAsia="Times New Roman" w:cs="Times New Roman"/>
          <w:bCs/>
          <w:szCs w:val="28"/>
          <w:lang w:eastAsia="ru-RU"/>
        </w:rPr>
        <w:t>1.2. Основные направления деятельности.</w:t>
      </w:r>
    </w:p>
    <w:p w:rsidR="00EF4C69" w:rsidRPr="00EF4C69" w:rsidRDefault="00EF4C69" w:rsidP="00EF4C69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EF4C69">
        <w:rPr>
          <w:rFonts w:eastAsia="Times New Roman" w:cs="Times New Roman"/>
          <w:bCs/>
          <w:szCs w:val="28"/>
          <w:lang w:eastAsia="ru-RU"/>
        </w:rPr>
        <w:t>В соответствии со статьёй 10 Закона № 6-ФЗ, статьёй 10 Положения</w:t>
      </w:r>
      <w:r w:rsidRPr="00EF4C69">
        <w:rPr>
          <w:rFonts w:eastAsia="Times New Roman" w:cs="Times New Roman"/>
          <w:bCs/>
          <w:szCs w:val="28"/>
          <w:lang w:eastAsia="ru-RU"/>
        </w:rPr>
        <w:br/>
        <w:t>№ 170-</w:t>
      </w:r>
      <w:r w:rsidRPr="00EF4C69">
        <w:rPr>
          <w:rFonts w:eastAsia="Times New Roman" w:cs="Times New Roman"/>
          <w:bCs/>
          <w:szCs w:val="28"/>
          <w:lang w:val="en-US" w:eastAsia="ru-RU"/>
        </w:rPr>
        <w:t>IV</w:t>
      </w:r>
      <w:r w:rsidRPr="00EF4C69">
        <w:rPr>
          <w:rFonts w:eastAsia="Times New Roman" w:cs="Times New Roman"/>
          <w:bCs/>
          <w:szCs w:val="28"/>
          <w:lang w:eastAsia="ru-RU"/>
        </w:rPr>
        <w:t> ДГ внешний муниципальный финансовый контроль осуществляется в форме контрольных и экспертно-аналитических мероприятий.</w:t>
      </w:r>
    </w:p>
    <w:p w:rsidR="00EF4C69" w:rsidRPr="00EF4C69" w:rsidRDefault="00EF4C69" w:rsidP="00EF4C69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EF4C69">
        <w:rPr>
          <w:rFonts w:eastAsia="Times New Roman" w:cs="Times New Roman"/>
          <w:bCs/>
          <w:szCs w:val="28"/>
          <w:lang w:eastAsia="ru-RU"/>
        </w:rPr>
        <w:t xml:space="preserve">В числе основных задач, на решение которых были направлены внимание и усилия Контрольно-счетной палаты в 2022 году, – обеспечение предварительного и последующего контроля за формированием </w:t>
      </w:r>
      <w:r w:rsidR="005D7795">
        <w:rPr>
          <w:rFonts w:eastAsia="Times New Roman" w:cs="Times New Roman"/>
          <w:bCs/>
          <w:szCs w:val="28"/>
          <w:lang w:eastAsia="ru-RU"/>
        </w:rPr>
        <w:br/>
      </w:r>
      <w:r w:rsidRPr="00EF4C69">
        <w:rPr>
          <w:rFonts w:eastAsia="Times New Roman" w:cs="Times New Roman"/>
          <w:bCs/>
          <w:szCs w:val="28"/>
          <w:lang w:eastAsia="ru-RU"/>
        </w:rPr>
        <w:t xml:space="preserve">и исполнением бюджета города в соответствии со статьёй 265 Бюджетного кодекса РФ (далее – БК РФ), контроль в сферах муниципального управления, </w:t>
      </w:r>
      <w:r w:rsidRPr="00EF4C69">
        <w:rPr>
          <w:rFonts w:eastAsia="Times New Roman" w:cs="Times New Roman"/>
          <w:bCs/>
          <w:szCs w:val="28"/>
          <w:lang w:eastAsia="ru-RU"/>
        </w:rPr>
        <w:lastRenderedPageBreak/>
        <w:t>городского хозяйства и строительства, социальной сфере, аудит в сфере закупок.</w:t>
      </w:r>
    </w:p>
    <w:p w:rsidR="00EF4C69" w:rsidRPr="00EF4C69" w:rsidRDefault="00EF4C69" w:rsidP="00EF4C69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EF4C69">
        <w:rPr>
          <w:rFonts w:eastAsia="Times New Roman" w:cs="Times New Roman"/>
          <w:bCs/>
          <w:szCs w:val="28"/>
          <w:lang w:eastAsia="ru-RU"/>
        </w:rPr>
        <w:t xml:space="preserve">В отчётном периоде контрольные и экспертно-аналитические мероприятия проводились в Администрации города и её структурных подразделениях, в учреждениях и организациях, получивших средства </w:t>
      </w:r>
      <w:r w:rsidR="005D7795">
        <w:rPr>
          <w:rFonts w:eastAsia="Times New Roman" w:cs="Times New Roman"/>
          <w:bCs/>
          <w:szCs w:val="28"/>
          <w:lang w:eastAsia="ru-RU"/>
        </w:rPr>
        <w:br/>
      </w:r>
      <w:r w:rsidRPr="00EF4C69">
        <w:rPr>
          <w:rFonts w:eastAsia="Times New Roman" w:cs="Times New Roman"/>
          <w:bCs/>
          <w:szCs w:val="28"/>
          <w:lang w:eastAsia="ru-RU"/>
        </w:rPr>
        <w:t>из городского бюджета, а также использующих муниципальное имущество или земельные участки, расположенные на территории города, в том числе государственная собственность на которые не разграничена.</w:t>
      </w:r>
    </w:p>
    <w:p w:rsidR="00EF4C69" w:rsidRPr="00EF4C69" w:rsidRDefault="00EF4C69" w:rsidP="00EF4C69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EF4C69">
        <w:rPr>
          <w:rFonts w:eastAsia="Times New Roman" w:cs="Times New Roman"/>
          <w:bCs/>
          <w:szCs w:val="28"/>
          <w:lang w:eastAsia="ru-RU"/>
        </w:rPr>
        <w:t>1.3. Основные итоги работы в 2022 году.</w:t>
      </w:r>
    </w:p>
    <w:p w:rsidR="00EF4C69" w:rsidRPr="00EF4C69" w:rsidRDefault="00EF4C69" w:rsidP="00EF4C69">
      <w:pPr>
        <w:ind w:firstLine="709"/>
        <w:rPr>
          <w:rFonts w:eastAsia="Times New Roman" w:cs="Times New Roman"/>
          <w:spacing w:val="6"/>
          <w:szCs w:val="28"/>
          <w:lang w:eastAsia="ru-RU"/>
        </w:rPr>
      </w:pPr>
      <w:r w:rsidRPr="00EF4C69">
        <w:rPr>
          <w:rFonts w:eastAsia="Times New Roman" w:cs="Times New Roman"/>
          <w:spacing w:val="6"/>
          <w:szCs w:val="28"/>
          <w:lang w:eastAsia="ru-RU"/>
        </w:rPr>
        <w:t>Контрольно-счетной палатой проведено:</w:t>
      </w:r>
    </w:p>
    <w:p w:rsidR="00EF4C69" w:rsidRPr="00EF4C69" w:rsidRDefault="00EF4C69" w:rsidP="00EF4C69">
      <w:pPr>
        <w:tabs>
          <w:tab w:val="left" w:pos="0"/>
        </w:tabs>
        <w:ind w:firstLine="709"/>
        <w:rPr>
          <w:rFonts w:eastAsia="Times New Roman" w:cs="Times New Roman"/>
          <w:spacing w:val="6"/>
          <w:szCs w:val="28"/>
          <w:lang w:eastAsia="ru-RU"/>
        </w:rPr>
      </w:pPr>
      <w:r w:rsidRPr="00EF4C69">
        <w:rPr>
          <w:rFonts w:eastAsia="Times New Roman" w:cs="Times New Roman"/>
          <w:szCs w:val="28"/>
          <w:lang w:eastAsia="ru-RU"/>
        </w:rPr>
        <w:t>1)</w:t>
      </w:r>
      <w:r w:rsidRPr="00EF4C69">
        <w:rPr>
          <w:rFonts w:eastAsia="Times New Roman" w:cs="Times New Roman"/>
          <w:spacing w:val="6"/>
          <w:szCs w:val="28"/>
          <w:lang w:eastAsia="ru-RU"/>
        </w:rPr>
        <w:t> 12 контрольных мероприятий;</w:t>
      </w:r>
    </w:p>
    <w:p w:rsidR="00EF4C69" w:rsidRPr="00EF4C69" w:rsidRDefault="00EF4C69" w:rsidP="00EF4C69">
      <w:pPr>
        <w:ind w:firstLine="708"/>
        <w:rPr>
          <w:rFonts w:eastAsia="Times New Roman" w:cs="Times New Roman"/>
          <w:spacing w:val="6"/>
          <w:szCs w:val="28"/>
          <w:lang w:eastAsia="ru-RU"/>
        </w:rPr>
      </w:pPr>
      <w:r w:rsidRPr="00EF4C69">
        <w:rPr>
          <w:rFonts w:eastAsia="Times New Roman" w:cs="Times New Roman"/>
          <w:spacing w:val="6"/>
          <w:szCs w:val="28"/>
          <w:lang w:eastAsia="ru-RU"/>
        </w:rPr>
        <w:t>2) 115</w:t>
      </w:r>
      <w:r w:rsidRPr="00EF4C69">
        <w:rPr>
          <w:rFonts w:eastAsia="Calibri" w:cs="Times New Roman"/>
          <w:szCs w:val="28"/>
        </w:rPr>
        <w:t> экспертно-аналитических мероприятий, в том числе подготовлено 92 заключения на проекты муниципальных правовых актов, проведено 11 экспертиз муниципальных программ и 12 тематических экспертно-аналитических мероприятий</w:t>
      </w:r>
      <w:r w:rsidRPr="00EF4C69">
        <w:rPr>
          <w:rFonts w:eastAsia="Times New Roman" w:cs="Times New Roman"/>
          <w:spacing w:val="6"/>
          <w:szCs w:val="28"/>
          <w:lang w:eastAsia="ru-RU"/>
        </w:rPr>
        <w:t>.</w:t>
      </w:r>
    </w:p>
    <w:p w:rsidR="00EF4C69" w:rsidRPr="00EF4C69" w:rsidRDefault="00EF4C69" w:rsidP="00EF4C69">
      <w:pPr>
        <w:ind w:firstLine="708"/>
        <w:rPr>
          <w:rFonts w:eastAsia="Times New Roman" w:cs="Times New Roman"/>
          <w:spacing w:val="6"/>
          <w:szCs w:val="28"/>
          <w:lang w:eastAsia="ru-RU"/>
        </w:rPr>
      </w:pPr>
      <w:r w:rsidRPr="00EF4C69">
        <w:rPr>
          <w:rFonts w:eastAsia="Times New Roman" w:cs="Times New Roman"/>
          <w:spacing w:val="6"/>
          <w:szCs w:val="28"/>
          <w:lang w:eastAsia="ru-RU"/>
        </w:rPr>
        <w:t>Кроме того, в 2022 году начато 1 контрольное мероприятие, результаты которого будут сформированы и включены в отчёт следующего года (переходящее на 2023 год).</w:t>
      </w:r>
    </w:p>
    <w:p w:rsidR="00EF4C69" w:rsidRDefault="00EF4C69" w:rsidP="00EF4C69">
      <w:pPr>
        <w:ind w:firstLine="709"/>
        <w:rPr>
          <w:rFonts w:eastAsia="Times New Roman" w:cs="Times New Roman"/>
          <w:szCs w:val="28"/>
          <w:lang w:eastAsia="ru-RU"/>
        </w:rPr>
      </w:pPr>
      <w:r w:rsidRPr="00EF4C69">
        <w:rPr>
          <w:rFonts w:eastAsia="Times New Roman" w:cs="Times New Roman"/>
          <w:szCs w:val="28"/>
          <w:lang w:eastAsia="ru-RU"/>
        </w:rPr>
        <w:t>Основные показатели, характеризующие деятельность Контрольно-счетной палаты за 2020 – 2022 годы, приведены в таблице 1.</w:t>
      </w:r>
      <w:r w:rsidR="005D7795">
        <w:rPr>
          <w:rFonts w:eastAsia="Times New Roman" w:cs="Times New Roman"/>
          <w:szCs w:val="28"/>
          <w:lang w:eastAsia="ru-RU"/>
        </w:rPr>
        <w:t xml:space="preserve"> </w:t>
      </w:r>
    </w:p>
    <w:p w:rsidR="005D7795" w:rsidRPr="00EF4C69" w:rsidRDefault="005D7795" w:rsidP="00EF4C69">
      <w:pPr>
        <w:ind w:firstLine="709"/>
        <w:rPr>
          <w:rFonts w:eastAsia="Times New Roman" w:cs="Times New Roman"/>
          <w:szCs w:val="28"/>
          <w:lang w:eastAsia="ru-RU"/>
        </w:rPr>
      </w:pPr>
    </w:p>
    <w:p w:rsidR="00EF4C69" w:rsidRPr="00EF4C69" w:rsidRDefault="00EF4C69" w:rsidP="00EF4C69">
      <w:pPr>
        <w:widowControl w:val="0"/>
        <w:ind w:right="-2" w:firstLine="709"/>
        <w:jc w:val="right"/>
        <w:rPr>
          <w:rFonts w:eastAsia="Times New Roman" w:cs="Times New Roman"/>
          <w:bCs/>
          <w:sz w:val="20"/>
          <w:szCs w:val="20"/>
          <w:lang w:eastAsia="ru-RU"/>
        </w:rPr>
      </w:pPr>
      <w:r w:rsidRPr="00EF4C69">
        <w:rPr>
          <w:rFonts w:eastAsia="Times New Roman" w:cs="Times New Roman"/>
          <w:bCs/>
          <w:sz w:val="20"/>
          <w:szCs w:val="20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826"/>
        <w:gridCol w:w="1771"/>
        <w:gridCol w:w="1559"/>
        <w:gridCol w:w="1695"/>
      </w:tblGrid>
      <w:tr w:rsidR="00EF4C69" w:rsidRPr="00EF4C69" w:rsidTr="00EF4C69">
        <w:trPr>
          <w:tblHeader/>
          <w:jc w:val="center"/>
        </w:trPr>
        <w:tc>
          <w:tcPr>
            <w:tcW w:w="719" w:type="dxa"/>
            <w:vMerge w:val="restart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025" w:type="dxa"/>
            <w:gridSpan w:val="3"/>
          </w:tcPr>
          <w:p w:rsidR="00EF4C69" w:rsidRPr="00EF4C69" w:rsidRDefault="00EF4C69" w:rsidP="00EF4C69">
            <w:pPr>
              <w:widowControl w:val="0"/>
              <w:ind w:right="-28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F4C69" w:rsidRPr="00EF4C69" w:rsidTr="00EF4C69">
        <w:trPr>
          <w:tblHeader/>
          <w:jc w:val="center"/>
        </w:trPr>
        <w:tc>
          <w:tcPr>
            <w:tcW w:w="719" w:type="dxa"/>
            <w:vMerge/>
          </w:tcPr>
          <w:p w:rsidR="00EF4C69" w:rsidRPr="00EF4C69" w:rsidRDefault="00EF4C69" w:rsidP="00EF4C69">
            <w:pPr>
              <w:widowControl w:val="0"/>
              <w:ind w:right="-28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EF4C69" w:rsidRPr="00EF4C69" w:rsidRDefault="00EF4C69" w:rsidP="00EF4C69">
            <w:pPr>
              <w:widowControl w:val="0"/>
              <w:ind w:right="-285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EF4C69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20</w:t>
            </w: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Pr="00EF4C69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95" w:type="dxa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Штатная численность, человек</w:t>
            </w:r>
          </w:p>
        </w:tc>
        <w:tc>
          <w:tcPr>
            <w:tcW w:w="1771" w:type="dxa"/>
            <w:vAlign w:val="bottom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vAlign w:val="bottom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5" w:type="dxa"/>
            <w:vAlign w:val="bottom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Кол-во структурных подразделений, ед.</w:t>
            </w:r>
          </w:p>
        </w:tc>
        <w:tc>
          <w:tcPr>
            <w:tcW w:w="1771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F4C69" w:rsidRPr="00EF4C69" w:rsidTr="00EF4C69">
        <w:trPr>
          <w:trHeight w:val="330"/>
          <w:jc w:val="center"/>
        </w:trPr>
        <w:tc>
          <w:tcPr>
            <w:tcW w:w="9628" w:type="dxa"/>
            <w:gridSpan w:val="5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3. Контроль формирования и исполнения бюджета города Сургута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Внешняя проверка годового отчёта об исполнении бюджета, ед.</w:t>
            </w:r>
          </w:p>
        </w:tc>
        <w:tc>
          <w:tcPr>
            <w:tcW w:w="1771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</w:t>
            </w:r>
            <w:r w:rsidRPr="00EF4C69">
              <w:rPr>
                <w:rFonts w:eastAsia="Calibri" w:cs="Times New Roman"/>
                <w:sz w:val="18"/>
                <w:szCs w:val="18"/>
              </w:rPr>
              <w:t> (за 2019 год)</w:t>
            </w:r>
          </w:p>
        </w:tc>
        <w:tc>
          <w:tcPr>
            <w:tcW w:w="1559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</w:t>
            </w:r>
            <w:r w:rsidRPr="00EF4C69">
              <w:rPr>
                <w:rFonts w:eastAsia="Calibri" w:cs="Times New Roman"/>
                <w:sz w:val="18"/>
                <w:szCs w:val="18"/>
              </w:rPr>
              <w:t> (за 2020 год)</w:t>
            </w:r>
          </w:p>
        </w:tc>
        <w:tc>
          <w:tcPr>
            <w:tcW w:w="1695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 (за 2021 год)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Объём средств, охваченных внешней проверкой годового отчёта об исполнении бюджета, тыс. рублей</w:t>
            </w:r>
          </w:p>
        </w:tc>
        <w:tc>
          <w:tcPr>
            <w:tcW w:w="1771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27 517 677,5</w:t>
            </w:r>
          </w:p>
        </w:tc>
        <w:tc>
          <w:tcPr>
            <w:tcW w:w="1559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30 152 364,6</w:t>
            </w:r>
          </w:p>
        </w:tc>
        <w:tc>
          <w:tcPr>
            <w:tcW w:w="1695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32 671 784,6</w:t>
            </w:r>
            <w:r w:rsidRPr="00EF4C69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 изменений и дополнений в бюджет города на текущий (отчётный) год (в том числе поправки), количество заключений (ед.)</w:t>
            </w:r>
          </w:p>
        </w:tc>
        <w:tc>
          <w:tcPr>
            <w:tcW w:w="1771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11</w:t>
            </w:r>
            <w:r w:rsidRPr="00EF4C69">
              <w:rPr>
                <w:rFonts w:eastAsia="Calibri" w:cs="Times New Roman"/>
                <w:sz w:val="18"/>
                <w:szCs w:val="18"/>
              </w:rPr>
              <w:t xml:space="preserve"> (за 2020 год)</w:t>
            </w:r>
          </w:p>
        </w:tc>
        <w:tc>
          <w:tcPr>
            <w:tcW w:w="1559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4</w:t>
            </w:r>
            <w:r w:rsidRPr="00EF4C69">
              <w:rPr>
                <w:rFonts w:eastAsia="Calibri" w:cs="Times New Roman"/>
                <w:sz w:val="18"/>
                <w:szCs w:val="18"/>
              </w:rPr>
              <w:t xml:space="preserve"> (за 2021 год)</w:t>
            </w:r>
          </w:p>
        </w:tc>
        <w:tc>
          <w:tcPr>
            <w:tcW w:w="1695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 (за 2022 год)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Объём средств, охваченных в рамках экспертизы изменений и дополнений в бюджет города на текущий (отчётный) год, тыс. рублей</w:t>
            </w:r>
          </w:p>
        </w:tc>
        <w:tc>
          <w:tcPr>
            <w:tcW w:w="1771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1 605 440,3</w:t>
            </w:r>
          </w:p>
        </w:tc>
        <w:tc>
          <w:tcPr>
            <w:tcW w:w="1559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3 084 202,7</w:t>
            </w:r>
          </w:p>
        </w:tc>
        <w:tc>
          <w:tcPr>
            <w:tcW w:w="1695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776 462,8</w:t>
            </w:r>
            <w:r w:rsidRPr="00EF4C69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Экспертиза проекта бюджета города на </w:t>
            </w: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очередной год, количество заключений (ед.)</w:t>
            </w:r>
          </w:p>
        </w:tc>
        <w:tc>
          <w:tcPr>
            <w:tcW w:w="1771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lastRenderedPageBreak/>
              <w:t>1</w:t>
            </w:r>
            <w:r w:rsidRPr="00EF4C69">
              <w:rPr>
                <w:rFonts w:eastAsia="Calibri" w:cs="Times New Roman"/>
                <w:sz w:val="18"/>
                <w:szCs w:val="18"/>
              </w:rPr>
              <w:t xml:space="preserve"> (на 2021 год)</w:t>
            </w:r>
          </w:p>
        </w:tc>
        <w:tc>
          <w:tcPr>
            <w:tcW w:w="1559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</w:t>
            </w:r>
            <w:r w:rsidRPr="00EF4C69">
              <w:rPr>
                <w:rFonts w:eastAsia="Calibri" w:cs="Times New Roman"/>
                <w:sz w:val="18"/>
                <w:szCs w:val="18"/>
              </w:rPr>
              <w:t xml:space="preserve"> (на 2022 год)</w:t>
            </w:r>
          </w:p>
        </w:tc>
        <w:tc>
          <w:tcPr>
            <w:tcW w:w="1695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 (на 2023 год)</w:t>
            </w:r>
            <w:r w:rsidRPr="00EF4C69">
              <w:rPr>
                <w:rFonts w:eastAsia="Times New Roman" w:cs="Times New Roman"/>
                <w:bCs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Объём средств, охваченных в рамках экспертизы проекта бюджета города на очередной год, тыс. рублей</w:t>
            </w:r>
          </w:p>
        </w:tc>
        <w:tc>
          <w:tcPr>
            <w:tcW w:w="1771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31 276 568,1</w:t>
            </w:r>
          </w:p>
        </w:tc>
        <w:tc>
          <w:tcPr>
            <w:tcW w:w="1559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36 692 262,6</w:t>
            </w:r>
          </w:p>
        </w:tc>
        <w:tc>
          <w:tcPr>
            <w:tcW w:w="1695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40 670 288,8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 квартальных отчётов об исполнении бюджета города за текущий (отчётный) год, ед.</w:t>
            </w:r>
          </w:p>
        </w:tc>
        <w:tc>
          <w:tcPr>
            <w:tcW w:w="1771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 (за 1 полугодие 2020 года)</w:t>
            </w:r>
          </w:p>
        </w:tc>
        <w:tc>
          <w:tcPr>
            <w:tcW w:w="1559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 (за 1 полугодие 2021 года)</w:t>
            </w:r>
          </w:p>
        </w:tc>
        <w:tc>
          <w:tcPr>
            <w:tcW w:w="1695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 (за 1 квартал, полугодие,           9 месяцев 2022 года)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Объём средств, охваченных в рамках экспертизы квартальных отчётов об исполнении бюджета города (оперативный анализ исполнения бюджета) за текущий (отчётный) год, тыс. рублей</w:t>
            </w:r>
          </w:p>
        </w:tc>
        <w:tc>
          <w:tcPr>
            <w:tcW w:w="1771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12 590 517,2</w:t>
            </w:r>
          </w:p>
        </w:tc>
        <w:tc>
          <w:tcPr>
            <w:tcW w:w="1559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13 839 841,3</w:t>
            </w:r>
          </w:p>
        </w:tc>
        <w:tc>
          <w:tcPr>
            <w:tcW w:w="1695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23 335 535,6</w:t>
            </w:r>
          </w:p>
        </w:tc>
      </w:tr>
      <w:tr w:rsidR="00EF4C69" w:rsidRPr="00EF4C69" w:rsidTr="00EF4C69">
        <w:trPr>
          <w:trHeight w:val="290"/>
          <w:jc w:val="center"/>
        </w:trPr>
        <w:tc>
          <w:tcPr>
            <w:tcW w:w="9628" w:type="dxa"/>
            <w:gridSpan w:val="5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4. Контрольная деятельность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Проведено экспертно-аналитических мероприятий (ед.), в том числе: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проведено экспертно-аналитических мероприятий, за исключением мероприятий в рамках контроля </w:t>
            </w: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формирования и исполнения бюджета города, которые отражены в разделе 3 настоящей таблицы, ед.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83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104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Проведено контрольных мероприятий без учёта проверок, проведённых по заданию правоохранительных и надзорных органов, ед.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EF4C69" w:rsidRPr="00EF4C69" w:rsidRDefault="00EF4C69" w:rsidP="00EF4C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12</w:t>
            </w:r>
          </w:p>
          <w:p w:rsidR="00EF4C69" w:rsidRPr="00EF4C69" w:rsidRDefault="00EF4C69" w:rsidP="00EF4C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Составлено актов по контрольным мероприятиям, ед.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14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Проведено проверок по заданию правоохранительных и надзорных органов, ед.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Объём средств, проверенных по заданию правоохранительных и надзорных органов, тыс. рублей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4 328,7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1 823 434,8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Объём средств, проверенных в рамках контрольных и экспертно-аналитических мероприятий без учёта средств, охваченных в рамках контроля формирования и </w:t>
            </w: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исполнения бюджета города</w:t>
            </w: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(тыс. рублей), в том числе: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1 198 192,4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6 305 974,2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7 372 038,3</w:t>
            </w:r>
            <w:r w:rsidRPr="00EF4C69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объём проверенных бюджетных средств и средств, полученных из бюджета в виде субсидий (без учёта доходов от приносящей доход деятельности </w:t>
            </w: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бюджетных и автономных учреждений, собственных средств МУП), тыс. рублей</w:t>
            </w:r>
            <w:r w:rsidRPr="00EF4C69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1 198 192,4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2 188 511,2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7 372 038,3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Выявлено финансовых недостатков и нарушений (тыс. рублей), в том числе: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867 208,0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800 805,0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364 126,4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по результатам контрольных мероприятий, тыс. рублей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369 893,2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500 191,9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84 066,6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по результатам экспертно-аналитических мероприятий, тыс. рублей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497 314,8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300 613,1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280 059,8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Из финансовых недостатков и нарушений по стр.4.7 - не могут быть устранены (тыс. рублей)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293 265,5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276 097,9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134 500,9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4.9</w:t>
            </w:r>
            <w:bookmarkStart w:id="1" w:name="_Ref536093503"/>
            <w:r w:rsidRPr="00EF4C69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  <w:bookmarkEnd w:id="1"/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финансовых недостатков и нарушений по стр.4.7 - подлежащие устранению (тыс. рублей)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573 942,5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524 707,1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229 625,5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Устранено финансовых недостатков и нарушений по контрольным и экспертно-аналитическим мероприятиям (тыс. рублей), в том числе: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539 191,0</w:t>
            </w:r>
            <w:r w:rsidRPr="00EF4C69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446 152,1</w:t>
            </w:r>
            <w:r w:rsidRPr="00EF4C69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182 161,72</w:t>
            </w:r>
            <w:r w:rsidRPr="00EF4C69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4.10.1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возмещено средств в бюджет (тыс. рублей)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667,2</w:t>
            </w:r>
            <w:r w:rsidRPr="00EF4C69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9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13 893,8</w:t>
            </w:r>
            <w:r w:rsidRPr="00EF4C69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1 979,68</w:t>
            </w:r>
            <w:r w:rsidRPr="00EF4C69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4.10.2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выполнено работ (тыс. рублей)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9 898,0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1 070,36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4.10.3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уменьшены бюджетные ассигнования с последующим перенаправлением</w:t>
            </w:r>
            <w:r w:rsidRPr="00EF4C69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footnoteReference w:id="12"/>
            </w: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другие статьи бюджета или другие объекты (тыс. рублей)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425 511,5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249 750,1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63 310,4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Балансовая (кадастровая) стоимость имущества, охваченного контрольными мероприятиями, тыс. рублей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2 832 369,5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928 527,8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имущества, в отношении которого выявлены недостатки и нарушения порядка учёта, управления и распоряжения имуществом, тыс. рублей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192 651,2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6 668,6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Устранено нарушений в сфере управления и распоряжения муниципальным имуществом, тыс. рублей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135 760,7</w:t>
            </w:r>
            <w:r w:rsidRPr="00EF4C69">
              <w:rPr>
                <w:rFonts w:eastAsia="Times New Roman" w:cs="Times New Roman"/>
                <w:bCs/>
                <w:sz w:val="18"/>
                <w:szCs w:val="18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39 682,1</w:t>
            </w:r>
            <w:r w:rsidRPr="00EF4C69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Направлено всего представлений/предписаний, ед.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12/4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6/2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1/3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4.15</w:t>
            </w:r>
            <w:r w:rsidRPr="00EF4C69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EF4C69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NOTEREF _Ref536093503 \f \h  \* MERGEFORMAT </w:instrText>
            </w:r>
            <w:r w:rsidRPr="00EF4C69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Pr="00EF4C69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="00720E77" w:rsidRPr="00720E77">
              <w:rPr>
                <w:rFonts w:eastAsia="Calibri" w:cs="Times New Roman"/>
                <w:sz w:val="18"/>
                <w:szCs w:val="18"/>
              </w:rPr>
              <w:t>5</w:t>
            </w:r>
            <w:r w:rsidRPr="00EF4C69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Подготовлено предложений по результатам контрольных мероприятий по устранению недостатков и нарушений, не имеющих суммового выражения (ед.), из них: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4.15.1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принято предложений по устранению недостатков и нарушений, не имеющих суммового выражения, ед.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Принято предложений по контрольным мероприятиям предшествующих периодов по устранению недостатков и нарушений, не имеющих суммового выражения, ед.</w:t>
            </w:r>
          </w:p>
        </w:tc>
        <w:tc>
          <w:tcPr>
            <w:tcW w:w="1771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60</w:t>
            </w:r>
          </w:p>
        </w:tc>
        <w:tc>
          <w:tcPr>
            <w:tcW w:w="1695" w:type="dxa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62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Подготовлено предложений по результатам экспертно-аналитических мероприятий, из них: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249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4.17.1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принято предложений, ед.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186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Направлено итоговых документов (с приложениями) Главе города, в Думу города и в Прокуратуру города, ед. в каждый адрес</w:t>
            </w:r>
          </w:p>
        </w:tc>
        <w:tc>
          <w:tcPr>
            <w:tcW w:w="1771" w:type="dxa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9" w:type="dxa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95" w:type="dxa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Привлечение к дисциплинарной ответственности, случаев</w:t>
            </w:r>
          </w:p>
        </w:tc>
        <w:tc>
          <w:tcPr>
            <w:tcW w:w="1771" w:type="dxa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Привлечение к материальной ответственности, случаев</w:t>
            </w:r>
          </w:p>
        </w:tc>
        <w:tc>
          <w:tcPr>
            <w:tcW w:w="1771" w:type="dxa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5" w:type="dxa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Привлечение к административной ответственности (назначено штрафов):</w:t>
            </w:r>
          </w:p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- должностных лиц</w:t>
            </w:r>
          </w:p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- юридических лиц</w:t>
            </w:r>
          </w:p>
        </w:tc>
        <w:tc>
          <w:tcPr>
            <w:tcW w:w="1771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4C69" w:rsidRPr="00EF4C69" w:rsidTr="00EF4C69">
        <w:trPr>
          <w:jc w:val="center"/>
        </w:trPr>
        <w:tc>
          <w:tcPr>
            <w:tcW w:w="719" w:type="dxa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Общая сумма штрафов, предъявленных по проверкам КСП, тыс. рублей</w:t>
            </w:r>
          </w:p>
        </w:tc>
        <w:tc>
          <w:tcPr>
            <w:tcW w:w="1771" w:type="dxa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559" w:type="dxa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265,86</w:t>
            </w:r>
          </w:p>
        </w:tc>
        <w:tc>
          <w:tcPr>
            <w:tcW w:w="1695" w:type="dxa"/>
            <w:vAlign w:val="center"/>
          </w:tcPr>
          <w:p w:rsidR="00EF4C69" w:rsidRPr="00EF4C69" w:rsidRDefault="00EF4C69" w:rsidP="00EF4C6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</w:tbl>
    <w:p w:rsidR="00EF4C69" w:rsidRPr="00EF4C69" w:rsidRDefault="00EF4C69" w:rsidP="00EF4C69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EF4C69" w:rsidRPr="00EF4C69" w:rsidRDefault="00EF4C69" w:rsidP="00EF4C69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EF4C69">
        <w:rPr>
          <w:rFonts w:eastAsia="Calibri" w:cs="Times New Roman"/>
          <w:szCs w:val="28"/>
        </w:rPr>
        <w:t xml:space="preserve">Объём средств, проверенных в 2022 году в ходе контрольных </w:t>
      </w:r>
      <w:r w:rsidR="005D7795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>и экспертно-аналитических мероприятий</w:t>
      </w:r>
      <w:r w:rsidRPr="00EF4C69">
        <w:rPr>
          <w:rFonts w:eastAsia="Times New Roman" w:cs="Times New Roman"/>
          <w:szCs w:val="28"/>
          <w:lang w:eastAsia="ru-RU"/>
        </w:rPr>
        <w:t xml:space="preserve"> </w:t>
      </w:r>
      <w:r w:rsidRPr="00EF4C69">
        <w:rPr>
          <w:rFonts w:eastAsia="Calibri" w:cs="Times New Roman"/>
          <w:szCs w:val="28"/>
        </w:rPr>
        <w:t xml:space="preserve">без учёта бюджетных ассигнований, охваченных в рамках контроля формирования и </w:t>
      </w:r>
      <w:r w:rsidRPr="00EF4C69">
        <w:rPr>
          <w:rFonts w:eastAsia="Calibri" w:cs="Times New Roman"/>
          <w:bCs/>
          <w:szCs w:val="28"/>
        </w:rPr>
        <w:t>исполнения бюджета города, за различные проверяемые периоды</w:t>
      </w:r>
      <w:r w:rsidRPr="00EF4C69">
        <w:rPr>
          <w:rFonts w:eastAsia="Calibri" w:cs="Times New Roman"/>
          <w:szCs w:val="28"/>
        </w:rPr>
        <w:t xml:space="preserve"> составил 7 372 038,3 тыс. рублей (в том числе: бюджетные средства и средства, полученные </w:t>
      </w:r>
      <w:r w:rsidR="005D7795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>из бюджета в виде субсидий</w:t>
      </w:r>
      <w:r w:rsidR="005D7795">
        <w:rPr>
          <w:rFonts w:eastAsia="Calibri" w:cs="Times New Roman"/>
          <w:szCs w:val="28"/>
        </w:rPr>
        <w:t xml:space="preserve"> – </w:t>
      </w:r>
      <w:r w:rsidRPr="00EF4C69">
        <w:rPr>
          <w:rFonts w:eastAsia="Calibri" w:cs="Times New Roman"/>
          <w:szCs w:val="28"/>
        </w:rPr>
        <w:t>7 372 038,3 тыс. рублей).</w:t>
      </w:r>
    </w:p>
    <w:p w:rsidR="00EF4C69" w:rsidRPr="00EF4C69" w:rsidRDefault="00EF4C69" w:rsidP="00EF4C69">
      <w:pPr>
        <w:widowControl w:val="0"/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EF4C69">
        <w:rPr>
          <w:rFonts w:eastAsia="Times New Roman" w:cs="Times New Roman"/>
          <w:spacing w:val="-4"/>
          <w:szCs w:val="28"/>
          <w:lang w:eastAsia="ru-RU"/>
        </w:rPr>
        <w:t xml:space="preserve">Структура </w:t>
      </w:r>
      <w:r w:rsidRPr="00EF4C69">
        <w:rPr>
          <w:rFonts w:eastAsia="Times New Roman" w:cs="Times New Roman"/>
          <w:szCs w:val="28"/>
          <w:lang w:eastAsia="ru-RU"/>
        </w:rPr>
        <w:t>недостатков и нарушений</w:t>
      </w:r>
      <w:r w:rsidRPr="00EF4C69">
        <w:rPr>
          <w:rFonts w:eastAsia="Times New Roman" w:cs="Times New Roman"/>
          <w:spacing w:val="-4"/>
          <w:szCs w:val="28"/>
          <w:lang w:eastAsia="ru-RU"/>
        </w:rPr>
        <w:t xml:space="preserve"> по результатам мероприятий, проведённых в 2022 году, представлена в таблице 2.</w:t>
      </w:r>
    </w:p>
    <w:p w:rsidR="005D7795" w:rsidRDefault="005D7795" w:rsidP="00EF4C69">
      <w:pPr>
        <w:widowControl w:val="0"/>
        <w:ind w:right="-2"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EF4C69" w:rsidRPr="00EF4C69" w:rsidRDefault="00EF4C69" w:rsidP="00EF4C69">
      <w:pPr>
        <w:widowControl w:val="0"/>
        <w:ind w:right="-2" w:firstLine="709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EF4C69">
        <w:rPr>
          <w:rFonts w:eastAsia="Times New Roman" w:cs="Times New Roman"/>
          <w:sz w:val="20"/>
          <w:szCs w:val="20"/>
          <w:lang w:eastAsia="ru-RU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6313"/>
        <w:gridCol w:w="1358"/>
        <w:gridCol w:w="1133"/>
      </w:tblGrid>
      <w:tr w:rsidR="00EF4C69" w:rsidRPr="00EF4C69" w:rsidTr="00EF4C69">
        <w:trPr>
          <w:trHeight w:val="489"/>
          <w:tblHeader/>
          <w:jc w:val="center"/>
        </w:trPr>
        <w:tc>
          <w:tcPr>
            <w:tcW w:w="0" w:type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Виды недостатков и нарушений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(тыс. рублей)</w:t>
            </w:r>
          </w:p>
        </w:tc>
        <w:tc>
          <w:tcPr>
            <w:tcW w:w="1027" w:type="dxa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EF4C69">
              <w:rPr>
                <w:rFonts w:eastAsia="Times New Roman" w:cs="Times New Roman"/>
                <w:b/>
                <w:i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Финансовые,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b/>
                <w:i/>
                <w:sz w:val="20"/>
                <w:szCs w:val="20"/>
              </w:rPr>
              <w:t>364 126,46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b/>
                <w:i/>
                <w:sz w:val="20"/>
                <w:szCs w:val="20"/>
              </w:rPr>
              <w:t>100%</w:t>
            </w: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98" w:type="dxa"/>
            <w:gridSpan w:val="3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по видам:</w:t>
            </w: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Неэффективное использование бюджетных средств и средств, полученных из бюджета города в виде субсидий,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16 714,25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4,59%</w:t>
            </w: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не может быть устранено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16 286,39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подлежит устранению,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427,86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val="en-US" w:eastAsia="ru-RU"/>
              </w:rPr>
              <w:t>1.1.2.1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устранено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Неправомерное (нормативно необоснованное) использование бюджетных средств и средств, полученных из бюджета города в виде субсидий,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34 183,54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9,39%</w:t>
            </w: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не может быть 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31 329,26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подлежит устранению, 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2 854,28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1 256,87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Нецелевое использование бюджетных средств и средств, полученных из бюджета города в виде субсидий,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не может быть 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подлежит устранению, 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Недостатки и нарушения учёта и отчётности (бюджетный и бухгалтерский учёт),</w:t>
            </w:r>
            <w:r w:rsidRPr="00EF4C6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F4C69">
              <w:rPr>
                <w:rFonts w:eastAsia="Calibri" w:cs="Times New Roman"/>
                <w:sz w:val="20"/>
                <w:szCs w:val="20"/>
              </w:rPr>
              <w:t>применения бюджетной классификации, в том числе:</w:t>
            </w: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121 491,62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33,37%</w:t>
            </w: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не может быть 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22 303,01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подлежит устранению, 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99 188,61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99 188,61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Не приняты меры для пополнения бюджета,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1 252,41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0,34%</w:t>
            </w: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не может быть 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742,60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подлежит устранению, 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509,81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1.5.2.1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Прочие недостатки и нарушения,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190 484,64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52,31%</w:t>
            </w: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по результатам экспертизы отчёта об исполнении бюджета городского округа город Сургут за 2021 год (не может быть устранено)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в рамках экспертизы проектов решений о внесении изменений в решение о бюджете на 2022-2024 годы (подлежит устранению), 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8 438,46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1.6.2.1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8 438,46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в рамках экспертизы проекта бюджета города на 2023-2025 годы (подлежит устранению), 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118 206,51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1.6.3.1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4 008,94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по другим проверкам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63 839,67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1.6.4.1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не может быть 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63 839,67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1.6.4.2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подлежит устранению, 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1.6.4.3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устранено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8" w:type="dxa"/>
            <w:gridSpan w:val="3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по возможности устранения:</w:t>
            </w: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Недостатки и нарушения, которые не могут быть устранены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134 500,93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36,94%</w:t>
            </w: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Недостатки и нарушения, подлежащие устранению, в том числе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229 625,53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63,06%</w:t>
            </w: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по которым предложено возместить средства в бюджет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1 706,51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0,74%*</w:t>
            </w: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Устранено финансовых недостатков и нарушений, в том числе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112 892,88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49,16%**</w:t>
            </w: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возмещено в бюджет города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172,46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10,11%***</w:t>
            </w: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EF4C69">
              <w:rPr>
                <w:rFonts w:eastAsia="Times New Roman" w:cs="Times New Roman"/>
                <w:b/>
                <w:i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Имущественные (балансовая стоимость имущества, в отношении которого выявлены недостатки и нарушения порядка управления и распоряжения имуществом),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  <w:r w:rsidRPr="00EF4C69">
              <w:rPr>
                <w:rFonts w:eastAsia="Calibri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Calibri" w:cs="Times New Roman"/>
                <w:b/>
                <w:i/>
                <w:sz w:val="20"/>
                <w:szCs w:val="20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Недостатки и нарушения, которые не могут быть устранены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Недостатки и нарушения, подлежащие устранению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F4C69" w:rsidRPr="00EF4C69" w:rsidTr="00EF4C69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Calibri" w:cs="Times New Roman"/>
                <w:sz w:val="20"/>
                <w:szCs w:val="20"/>
              </w:rPr>
              <w:t xml:space="preserve">Устранено недостатков и нарушений в сфере управления и распоряжения имуществом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4C6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69" w:rsidRPr="00EF4C69" w:rsidRDefault="00EF4C69" w:rsidP="00EF4C69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4C69" w:rsidRPr="00EF4C69" w:rsidRDefault="00EF4C69" w:rsidP="00EF4C69">
      <w:pPr>
        <w:ind w:firstLine="709"/>
        <w:rPr>
          <w:rFonts w:eastAsia="Calibri" w:cs="Times New Roman"/>
          <w:szCs w:val="28"/>
        </w:rPr>
      </w:pPr>
      <w:r w:rsidRPr="00EF4C69">
        <w:rPr>
          <w:rFonts w:eastAsia="Times New Roman" w:cs="Times New Roman"/>
          <w:i/>
          <w:szCs w:val="28"/>
          <w:lang w:eastAsia="ru-RU"/>
        </w:rPr>
        <w:t>Пояснения:</w:t>
      </w:r>
      <w:r w:rsidRPr="00EF4C69">
        <w:rPr>
          <w:rFonts w:eastAsia="Times New Roman" w:cs="Times New Roman"/>
          <w:szCs w:val="28"/>
          <w:lang w:eastAsia="ru-RU"/>
        </w:rPr>
        <w:t xml:space="preserve"> </w:t>
      </w:r>
      <w:r w:rsidRPr="00EF4C69">
        <w:rPr>
          <w:rFonts w:eastAsia="Calibri" w:cs="Times New Roman"/>
          <w:szCs w:val="28"/>
        </w:rPr>
        <w:t>* доля нарушений, по которым возможно возмещение средств в бюджет города, в общей сумме нарушений, подлежащих устранению (стр.2.2.1/стр.2.2)*100</w:t>
      </w:r>
      <w:r w:rsidR="00720E77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>%.</w:t>
      </w:r>
    </w:p>
    <w:p w:rsidR="00EF4C69" w:rsidRPr="00EF4C69" w:rsidRDefault="00EF4C69" w:rsidP="00EF4C69">
      <w:pPr>
        <w:ind w:firstLine="709"/>
        <w:rPr>
          <w:rFonts w:eastAsia="Calibri" w:cs="Times New Roman"/>
          <w:szCs w:val="28"/>
        </w:rPr>
      </w:pPr>
      <w:r w:rsidRPr="00EF4C69">
        <w:rPr>
          <w:rFonts w:eastAsia="Calibri" w:cs="Times New Roman"/>
          <w:szCs w:val="28"/>
        </w:rPr>
        <w:t>** процент устранённых нарушений от суммы нарушений, подлежащих устранению (стр.2.3/стр.2.2)*100</w:t>
      </w:r>
      <w:r w:rsidR="00720E77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>%.</w:t>
      </w:r>
    </w:p>
    <w:p w:rsidR="00EF4C69" w:rsidRPr="00EF4C69" w:rsidRDefault="00EF4C69" w:rsidP="00EF4C69">
      <w:pPr>
        <w:ind w:firstLine="709"/>
        <w:rPr>
          <w:rFonts w:eastAsia="Calibri" w:cs="Times New Roman"/>
          <w:szCs w:val="28"/>
        </w:rPr>
      </w:pPr>
      <w:r w:rsidRPr="00EF4C69">
        <w:rPr>
          <w:rFonts w:eastAsia="Calibri" w:cs="Times New Roman"/>
          <w:szCs w:val="28"/>
        </w:rPr>
        <w:t xml:space="preserve">*** процент возмещённых в отчётном году в бюджет города средств </w:t>
      </w:r>
      <w:r w:rsidR="005D7795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>от суммы нарушений, по которым возможно возмещение</w:t>
      </w:r>
      <w:r w:rsidR="005D7795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>(стр.2.3.1/стр.2.2.1)*100</w:t>
      </w:r>
      <w:r w:rsidR="00720E77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>%.</w:t>
      </w:r>
    </w:p>
    <w:p w:rsidR="004E4A44" w:rsidRDefault="004E4A44" w:rsidP="00EF4C69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</w:p>
    <w:p w:rsidR="00EF4C69" w:rsidRPr="00EF4C69" w:rsidRDefault="00EF4C69" w:rsidP="00EF4C69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EF4C69">
        <w:rPr>
          <w:rFonts w:eastAsia="Calibri" w:cs="Times New Roman"/>
          <w:szCs w:val="28"/>
        </w:rPr>
        <w:lastRenderedPageBreak/>
        <w:t xml:space="preserve">Из общей суммы 364 126,46 тыс. рублей финансовые недостатки </w:t>
      </w:r>
      <w:r w:rsidR="005D7795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>и нарушения, которые не могут быть устранены (носят неустранимый характер) составили 134 500,93</w:t>
      </w:r>
      <w:r w:rsidR="004E4A44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>тыс.</w:t>
      </w:r>
      <w:r w:rsidR="004E4A44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>рублей или</w:t>
      </w:r>
      <w:r w:rsidR="004E4A44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>36,94</w:t>
      </w:r>
      <w:r w:rsidR="004E4A44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>%,</w:t>
      </w:r>
      <w:r w:rsidR="004E4A44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>подлежащие устранению – 229 625,53 тыс. рублей или 63,06</w:t>
      </w:r>
      <w:r w:rsidR="004E4A44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>%, в том числе по которым предложено возместить в бюджет города денежные средства – 1 706,51 тыс. рублей.</w:t>
      </w:r>
    </w:p>
    <w:p w:rsidR="00EF4C69" w:rsidRPr="00EF4C69" w:rsidRDefault="00EF4C69" w:rsidP="00EF4C69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EF4C69">
        <w:rPr>
          <w:rFonts w:eastAsia="Calibri" w:cs="Times New Roman"/>
          <w:szCs w:val="28"/>
        </w:rPr>
        <w:t xml:space="preserve">Устранено финансовых недостатков и нарушений по результатам мероприятий, проведённых в 2022 году, на сумму 112 892,88 тыс. рублей, </w:t>
      </w:r>
      <w:r w:rsidR="005D7795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>из них:</w:t>
      </w:r>
    </w:p>
    <w:p w:rsidR="00EF4C69" w:rsidRPr="00EF4C69" w:rsidRDefault="00EF4C69" w:rsidP="00EF4C69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EF4C69">
        <w:rPr>
          <w:rFonts w:eastAsia="Calibri" w:cs="Times New Roman"/>
          <w:szCs w:val="28"/>
        </w:rPr>
        <w:t>103 783,67 тыс. рублей</w:t>
      </w:r>
      <w:r w:rsidR="005D7795">
        <w:rPr>
          <w:rFonts w:eastAsia="Calibri" w:cs="Times New Roman"/>
          <w:szCs w:val="28"/>
        </w:rPr>
        <w:t xml:space="preserve"> – </w:t>
      </w:r>
      <w:r w:rsidRPr="00EF4C69">
        <w:rPr>
          <w:rFonts w:eastAsia="Calibri" w:cs="Times New Roman"/>
          <w:szCs w:val="28"/>
        </w:rPr>
        <w:t>в ходе проведения контрольных и экспертно-аналитических мероприятий;</w:t>
      </w:r>
    </w:p>
    <w:p w:rsidR="00EF4C69" w:rsidRPr="00EF4C69" w:rsidRDefault="00EF4C69" w:rsidP="00EF4C69">
      <w:pPr>
        <w:tabs>
          <w:tab w:val="left" w:pos="993"/>
        </w:tabs>
        <w:ind w:firstLine="709"/>
        <w:rPr>
          <w:rFonts w:eastAsia="Calibri" w:cs="Times New Roman"/>
          <w:color w:val="FF0000"/>
          <w:szCs w:val="28"/>
        </w:rPr>
      </w:pPr>
      <w:r w:rsidRPr="00EF4C69">
        <w:rPr>
          <w:rFonts w:eastAsia="Calibri" w:cs="Times New Roman"/>
          <w:szCs w:val="28"/>
        </w:rPr>
        <w:t>9 109,21 тыс. рублей</w:t>
      </w:r>
      <w:r w:rsidR="005D7795">
        <w:rPr>
          <w:rFonts w:eastAsia="Calibri" w:cs="Times New Roman"/>
          <w:szCs w:val="28"/>
        </w:rPr>
        <w:t xml:space="preserve"> – </w:t>
      </w:r>
      <w:r w:rsidRPr="00EF4C69">
        <w:rPr>
          <w:rFonts w:eastAsia="Calibri" w:cs="Times New Roman"/>
          <w:szCs w:val="28"/>
        </w:rPr>
        <w:t xml:space="preserve">по результатам реализации предложений, отражённых в итоговых документах (заключениях, отчётах, представлениях, предписаниях) по проведённым мероприятиям, в том числе возмещено </w:t>
      </w:r>
      <w:r w:rsidR="005D7795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>в бюджет – 172,46 тыс. рублей.</w:t>
      </w:r>
    </w:p>
    <w:p w:rsidR="00EF4C69" w:rsidRPr="00EF4C69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F4C69">
        <w:rPr>
          <w:rFonts w:eastAsia="Times New Roman" w:cs="Times New Roman"/>
          <w:szCs w:val="28"/>
          <w:lang w:eastAsia="ru-RU"/>
        </w:rPr>
        <w:t xml:space="preserve">В том числе в 2022 году в рамках предварительного контроля </w:t>
      </w:r>
      <w:r w:rsidR="005D7795">
        <w:rPr>
          <w:rFonts w:eastAsia="Times New Roman" w:cs="Times New Roman"/>
          <w:szCs w:val="28"/>
          <w:lang w:eastAsia="ru-RU"/>
        </w:rPr>
        <w:br/>
      </w:r>
      <w:r w:rsidRPr="00EF4C69">
        <w:rPr>
          <w:rFonts w:eastAsia="Times New Roman" w:cs="Times New Roman"/>
          <w:szCs w:val="28"/>
          <w:lang w:eastAsia="ru-RU"/>
        </w:rPr>
        <w:t>по предложениям Контрольно-счетной палаты города Администрацией города уменьшены с последующим перенаправлением (в том числе с учётом предложений главных распорядителей бюджетных средств) на другие статьи или другие объекты бюджетные ассигнования на 2022</w:t>
      </w:r>
      <w:r w:rsidR="005D7795">
        <w:rPr>
          <w:rFonts w:eastAsia="Times New Roman" w:cs="Times New Roman"/>
          <w:szCs w:val="28"/>
          <w:lang w:eastAsia="ru-RU"/>
        </w:rPr>
        <w:t xml:space="preserve"> – </w:t>
      </w:r>
      <w:r w:rsidRPr="00EF4C69">
        <w:rPr>
          <w:rFonts w:eastAsia="Times New Roman" w:cs="Times New Roman"/>
          <w:szCs w:val="28"/>
          <w:lang w:eastAsia="ru-RU"/>
        </w:rPr>
        <w:t>2025 годы в общей сумме 12 447,40 тыс. рублей.</w:t>
      </w:r>
    </w:p>
    <w:p w:rsidR="00EF4C69" w:rsidRPr="00EF4C69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F4C69">
        <w:rPr>
          <w:rFonts w:eastAsia="Times New Roman" w:cs="Times New Roman"/>
          <w:szCs w:val="28"/>
          <w:lang w:eastAsia="ru-RU"/>
        </w:rPr>
        <w:t>По результатам мероприятий предшествующих периодов устранено финансовых недостатков и нарушений на общую сумму</w:t>
      </w:r>
      <w:r w:rsidR="005D7795">
        <w:rPr>
          <w:rFonts w:eastAsia="Times New Roman" w:cs="Times New Roman"/>
          <w:szCs w:val="28"/>
          <w:lang w:eastAsia="ru-RU"/>
        </w:rPr>
        <w:t xml:space="preserve"> </w:t>
      </w:r>
      <w:r w:rsidRPr="00EF4C69">
        <w:rPr>
          <w:rFonts w:eastAsia="Times New Roman" w:cs="Times New Roman"/>
          <w:szCs w:val="28"/>
          <w:lang w:eastAsia="ru-RU"/>
        </w:rPr>
        <w:t xml:space="preserve">69 268,84 тыс. рублей, </w:t>
      </w:r>
      <w:r w:rsidRPr="00EF4C69">
        <w:rPr>
          <w:rFonts w:eastAsia="Calibri" w:cs="Times New Roman"/>
          <w:szCs w:val="28"/>
        </w:rPr>
        <w:t>в том числе возмещено в бюджет города</w:t>
      </w:r>
      <w:r w:rsidR="005D7795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>1</w:t>
      </w:r>
      <w:r w:rsidRPr="00EF4C69">
        <w:rPr>
          <w:rFonts w:eastAsia="Calibri" w:cs="Times New Roman"/>
          <w:szCs w:val="28"/>
          <w:lang w:val="en-US"/>
        </w:rPr>
        <w:t> </w:t>
      </w:r>
      <w:r w:rsidRPr="00EF4C69">
        <w:rPr>
          <w:rFonts w:eastAsia="Calibri" w:cs="Times New Roman"/>
          <w:szCs w:val="28"/>
        </w:rPr>
        <w:t>807,22 тыс. рублей.</w:t>
      </w:r>
    </w:p>
    <w:p w:rsidR="00EF4C69" w:rsidRPr="00EF4C69" w:rsidRDefault="00EF4C69" w:rsidP="00EF4C69">
      <w:pPr>
        <w:ind w:firstLine="709"/>
        <w:rPr>
          <w:rFonts w:eastAsia="Calibri" w:cs="Times New Roman"/>
          <w:szCs w:val="28"/>
        </w:rPr>
      </w:pPr>
      <w:r w:rsidRPr="00EF4C69">
        <w:rPr>
          <w:rFonts w:eastAsia="Calibri" w:cs="Times New Roman"/>
          <w:szCs w:val="28"/>
        </w:rPr>
        <w:t xml:space="preserve">Таким образом, всего в 2022 году устранено финансовых недостатков </w:t>
      </w:r>
      <w:r w:rsidR="005D7795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>и нарушений на общую сумму 182 161,72 тыс. рублей, в том числе возмещено в бюджет города 1 979,68 тыс. рублей.</w:t>
      </w:r>
    </w:p>
    <w:p w:rsidR="00EF4C69" w:rsidRPr="00EF4C69" w:rsidRDefault="00EF4C69" w:rsidP="00EF4C69">
      <w:pPr>
        <w:ind w:firstLine="709"/>
        <w:rPr>
          <w:rFonts w:eastAsia="Times New Roman" w:cs="Times New Roman"/>
          <w:szCs w:val="28"/>
          <w:lang w:eastAsia="ru-RU"/>
        </w:rPr>
      </w:pPr>
      <w:r w:rsidRPr="00EF4C69">
        <w:rPr>
          <w:rFonts w:eastAsia="Times New Roman" w:cs="Times New Roman"/>
          <w:szCs w:val="28"/>
          <w:lang w:eastAsia="ru-RU"/>
        </w:rPr>
        <w:t>По результатам контрольных мероприятий в 2022 году подготовлено 80 предложений по устранению недостатков и нарушений, не имеющих суммового выражения, из которых принято</w:t>
      </w:r>
      <w:r w:rsidR="005D7795">
        <w:rPr>
          <w:rFonts w:eastAsia="Times New Roman" w:cs="Times New Roman"/>
          <w:szCs w:val="28"/>
          <w:lang w:eastAsia="ru-RU"/>
        </w:rPr>
        <w:t xml:space="preserve"> – </w:t>
      </w:r>
      <w:r w:rsidRPr="00EF4C69">
        <w:rPr>
          <w:rFonts w:eastAsia="Times New Roman" w:cs="Times New Roman"/>
          <w:szCs w:val="28"/>
          <w:lang w:eastAsia="ru-RU"/>
        </w:rPr>
        <w:t>31, в том числе реализовано – 22. Для реализации оставшихся 58 предложений</w:t>
      </w:r>
      <w:r w:rsidR="005D7795">
        <w:rPr>
          <w:rFonts w:eastAsia="Times New Roman" w:cs="Times New Roman"/>
          <w:szCs w:val="28"/>
          <w:lang w:eastAsia="ru-RU"/>
        </w:rPr>
        <w:t xml:space="preserve"> </w:t>
      </w:r>
      <w:r w:rsidRPr="00EF4C69">
        <w:rPr>
          <w:rFonts w:eastAsia="Times New Roman" w:cs="Times New Roman"/>
          <w:szCs w:val="28"/>
          <w:lang w:eastAsia="ru-RU"/>
        </w:rPr>
        <w:t xml:space="preserve">требуется время, </w:t>
      </w:r>
      <w:r w:rsidR="005D7795">
        <w:rPr>
          <w:rFonts w:eastAsia="Times New Roman" w:cs="Times New Roman"/>
          <w:szCs w:val="28"/>
          <w:lang w:eastAsia="ru-RU"/>
        </w:rPr>
        <w:br/>
      </w:r>
      <w:r w:rsidRPr="00EF4C69">
        <w:rPr>
          <w:rFonts w:eastAsia="Times New Roman" w:cs="Times New Roman"/>
          <w:szCs w:val="28"/>
          <w:lang w:eastAsia="ru-RU"/>
        </w:rPr>
        <w:t>их исполнение остаётся на контроле.</w:t>
      </w:r>
    </w:p>
    <w:p w:rsidR="00EF4C69" w:rsidRPr="00EF4C69" w:rsidRDefault="00EF4C69" w:rsidP="00EF4C69">
      <w:pPr>
        <w:ind w:firstLine="709"/>
        <w:rPr>
          <w:rFonts w:eastAsia="Calibri" w:cs="Times New Roman"/>
          <w:szCs w:val="28"/>
        </w:rPr>
      </w:pPr>
      <w:r w:rsidRPr="00EF4C69">
        <w:rPr>
          <w:rFonts w:eastAsia="Calibri" w:cs="Times New Roman"/>
          <w:szCs w:val="28"/>
        </w:rPr>
        <w:t xml:space="preserve">В 2022 году исполнены 62 предложения по устранению недостатков </w:t>
      </w:r>
      <w:r w:rsidR="005D7795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>и нарушений, не имеющих суммового выражения по результатам контрольных мероприятий предшествующих периодов.</w:t>
      </w:r>
    </w:p>
    <w:p w:rsidR="00EF4C69" w:rsidRPr="00EF4C69" w:rsidRDefault="00EF4C69" w:rsidP="00EF4C69">
      <w:pPr>
        <w:ind w:firstLine="709"/>
        <w:rPr>
          <w:rFonts w:eastAsia="Calibri" w:cs="Times New Roman"/>
          <w:szCs w:val="28"/>
        </w:rPr>
      </w:pPr>
      <w:r w:rsidRPr="00EF4C69">
        <w:rPr>
          <w:rFonts w:eastAsia="Calibri" w:cs="Times New Roman"/>
          <w:szCs w:val="28"/>
        </w:rPr>
        <w:t xml:space="preserve">По результатам проведения 115 экспертно-аналитических мероприятий подготовлено 249 предложений по устранению недостатков и нарушений </w:t>
      </w:r>
      <w:r w:rsidR="005D7795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 xml:space="preserve">(в основном по проектам муниципальных правовых актов, </w:t>
      </w:r>
      <w:r w:rsidR="005D7795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>а также по муниципальным программам), из которых принято объектами контроля</w:t>
      </w:r>
      <w:r w:rsidR="005D7795">
        <w:rPr>
          <w:rFonts w:eastAsia="Calibri" w:cs="Times New Roman"/>
          <w:szCs w:val="28"/>
        </w:rPr>
        <w:t xml:space="preserve"> – </w:t>
      </w:r>
      <w:r w:rsidRPr="00EF4C69">
        <w:rPr>
          <w:rFonts w:eastAsia="Calibri" w:cs="Times New Roman"/>
          <w:szCs w:val="28"/>
        </w:rPr>
        <w:t xml:space="preserve"> 186 или 74,7%. </w:t>
      </w:r>
    </w:p>
    <w:p w:rsidR="00EF4C69" w:rsidRPr="00EF4C69" w:rsidRDefault="00EF4C69" w:rsidP="00EF4C69">
      <w:pPr>
        <w:ind w:firstLine="709"/>
        <w:rPr>
          <w:rFonts w:eastAsia="Calibri" w:cs="Times New Roman"/>
          <w:szCs w:val="28"/>
        </w:rPr>
      </w:pPr>
      <w:r w:rsidRPr="00EF4C69">
        <w:rPr>
          <w:rFonts w:eastAsia="Calibri" w:cs="Times New Roman"/>
          <w:szCs w:val="28"/>
        </w:rPr>
        <w:t>Из</w:t>
      </w:r>
      <w:r w:rsidR="004E4A44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>63</w:t>
      </w:r>
      <w:r w:rsidR="004E4A44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>оставшихся предложений основную долю составляют</w:t>
      </w:r>
      <w:r w:rsidR="004E4A44">
        <w:rPr>
          <w:rFonts w:eastAsia="Calibri" w:cs="Times New Roman"/>
          <w:szCs w:val="28"/>
        </w:rPr>
        <w:t xml:space="preserve"> </w:t>
      </w:r>
      <w:r w:rsidR="004E4A44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>28</w:t>
      </w:r>
      <w:r w:rsidR="004E4A44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>предложений, сформированных по результатам экспертизы проекта решения Думы города</w:t>
      </w:r>
      <w:r w:rsidR="005D7795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 xml:space="preserve">«О бюджете городского округа Сургут </w:t>
      </w:r>
      <w:r w:rsidR="004E4A44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lastRenderedPageBreak/>
        <w:t>Ханты-Мансийского</w:t>
      </w:r>
      <w:r w:rsidR="004E4A44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>автономного округа – Югры на 2023 год и плановый период 2024</w:t>
      </w:r>
      <w:r w:rsidR="005D7795">
        <w:rPr>
          <w:rFonts w:eastAsia="Calibri" w:cs="Times New Roman"/>
          <w:szCs w:val="28"/>
        </w:rPr>
        <w:t xml:space="preserve"> – </w:t>
      </w:r>
      <w:r w:rsidRPr="00EF4C69">
        <w:rPr>
          <w:rFonts w:eastAsia="Calibri" w:cs="Times New Roman"/>
          <w:szCs w:val="28"/>
        </w:rPr>
        <w:t xml:space="preserve">2025 годов», срок предоставления информации </w:t>
      </w:r>
      <w:r w:rsidR="004E4A44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>о рассмотрении и реализации которых не наступил (</w:t>
      </w:r>
      <w:r w:rsidRPr="00EF4C69">
        <w:rPr>
          <w:rFonts w:eastAsia="Batang" w:cs="Times New Roman"/>
          <w:szCs w:val="28"/>
        </w:rPr>
        <w:t>15.02.2023</w:t>
      </w:r>
      <w:r w:rsidRPr="00EF4C69">
        <w:rPr>
          <w:rFonts w:eastAsia="Calibri" w:cs="Times New Roman"/>
          <w:szCs w:val="28"/>
        </w:rPr>
        <w:t xml:space="preserve">), а также </w:t>
      </w:r>
      <w:r w:rsidR="00B35269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>10</w:t>
      </w:r>
      <w:r w:rsidR="004E4A44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 xml:space="preserve">предложений, не принятые по результатам экспертизы 11 муниципальных программ (в том числе предложения, направленные на доработку (корректировку) программных мероприятий и характеризующих </w:t>
      </w:r>
      <w:r w:rsidR="00B35269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 xml:space="preserve">их реализацию показателей, а также по приведению муниципальных программ в соответствие стратегическим документам города и требованиям, установленным </w:t>
      </w:r>
      <w:r w:rsidRPr="004E4A44">
        <w:rPr>
          <w:rFonts w:eastAsia="Calibri" w:cs="Times New Roman"/>
          <w:szCs w:val="28"/>
        </w:rPr>
        <w:t xml:space="preserve">Порядком </w:t>
      </w:r>
      <w:r w:rsidR="004E4A44" w:rsidRPr="004E4A44">
        <w:rPr>
          <w:rFonts w:eastAsia="Calibri" w:cs="Times New Roman"/>
          <w:szCs w:val="28"/>
        </w:rPr>
        <w:t xml:space="preserve">принятия решений о разработке, формировании </w:t>
      </w:r>
      <w:r w:rsidR="00B35269">
        <w:rPr>
          <w:rFonts w:eastAsia="Calibri" w:cs="Times New Roman"/>
          <w:szCs w:val="28"/>
        </w:rPr>
        <w:br/>
      </w:r>
      <w:r w:rsidR="004E4A44" w:rsidRPr="004E4A44">
        <w:rPr>
          <w:rFonts w:eastAsia="Calibri" w:cs="Times New Roman"/>
          <w:szCs w:val="28"/>
        </w:rPr>
        <w:t xml:space="preserve">и реализации муниципальных программ городского округа Сургут </w:t>
      </w:r>
      <w:r w:rsidR="00B35269">
        <w:rPr>
          <w:rFonts w:eastAsia="Calibri" w:cs="Times New Roman"/>
          <w:szCs w:val="28"/>
        </w:rPr>
        <w:br/>
      </w:r>
      <w:r w:rsidR="004E4A44" w:rsidRPr="004E4A44">
        <w:rPr>
          <w:rFonts w:eastAsia="Calibri" w:cs="Times New Roman"/>
          <w:szCs w:val="28"/>
        </w:rPr>
        <w:t>Ханты-Мансийского автономного округа</w:t>
      </w:r>
      <w:r w:rsidR="00B35269">
        <w:rPr>
          <w:rFonts w:eastAsia="Calibri" w:cs="Times New Roman"/>
          <w:szCs w:val="28"/>
        </w:rPr>
        <w:t xml:space="preserve"> </w:t>
      </w:r>
      <w:r w:rsidR="004E4A44" w:rsidRPr="004E4A44">
        <w:rPr>
          <w:rFonts w:eastAsia="Calibri" w:cs="Times New Roman"/>
          <w:szCs w:val="28"/>
        </w:rPr>
        <w:t>–</w:t>
      </w:r>
      <w:r w:rsidR="00B35269">
        <w:rPr>
          <w:rFonts w:eastAsia="Calibri" w:cs="Times New Roman"/>
          <w:szCs w:val="28"/>
        </w:rPr>
        <w:t xml:space="preserve"> </w:t>
      </w:r>
      <w:r w:rsidR="004E4A44" w:rsidRPr="004E4A44">
        <w:rPr>
          <w:rFonts w:eastAsia="Calibri" w:cs="Times New Roman"/>
          <w:szCs w:val="28"/>
        </w:rPr>
        <w:t>Югры, утверждённым постановлением Администрации города от 17.07.2013 № 5159)</w:t>
      </w:r>
      <w:r w:rsidR="004E4A44">
        <w:rPr>
          <w:rFonts w:eastAsia="Calibri" w:cs="Times New Roman"/>
          <w:szCs w:val="28"/>
        </w:rPr>
        <w:t>.</w:t>
      </w:r>
      <w:r w:rsidR="00B35269">
        <w:rPr>
          <w:rFonts w:eastAsia="Calibri" w:cs="Times New Roman"/>
          <w:szCs w:val="28"/>
        </w:rPr>
        <w:t xml:space="preserve"> </w:t>
      </w:r>
      <w:r w:rsidR="00B35269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>6</w:t>
      </w:r>
      <w:r w:rsidR="00B35269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>предложений, сформированных по результатам экспертизы 3</w:t>
      </w:r>
      <w:r w:rsidR="00B35269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 xml:space="preserve">проектов муниципальных правовых актов, не были реализованы, в связи с тем, </w:t>
      </w:r>
      <w:r w:rsidR="00B35269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 xml:space="preserve">что проекты муниципальных правовых актов отклонены в целом </w:t>
      </w:r>
      <w:r w:rsidR="00B35269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>или отозваны по различным основаниям (исключены</w:t>
      </w:r>
      <w:r w:rsidR="00B35269">
        <w:rPr>
          <w:rFonts w:eastAsia="Calibri" w:cs="Times New Roman"/>
          <w:szCs w:val="28"/>
        </w:rPr>
        <w:t xml:space="preserve"> </w:t>
      </w:r>
      <w:r w:rsidRPr="00EF4C69">
        <w:rPr>
          <w:rFonts w:eastAsia="Calibri" w:cs="Times New Roman"/>
          <w:szCs w:val="28"/>
        </w:rPr>
        <w:t xml:space="preserve">из повестки заседания Думы города). </w:t>
      </w:r>
      <w:r w:rsidR="00B35269">
        <w:rPr>
          <w:rFonts w:eastAsia="Calibri" w:cs="Times New Roman"/>
          <w:szCs w:val="28"/>
        </w:rPr>
        <w:t xml:space="preserve"> </w:t>
      </w:r>
    </w:p>
    <w:p w:rsidR="00EF4C69" w:rsidRPr="00EF4C69" w:rsidRDefault="00EF4C69" w:rsidP="00EF4C69">
      <w:pPr>
        <w:ind w:firstLine="708"/>
        <w:rPr>
          <w:rFonts w:eastAsia="Times New Roman" w:cs="Times New Roman"/>
          <w:szCs w:val="28"/>
        </w:rPr>
      </w:pPr>
      <w:r w:rsidRPr="00EF4C69">
        <w:rPr>
          <w:rFonts w:eastAsia="Times New Roman" w:cs="Times New Roman"/>
          <w:szCs w:val="28"/>
        </w:rPr>
        <w:t xml:space="preserve">Формирование предложений КСП направлено не только на устранение, но и на предотвращение возможных нарушений законодательства. </w:t>
      </w:r>
      <w:r w:rsidR="005D7795">
        <w:rPr>
          <w:rFonts w:eastAsia="Times New Roman" w:cs="Times New Roman"/>
          <w:szCs w:val="28"/>
        </w:rPr>
        <w:br/>
      </w:r>
      <w:r w:rsidRPr="00EF4C69">
        <w:rPr>
          <w:rFonts w:eastAsia="Times New Roman" w:cs="Times New Roman"/>
          <w:szCs w:val="28"/>
        </w:rPr>
        <w:t xml:space="preserve">По </w:t>
      </w:r>
      <w:r w:rsidRPr="00EF4C69">
        <w:rPr>
          <w:rFonts w:eastAsia="Calibri" w:cs="Times New Roman"/>
          <w:szCs w:val="28"/>
        </w:rPr>
        <w:t xml:space="preserve">предложениям, отражённым в отчёте по результатам экспертно-аналитического мероприятия «Анализ результативности использования средств, предоставленных управляющим компаниям из бюджета города </w:t>
      </w:r>
      <w:r w:rsidR="005D7795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 xml:space="preserve">в 2022 году в виде субсидии на выполнение мероприятия «Благоустройство дворовых территорий» в рамках реализации муниципальной программы «Формирование комфортной городской среды на период до 2030 года» </w:t>
      </w:r>
      <w:r w:rsidR="005D7795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 xml:space="preserve">в составе регионального проекта «Формирование комфортной городской среды», направленного на реализацию национального проекта «Жильё </w:t>
      </w:r>
      <w:r w:rsidR="005D7795">
        <w:rPr>
          <w:rFonts w:eastAsia="Calibri" w:cs="Times New Roman"/>
          <w:szCs w:val="28"/>
        </w:rPr>
        <w:br/>
      </w:r>
      <w:r w:rsidRPr="00EF4C69">
        <w:rPr>
          <w:rFonts w:eastAsia="Calibri" w:cs="Times New Roman"/>
          <w:szCs w:val="28"/>
        </w:rPr>
        <w:t xml:space="preserve">и городская среда» (выборочно)», Администрацией города и управляющими компаниями приняты соответствующие меры, </w:t>
      </w:r>
      <w:r w:rsidRPr="00EF4C69">
        <w:rPr>
          <w:rFonts w:eastAsia="Times New Roman" w:cs="Times New Roman"/>
          <w:szCs w:val="28"/>
        </w:rPr>
        <w:t>что способствовало предотвращению финансовых нарушений на общую сумму 13 426,64 тыс. рублей (не учтено в общей сумме нарушений и недостатков).</w:t>
      </w:r>
    </w:p>
    <w:p w:rsidR="00EF4C69" w:rsidRPr="00EF4C69" w:rsidRDefault="00EF4C69" w:rsidP="00EF4C69">
      <w:pPr>
        <w:ind w:firstLine="709"/>
        <w:rPr>
          <w:rFonts w:eastAsia="Times New Roman" w:cs="Times New Roman"/>
          <w:szCs w:val="28"/>
        </w:rPr>
      </w:pPr>
      <w:r w:rsidRPr="00EF4C69">
        <w:rPr>
          <w:rFonts w:eastAsia="Times New Roman" w:cs="Times New Roman"/>
          <w:szCs w:val="28"/>
        </w:rPr>
        <w:t xml:space="preserve">По результатам проведённых в 2022 году 1 контрольного </w:t>
      </w:r>
      <w:r w:rsidR="005D7795">
        <w:rPr>
          <w:rFonts w:eastAsia="Times New Roman" w:cs="Times New Roman"/>
          <w:szCs w:val="28"/>
        </w:rPr>
        <w:br/>
      </w:r>
      <w:r w:rsidRPr="00EF4C69">
        <w:rPr>
          <w:rFonts w:eastAsia="Times New Roman" w:cs="Times New Roman"/>
          <w:szCs w:val="28"/>
        </w:rPr>
        <w:t>и 1 экспертно-аналитического мероприятий направлены 1</w:t>
      </w:r>
      <w:r w:rsidR="00B35269">
        <w:rPr>
          <w:rFonts w:eastAsia="Times New Roman" w:cs="Times New Roman"/>
          <w:szCs w:val="28"/>
        </w:rPr>
        <w:t xml:space="preserve"> </w:t>
      </w:r>
      <w:r w:rsidRPr="00EF4C69">
        <w:rPr>
          <w:rFonts w:eastAsia="Times New Roman" w:cs="Times New Roman"/>
          <w:szCs w:val="28"/>
        </w:rPr>
        <w:t xml:space="preserve">представление </w:t>
      </w:r>
      <w:r w:rsidR="005D7795">
        <w:rPr>
          <w:rFonts w:eastAsia="Times New Roman" w:cs="Times New Roman"/>
          <w:szCs w:val="28"/>
        </w:rPr>
        <w:br/>
      </w:r>
      <w:r w:rsidRPr="00EF4C69">
        <w:rPr>
          <w:rFonts w:eastAsia="Times New Roman" w:cs="Times New Roman"/>
          <w:szCs w:val="28"/>
        </w:rPr>
        <w:t>и 3</w:t>
      </w:r>
      <w:r w:rsidR="00B35269">
        <w:rPr>
          <w:rFonts w:eastAsia="Times New Roman" w:cs="Times New Roman"/>
          <w:szCs w:val="28"/>
        </w:rPr>
        <w:t xml:space="preserve"> </w:t>
      </w:r>
      <w:r w:rsidRPr="00EF4C69">
        <w:rPr>
          <w:rFonts w:eastAsia="Times New Roman" w:cs="Times New Roman"/>
          <w:szCs w:val="28"/>
        </w:rPr>
        <w:t>предписания, из которых на момент подготовки настоящего отчёта полностью исполнены 3</w:t>
      </w:r>
      <w:r w:rsidR="00B35269">
        <w:rPr>
          <w:rFonts w:eastAsia="Times New Roman" w:cs="Times New Roman"/>
          <w:szCs w:val="28"/>
        </w:rPr>
        <w:t xml:space="preserve"> </w:t>
      </w:r>
      <w:r w:rsidRPr="00EF4C69">
        <w:rPr>
          <w:rFonts w:eastAsia="Times New Roman" w:cs="Times New Roman"/>
          <w:szCs w:val="28"/>
        </w:rPr>
        <w:t xml:space="preserve">предписания, представление исполнено частично </w:t>
      </w:r>
      <w:r w:rsidR="005D7795">
        <w:rPr>
          <w:rFonts w:eastAsia="Times New Roman" w:cs="Times New Roman"/>
          <w:szCs w:val="28"/>
        </w:rPr>
        <w:br/>
      </w:r>
      <w:r w:rsidRPr="00EF4C69">
        <w:rPr>
          <w:rFonts w:eastAsia="Times New Roman" w:cs="Times New Roman"/>
          <w:szCs w:val="28"/>
        </w:rPr>
        <w:t>и остаётся на контроле.</w:t>
      </w:r>
      <w:r w:rsidR="00B35269">
        <w:rPr>
          <w:rFonts w:eastAsia="Times New Roman" w:cs="Times New Roman"/>
          <w:szCs w:val="28"/>
        </w:rPr>
        <w:t xml:space="preserve"> </w:t>
      </w:r>
    </w:p>
    <w:p w:rsidR="00EF4C69" w:rsidRPr="00EF4C69" w:rsidRDefault="00EF4C69" w:rsidP="00EF4C69">
      <w:pPr>
        <w:ind w:firstLine="709"/>
        <w:rPr>
          <w:rFonts w:eastAsia="Times New Roman" w:cs="Times New Roman"/>
          <w:szCs w:val="28"/>
          <w:lang w:eastAsia="ru-RU"/>
        </w:rPr>
      </w:pPr>
      <w:r w:rsidRPr="00EF4C69">
        <w:rPr>
          <w:rFonts w:eastAsia="Times New Roman" w:cs="Times New Roman"/>
          <w:szCs w:val="28"/>
          <w:lang w:eastAsia="ru-RU"/>
        </w:rPr>
        <w:t>На основании заключенного соглашения в Прокуратуру города Сургута направлены 127</w:t>
      </w:r>
      <w:r w:rsidR="00B35269">
        <w:rPr>
          <w:rFonts w:eastAsia="Times New Roman" w:cs="Times New Roman"/>
          <w:szCs w:val="28"/>
          <w:lang w:eastAsia="ru-RU"/>
        </w:rPr>
        <w:t xml:space="preserve"> </w:t>
      </w:r>
      <w:r w:rsidRPr="00EF4C69">
        <w:rPr>
          <w:rFonts w:eastAsia="Times New Roman" w:cs="Times New Roman"/>
          <w:szCs w:val="28"/>
          <w:lang w:eastAsia="ru-RU"/>
        </w:rPr>
        <w:t>итоговых документов (с приложениями) о результатах контрольных и экспертно-аналитических мероприятий.</w:t>
      </w:r>
    </w:p>
    <w:p w:rsidR="00EF4C69" w:rsidRPr="00EF4C69" w:rsidRDefault="00EF4C69" w:rsidP="005D7795">
      <w:pPr>
        <w:widowControl w:val="0"/>
        <w:ind w:firstLine="709"/>
        <w:rPr>
          <w:rFonts w:eastAsia="Times New Roman" w:cs="Times New Roman"/>
          <w:szCs w:val="28"/>
        </w:rPr>
      </w:pPr>
      <w:r w:rsidRPr="00EF4C69">
        <w:rPr>
          <w:rFonts w:eastAsia="Times New Roman" w:cs="Times New Roman"/>
          <w:szCs w:val="28"/>
        </w:rPr>
        <w:t>В 2022 отчётном году к должностным лицам объектов проверок применялись меры дисциплинарного характера, в том числе:</w:t>
      </w:r>
    </w:p>
    <w:p w:rsidR="00EF4C69" w:rsidRPr="00EF4C69" w:rsidRDefault="00EF4C69" w:rsidP="005D7795">
      <w:pPr>
        <w:widowControl w:val="0"/>
        <w:ind w:firstLine="709"/>
        <w:rPr>
          <w:rFonts w:eastAsia="Times New Roman" w:cs="Times New Roman"/>
          <w:szCs w:val="28"/>
        </w:rPr>
      </w:pPr>
      <w:r w:rsidRPr="00EF4C69">
        <w:rPr>
          <w:rFonts w:eastAsia="Times New Roman" w:cs="Times New Roman"/>
          <w:szCs w:val="28"/>
        </w:rPr>
        <w:t xml:space="preserve">по итогам экспертно-аналитического мероприятия, проведенного </w:t>
      </w:r>
      <w:r w:rsidR="005D7795">
        <w:rPr>
          <w:rFonts w:eastAsia="Times New Roman" w:cs="Times New Roman"/>
          <w:szCs w:val="28"/>
        </w:rPr>
        <w:br/>
      </w:r>
      <w:r w:rsidRPr="00EF4C69">
        <w:rPr>
          <w:rFonts w:eastAsia="Times New Roman" w:cs="Times New Roman"/>
          <w:szCs w:val="28"/>
        </w:rPr>
        <w:t>в отчетном году, объявлены 2</w:t>
      </w:r>
      <w:r w:rsidR="00B35269">
        <w:rPr>
          <w:rFonts w:eastAsia="Times New Roman" w:cs="Times New Roman"/>
          <w:szCs w:val="28"/>
        </w:rPr>
        <w:t xml:space="preserve"> </w:t>
      </w:r>
      <w:r w:rsidRPr="00EF4C69">
        <w:rPr>
          <w:rFonts w:eastAsia="Times New Roman" w:cs="Times New Roman"/>
          <w:szCs w:val="28"/>
        </w:rPr>
        <w:t>замечания.</w:t>
      </w:r>
    </w:p>
    <w:p w:rsidR="005D7795" w:rsidRDefault="00EF4C69" w:rsidP="005D7795">
      <w:pPr>
        <w:widowControl w:val="0"/>
        <w:ind w:firstLine="709"/>
        <w:rPr>
          <w:rFonts w:eastAsia="Times New Roman" w:cs="Times New Roman"/>
          <w:szCs w:val="28"/>
        </w:rPr>
      </w:pPr>
      <w:r w:rsidRPr="00EF4C69">
        <w:rPr>
          <w:rFonts w:eastAsia="Times New Roman" w:cs="Times New Roman"/>
          <w:szCs w:val="28"/>
        </w:rPr>
        <w:t xml:space="preserve">Контрольно-счетной палатой города в отчетном периоде направлено </w:t>
      </w:r>
      <w:r w:rsidR="00B35269">
        <w:rPr>
          <w:rFonts w:eastAsia="Times New Roman" w:cs="Times New Roman"/>
          <w:szCs w:val="28"/>
        </w:rPr>
        <w:br/>
      </w:r>
      <w:r w:rsidRPr="00EF4C69">
        <w:rPr>
          <w:rFonts w:eastAsia="Times New Roman" w:cs="Times New Roman"/>
          <w:szCs w:val="28"/>
        </w:rPr>
        <w:lastRenderedPageBreak/>
        <w:t>5</w:t>
      </w:r>
      <w:r w:rsidR="00B35269">
        <w:rPr>
          <w:rFonts w:eastAsia="Times New Roman" w:cs="Times New Roman"/>
          <w:szCs w:val="28"/>
        </w:rPr>
        <w:t xml:space="preserve"> </w:t>
      </w:r>
      <w:r w:rsidRPr="00EF4C69">
        <w:rPr>
          <w:rFonts w:eastAsia="Times New Roman" w:cs="Times New Roman"/>
          <w:szCs w:val="28"/>
        </w:rPr>
        <w:t>протоколов об административ</w:t>
      </w:r>
      <w:r w:rsidR="00720E77">
        <w:rPr>
          <w:rFonts w:eastAsia="Times New Roman" w:cs="Times New Roman"/>
          <w:szCs w:val="28"/>
        </w:rPr>
        <w:t xml:space="preserve">ных правонарушениях, виновность </w:t>
      </w:r>
      <w:r w:rsidRPr="00EF4C69">
        <w:rPr>
          <w:rFonts w:eastAsia="Times New Roman" w:cs="Times New Roman"/>
          <w:szCs w:val="28"/>
        </w:rPr>
        <w:t>должностных лиц по ним полностью доказана, в том числе:</w:t>
      </w:r>
      <w:r w:rsidR="005D7795">
        <w:rPr>
          <w:rFonts w:eastAsia="Times New Roman" w:cs="Times New Roman"/>
          <w:szCs w:val="28"/>
        </w:rPr>
        <w:t xml:space="preserve"> </w:t>
      </w:r>
    </w:p>
    <w:p w:rsidR="00EF4C69" w:rsidRPr="00EF4C69" w:rsidRDefault="00EF4C69" w:rsidP="005D7795">
      <w:pPr>
        <w:widowControl w:val="0"/>
        <w:ind w:firstLine="709"/>
        <w:rPr>
          <w:rFonts w:eastAsia="Times New Roman" w:cs="Times New Roman"/>
          <w:szCs w:val="28"/>
        </w:rPr>
      </w:pPr>
      <w:r w:rsidRPr="00EF4C69">
        <w:rPr>
          <w:rFonts w:eastAsia="Times New Roman" w:cs="Times New Roman"/>
          <w:szCs w:val="28"/>
        </w:rPr>
        <w:t>по трём протоколам</w:t>
      </w:r>
      <w:r w:rsidRPr="00EF4C69">
        <w:rPr>
          <w:rFonts w:eastAsia="Calibri" w:cs="Times New Roman"/>
          <w:szCs w:val="28"/>
          <w:vertAlign w:val="superscript"/>
        </w:rPr>
        <w:footnoteReference w:id="15"/>
      </w:r>
      <w:r w:rsidRPr="00EF4C69">
        <w:rPr>
          <w:rFonts w:eastAsia="Times New Roman" w:cs="Times New Roman"/>
          <w:szCs w:val="28"/>
        </w:rPr>
        <w:t xml:space="preserve"> мировым судом дела объединены в одно производство, действия должностного лица квалифицированы по статье 15.15.15 КРФоАП</w:t>
      </w:r>
      <w:r w:rsidRPr="00EF4C69">
        <w:rPr>
          <w:rFonts w:eastAsia="Times New Roman" w:cs="Times New Roman"/>
          <w:szCs w:val="28"/>
          <w:vertAlign w:val="superscript"/>
        </w:rPr>
        <w:footnoteReference w:id="16"/>
      </w:r>
      <w:r w:rsidRPr="00EF4C69">
        <w:rPr>
          <w:rFonts w:eastAsia="Times New Roman" w:cs="Times New Roman"/>
          <w:szCs w:val="28"/>
        </w:rPr>
        <w:t xml:space="preserve">, в связи с малозначительностью совершенного правонарушения объявлено устное замечание в соответствии со статьёй </w:t>
      </w:r>
      <w:r w:rsidR="005D2E11">
        <w:rPr>
          <w:rFonts w:eastAsia="Times New Roman" w:cs="Times New Roman"/>
          <w:szCs w:val="28"/>
        </w:rPr>
        <w:br/>
      </w:r>
      <w:r w:rsidRPr="00EF4C69">
        <w:rPr>
          <w:rFonts w:eastAsia="Times New Roman" w:cs="Times New Roman"/>
          <w:szCs w:val="28"/>
        </w:rPr>
        <w:t>2.9 КРФоАП;</w:t>
      </w:r>
    </w:p>
    <w:p w:rsidR="00EF4C69" w:rsidRPr="00EF4C69" w:rsidRDefault="00EF4C69" w:rsidP="005D7795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EF4C69">
        <w:rPr>
          <w:rFonts w:eastAsia="Times New Roman" w:cs="Times New Roman"/>
          <w:szCs w:val="28"/>
        </w:rPr>
        <w:t>по двум протоколам</w:t>
      </w:r>
      <w:r w:rsidRPr="00EF4C69">
        <w:rPr>
          <w:rFonts w:eastAsia="Times New Roman" w:cs="Times New Roman"/>
          <w:szCs w:val="28"/>
          <w:vertAlign w:val="superscript"/>
        </w:rPr>
        <w:footnoteReference w:id="17"/>
      </w:r>
      <w:r w:rsidRPr="00EF4C69">
        <w:rPr>
          <w:rFonts w:eastAsia="Times New Roman" w:cs="Times New Roman"/>
          <w:szCs w:val="28"/>
        </w:rPr>
        <w:t xml:space="preserve"> мировым судом дела объединены в одно производство, д</w:t>
      </w:r>
      <w:r w:rsidRPr="00EF4C69">
        <w:rPr>
          <w:rFonts w:eastAsia="Times New Roman" w:cs="Times New Roman"/>
          <w:szCs w:val="28"/>
          <w:lang w:eastAsia="ru-RU"/>
        </w:rPr>
        <w:t xml:space="preserve">ействия </w:t>
      </w:r>
      <w:r w:rsidRPr="00EF4C69">
        <w:rPr>
          <w:rFonts w:eastAsia="Times New Roman" w:cs="Times New Roman"/>
          <w:szCs w:val="28"/>
        </w:rPr>
        <w:t xml:space="preserve">должностного лица </w:t>
      </w:r>
      <w:r w:rsidRPr="00EF4C69">
        <w:rPr>
          <w:rFonts w:eastAsia="Times New Roman" w:cs="Times New Roman"/>
          <w:szCs w:val="28"/>
          <w:lang w:eastAsia="ru-RU"/>
        </w:rPr>
        <w:t xml:space="preserve">квалифицированы по статье 15.15.15 КРФоАП, назначено наказание в виде штрафа в размере </w:t>
      </w:r>
      <w:r w:rsidR="005D2E11">
        <w:rPr>
          <w:rFonts w:eastAsia="Times New Roman" w:cs="Times New Roman"/>
          <w:szCs w:val="28"/>
          <w:lang w:eastAsia="ru-RU"/>
        </w:rPr>
        <w:br/>
      </w:r>
      <w:r w:rsidRPr="00EF4C69">
        <w:rPr>
          <w:rFonts w:eastAsia="Times New Roman" w:cs="Times New Roman"/>
          <w:szCs w:val="28"/>
          <w:lang w:eastAsia="ru-RU"/>
        </w:rPr>
        <w:t xml:space="preserve">10,00 тыс. рублей, который зачислен в местный бюджет в соответствии </w:t>
      </w:r>
      <w:r w:rsidR="005D2E11">
        <w:rPr>
          <w:rFonts w:eastAsia="Times New Roman" w:cs="Times New Roman"/>
          <w:szCs w:val="28"/>
          <w:lang w:eastAsia="ru-RU"/>
        </w:rPr>
        <w:br/>
      </w:r>
      <w:r w:rsidRPr="00EF4C69">
        <w:rPr>
          <w:rFonts w:eastAsia="Times New Roman" w:cs="Times New Roman"/>
          <w:szCs w:val="28"/>
          <w:lang w:eastAsia="ru-RU"/>
        </w:rPr>
        <w:t>со статьёй 46 БК РФ.</w:t>
      </w:r>
    </w:p>
    <w:p w:rsidR="00EF4C69" w:rsidRPr="00EF4C69" w:rsidRDefault="00EF4C69" w:rsidP="00EF4C69">
      <w:pPr>
        <w:ind w:firstLine="708"/>
        <w:rPr>
          <w:rFonts w:eastAsia="Calibri" w:cs="Times New Roman"/>
          <w:szCs w:val="28"/>
        </w:rPr>
      </w:pPr>
      <w:r w:rsidRPr="00EF4C69">
        <w:rPr>
          <w:rFonts w:eastAsia="Times New Roman" w:cs="Times New Roman"/>
          <w:szCs w:val="28"/>
          <w:lang w:eastAsia="ru-RU"/>
        </w:rPr>
        <w:t xml:space="preserve">Согласно информации Прокуратуры города Сургута от 23.01.2023 </w:t>
      </w:r>
      <w:r w:rsidR="005D2E11">
        <w:rPr>
          <w:rFonts w:eastAsia="Times New Roman" w:cs="Times New Roman"/>
          <w:szCs w:val="28"/>
          <w:lang w:eastAsia="ru-RU"/>
        </w:rPr>
        <w:br/>
      </w:r>
      <w:r w:rsidRPr="00EF4C69">
        <w:rPr>
          <w:rFonts w:eastAsia="Times New Roman" w:cs="Times New Roman"/>
          <w:szCs w:val="28"/>
          <w:lang w:eastAsia="ru-RU"/>
        </w:rPr>
        <w:t>№ 07-04-2023 п</w:t>
      </w:r>
      <w:r w:rsidRPr="00EF4C69">
        <w:rPr>
          <w:rFonts w:eastAsia="Calibri" w:cs="Times New Roman"/>
          <w:szCs w:val="28"/>
        </w:rPr>
        <w:t>о результатам анализа материалов проверок, направленных Контрольно-счетной палатой города, возбуждено 3 административных производства.</w:t>
      </w:r>
    </w:p>
    <w:p w:rsidR="00EF4C69" w:rsidRPr="00EF4C69" w:rsidRDefault="00EF4C69" w:rsidP="00EF4C69">
      <w:pPr>
        <w:ind w:firstLine="709"/>
        <w:rPr>
          <w:rFonts w:eastAsia="Calibri" w:cs="Times New Roman"/>
          <w:color w:val="FF0000"/>
          <w:szCs w:val="28"/>
        </w:rPr>
      </w:pPr>
    </w:p>
    <w:p w:rsidR="00EF4C69" w:rsidRPr="00EF4C69" w:rsidRDefault="00EF4C69" w:rsidP="00EF4C6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Times New Roman"/>
          <w:bCs/>
          <w:szCs w:val="28"/>
        </w:rPr>
      </w:pPr>
      <w:r w:rsidRPr="00EF4C69">
        <w:rPr>
          <w:rFonts w:eastAsia="Calibri" w:cs="Times New Roman"/>
          <w:bCs/>
          <w:szCs w:val="28"/>
        </w:rPr>
        <w:t>Информационная, методологическая и прочая деятельность</w:t>
      </w:r>
    </w:p>
    <w:p w:rsidR="00EF4C69" w:rsidRPr="00EF4C69" w:rsidRDefault="00EF4C69" w:rsidP="00EF4C6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Times New Roman"/>
          <w:bCs/>
          <w:szCs w:val="28"/>
        </w:rPr>
      </w:pPr>
    </w:p>
    <w:p w:rsidR="00EF4C69" w:rsidRPr="00EF4C69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F4C69">
        <w:rPr>
          <w:rFonts w:eastAsia="Calibri" w:cs="Times New Roman"/>
          <w:bCs/>
          <w:szCs w:val="28"/>
        </w:rPr>
        <w:t xml:space="preserve">В отчетном периоде продолжена работа по приведению муниципальных правовых актов в соответствие с изменениями Федерального закона от 07.02.2011 № 6-ФЗ «Об общих принципах организации </w:t>
      </w:r>
      <w:r w:rsidR="005D2E11">
        <w:rPr>
          <w:rFonts w:eastAsia="Calibri" w:cs="Times New Roman"/>
          <w:bCs/>
          <w:szCs w:val="28"/>
        </w:rPr>
        <w:br/>
      </w:r>
      <w:r w:rsidRPr="00EF4C69">
        <w:rPr>
          <w:rFonts w:eastAsia="Calibri" w:cs="Times New Roman"/>
          <w:bCs/>
          <w:szCs w:val="28"/>
        </w:rPr>
        <w:t>и деятельности контрольно-счетных органов субъектов Российской Федерации и муниципальных образований», Закона Ханты-Мансийского автономного</w:t>
      </w:r>
      <w:r w:rsidR="005D2E11">
        <w:rPr>
          <w:rFonts w:eastAsia="Calibri" w:cs="Times New Roman"/>
          <w:bCs/>
          <w:szCs w:val="28"/>
        </w:rPr>
        <w:t xml:space="preserve"> – </w:t>
      </w:r>
      <w:r w:rsidRPr="00EF4C69">
        <w:rPr>
          <w:rFonts w:eastAsia="Calibri" w:cs="Times New Roman"/>
          <w:bCs/>
          <w:szCs w:val="28"/>
        </w:rPr>
        <w:t xml:space="preserve">Югры от 10.04.2012 № 38-оз «О регулировании </w:t>
      </w:r>
      <w:r w:rsidR="00720E77">
        <w:rPr>
          <w:rFonts w:eastAsia="Calibri" w:cs="Times New Roman"/>
          <w:bCs/>
          <w:szCs w:val="28"/>
        </w:rPr>
        <w:br/>
      </w:r>
      <w:r w:rsidRPr="00EF4C69">
        <w:rPr>
          <w:rFonts w:eastAsia="Calibri" w:cs="Times New Roman"/>
          <w:bCs/>
          <w:szCs w:val="28"/>
        </w:rPr>
        <w:t>отдельных вопросов организации и деятельности контрольно-счетных органов муниципальных образований Ханты-Мансийского автономного округ</w:t>
      </w:r>
      <w:r w:rsidR="005D2E11">
        <w:rPr>
          <w:rFonts w:eastAsia="Calibri" w:cs="Times New Roman"/>
          <w:bCs/>
          <w:szCs w:val="28"/>
        </w:rPr>
        <w:t>а</w:t>
      </w:r>
      <w:r w:rsidR="00720E77">
        <w:rPr>
          <w:rFonts w:eastAsia="Calibri" w:cs="Times New Roman"/>
          <w:bCs/>
          <w:szCs w:val="28"/>
        </w:rPr>
        <w:t xml:space="preserve"> </w:t>
      </w:r>
      <w:r w:rsidR="005D2E11">
        <w:rPr>
          <w:rFonts w:eastAsia="Calibri" w:cs="Times New Roman"/>
          <w:bCs/>
          <w:szCs w:val="28"/>
        </w:rPr>
        <w:t>–</w:t>
      </w:r>
      <w:r w:rsidR="00720E77">
        <w:rPr>
          <w:rFonts w:eastAsia="Calibri" w:cs="Times New Roman"/>
          <w:bCs/>
          <w:szCs w:val="28"/>
        </w:rPr>
        <w:t xml:space="preserve"> </w:t>
      </w:r>
      <w:r w:rsidRPr="00EF4C69">
        <w:rPr>
          <w:rFonts w:eastAsia="Calibri" w:cs="Times New Roman"/>
          <w:bCs/>
          <w:szCs w:val="28"/>
        </w:rPr>
        <w:t>Югры».</w:t>
      </w:r>
    </w:p>
    <w:p w:rsidR="00EF4C69" w:rsidRPr="00EF4C69" w:rsidRDefault="00EF4C69" w:rsidP="00EF4C69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F4C69">
        <w:rPr>
          <w:rFonts w:eastAsia="Calibri" w:cs="Times New Roman"/>
          <w:bCs/>
          <w:szCs w:val="28"/>
        </w:rPr>
        <w:t xml:space="preserve">На основании изменений федерального и окружного законодательства Контрольно-счетной палатой города в 2022 году был разработан и внесен </w:t>
      </w:r>
      <w:r w:rsidR="005D2E11">
        <w:rPr>
          <w:rFonts w:eastAsia="Calibri" w:cs="Times New Roman"/>
          <w:bCs/>
          <w:szCs w:val="28"/>
        </w:rPr>
        <w:br/>
      </w:r>
      <w:r w:rsidRPr="00EF4C69">
        <w:rPr>
          <w:rFonts w:eastAsia="Calibri" w:cs="Times New Roman"/>
          <w:bCs/>
          <w:szCs w:val="28"/>
        </w:rPr>
        <w:t xml:space="preserve">в Думу города проект решения, регламентирующий порядок материального </w:t>
      </w:r>
      <w:r w:rsidR="005D2E11">
        <w:rPr>
          <w:rFonts w:eastAsia="Calibri" w:cs="Times New Roman"/>
          <w:bCs/>
          <w:szCs w:val="28"/>
        </w:rPr>
        <w:br/>
      </w:r>
      <w:r w:rsidRPr="00EF4C69">
        <w:rPr>
          <w:rFonts w:eastAsia="Calibri" w:cs="Times New Roman"/>
          <w:bCs/>
          <w:szCs w:val="28"/>
        </w:rPr>
        <w:t xml:space="preserve">и социального обеспечения лиц, замещающих муниципальные должности </w:t>
      </w:r>
      <w:r w:rsidR="005D2E11">
        <w:rPr>
          <w:rFonts w:eastAsia="Calibri" w:cs="Times New Roman"/>
          <w:bCs/>
          <w:szCs w:val="28"/>
        </w:rPr>
        <w:br/>
      </w:r>
      <w:r w:rsidRPr="00EF4C69">
        <w:rPr>
          <w:rFonts w:eastAsia="Calibri" w:cs="Times New Roman"/>
          <w:bCs/>
          <w:szCs w:val="28"/>
        </w:rPr>
        <w:t>в Контрольно-счетной палате города</w:t>
      </w:r>
      <w:r w:rsidRPr="00EF4C69">
        <w:rPr>
          <w:rFonts w:eastAsia="Calibri" w:cs="Times New Roman"/>
          <w:szCs w:val="28"/>
          <w:vertAlign w:val="superscript"/>
        </w:rPr>
        <w:footnoteReference w:id="18"/>
      </w:r>
      <w:r w:rsidRPr="00EF4C69">
        <w:rPr>
          <w:rFonts w:eastAsia="Calibri" w:cs="Times New Roman"/>
          <w:bCs/>
          <w:szCs w:val="28"/>
        </w:rPr>
        <w:t xml:space="preserve">. </w:t>
      </w:r>
    </w:p>
    <w:p w:rsidR="00EF4C69" w:rsidRPr="00EF4C69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F4C69">
        <w:rPr>
          <w:rFonts w:eastAsia="Calibri" w:cs="Times New Roman"/>
          <w:bCs/>
          <w:szCs w:val="28"/>
        </w:rPr>
        <w:t xml:space="preserve">Гарантии пенсионного обеспечения Председателя, заместителя Председателя, аудиторов Контрольно-счетной палаты города, в связи </w:t>
      </w:r>
      <w:r w:rsidR="005D2E11">
        <w:rPr>
          <w:rFonts w:eastAsia="Calibri" w:cs="Times New Roman"/>
          <w:bCs/>
          <w:szCs w:val="28"/>
        </w:rPr>
        <w:br/>
      </w:r>
      <w:r w:rsidRPr="00EF4C69">
        <w:rPr>
          <w:rFonts w:eastAsia="Calibri" w:cs="Times New Roman"/>
          <w:bCs/>
          <w:szCs w:val="28"/>
        </w:rPr>
        <w:t xml:space="preserve">с изменением статуса их должностей, закреплены в порядке назначения, </w:t>
      </w:r>
      <w:r w:rsidRPr="00EF4C69">
        <w:rPr>
          <w:rFonts w:eastAsia="Calibri" w:cs="Times New Roman"/>
          <w:bCs/>
          <w:szCs w:val="28"/>
        </w:rPr>
        <w:lastRenderedPageBreak/>
        <w:t>прекращения, перерасчета и выплаты пенсии за выслугу лет</w:t>
      </w:r>
      <w:r w:rsidRPr="00EF4C69">
        <w:rPr>
          <w:rFonts w:eastAsia="Calibri" w:cs="Times New Roman"/>
          <w:szCs w:val="28"/>
          <w:vertAlign w:val="superscript"/>
        </w:rPr>
        <w:footnoteReference w:id="19"/>
      </w:r>
      <w:r w:rsidRPr="00EF4C69">
        <w:rPr>
          <w:rFonts w:eastAsia="Calibri" w:cs="Times New Roman"/>
          <w:bCs/>
          <w:szCs w:val="28"/>
        </w:rPr>
        <w:t>, в разработке которого также принимала участие Контрольно-счетная палата города.</w:t>
      </w:r>
    </w:p>
    <w:p w:rsidR="00EF4C69" w:rsidRPr="00EF4C69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F4C69">
        <w:rPr>
          <w:rFonts w:eastAsia="Calibri" w:cs="Times New Roman"/>
          <w:bCs/>
          <w:szCs w:val="28"/>
        </w:rPr>
        <w:t>В отчётном периоде на основании заключённых соглашений продолжалось взаимодействие Контрольно-счетной палаты с федеральными органами исполнительной власти, правоохранительными и другими контрольно-надзорными органами.</w:t>
      </w:r>
    </w:p>
    <w:p w:rsidR="00EF4C69" w:rsidRPr="00EF4C69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F4C69">
        <w:rPr>
          <w:rFonts w:eastAsia="Calibri" w:cs="Times New Roman"/>
          <w:bCs/>
          <w:szCs w:val="28"/>
        </w:rPr>
        <w:t xml:space="preserve">Должностные лица Контрольно-счетной палаты активно принимали участие в заседаниях Думы города, её комитетов, депутатских слушаниях, </w:t>
      </w:r>
      <w:r w:rsidR="005D2E11">
        <w:rPr>
          <w:rFonts w:eastAsia="Calibri" w:cs="Times New Roman"/>
          <w:bCs/>
          <w:szCs w:val="28"/>
        </w:rPr>
        <w:br/>
      </w:r>
      <w:r w:rsidRPr="00EF4C69">
        <w:rPr>
          <w:rFonts w:eastAsia="Calibri" w:cs="Times New Roman"/>
          <w:bCs/>
          <w:szCs w:val="28"/>
        </w:rPr>
        <w:t>а также в заседаниях комиссий при Главе города и в Администрации города.</w:t>
      </w:r>
    </w:p>
    <w:p w:rsidR="00EF4C69" w:rsidRPr="00EF4C69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F4C69">
        <w:rPr>
          <w:rFonts w:eastAsia="Calibri" w:cs="Times New Roman"/>
          <w:bCs/>
          <w:szCs w:val="28"/>
        </w:rPr>
        <w:t>В отчетном периоде организовывались и проводились рабочие встречи и совещания с Думой города и Администрацией города, оперативно обсуждались актуальные проблемные вопросы, устранялись возможные риски наступления негативных последствий по отдельным направлениям деятельности муниципалитета.</w:t>
      </w:r>
    </w:p>
    <w:p w:rsidR="00EF4C69" w:rsidRPr="00EF4C69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F4C69">
        <w:rPr>
          <w:rFonts w:eastAsia="Calibri" w:cs="Times New Roman"/>
          <w:bCs/>
          <w:szCs w:val="28"/>
        </w:rPr>
        <w:t xml:space="preserve">В целях укрепления и развития единой системы внешнего финансового контроля Российской Федерации, в соответствии со статьей 18 Закона </w:t>
      </w:r>
      <w:r w:rsidR="005D2E11">
        <w:rPr>
          <w:rFonts w:eastAsia="Calibri" w:cs="Times New Roman"/>
          <w:bCs/>
          <w:szCs w:val="28"/>
        </w:rPr>
        <w:br/>
      </w:r>
      <w:r w:rsidRPr="00EF4C69">
        <w:rPr>
          <w:rFonts w:eastAsia="Calibri" w:cs="Times New Roman"/>
          <w:bCs/>
          <w:szCs w:val="28"/>
        </w:rPr>
        <w:t>№ 6-ФЗ и статьей 21 Положения № 170-</w:t>
      </w:r>
      <w:r w:rsidRPr="00EF4C69">
        <w:rPr>
          <w:rFonts w:eastAsia="Calibri" w:cs="Times New Roman"/>
          <w:bCs/>
          <w:szCs w:val="28"/>
          <w:lang w:val="en-US"/>
        </w:rPr>
        <w:t>IV</w:t>
      </w:r>
      <w:r w:rsidRPr="00EF4C69">
        <w:rPr>
          <w:rFonts w:eastAsia="Calibri" w:cs="Times New Roman"/>
          <w:bCs/>
          <w:szCs w:val="28"/>
        </w:rPr>
        <w:t xml:space="preserve"> ДГ осуществлялось взаимодействие с контрольно-счетными органами других муниципальных образований, Счетной палатой Ханты-Мансийского автономного </w:t>
      </w:r>
      <w:r w:rsidR="00720E77">
        <w:rPr>
          <w:rFonts w:eastAsia="Calibri" w:cs="Times New Roman"/>
          <w:bCs/>
          <w:szCs w:val="28"/>
        </w:rPr>
        <w:br/>
      </w:r>
      <w:r w:rsidRPr="00EF4C69">
        <w:rPr>
          <w:rFonts w:eastAsia="Calibri" w:cs="Times New Roman"/>
          <w:bCs/>
          <w:szCs w:val="28"/>
        </w:rPr>
        <w:t>округа – Югры, Счетной палатой Российской Федерации.</w:t>
      </w:r>
    </w:p>
    <w:p w:rsidR="00EF4C69" w:rsidRPr="00EF4C69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F4C69">
        <w:rPr>
          <w:rFonts w:eastAsia="Calibri" w:cs="Times New Roman"/>
          <w:bCs/>
          <w:szCs w:val="28"/>
        </w:rPr>
        <w:t xml:space="preserve">Сотрудничество осуществляется на основании подписанного соглашения со Счетной палатой Ханты-Мансийского автономного </w:t>
      </w:r>
      <w:r w:rsidR="00720E77">
        <w:rPr>
          <w:rFonts w:eastAsia="Calibri" w:cs="Times New Roman"/>
          <w:bCs/>
          <w:szCs w:val="28"/>
        </w:rPr>
        <w:br/>
      </w:r>
      <w:r w:rsidRPr="00EF4C69">
        <w:rPr>
          <w:rFonts w:eastAsia="Calibri" w:cs="Times New Roman"/>
          <w:bCs/>
          <w:szCs w:val="28"/>
        </w:rPr>
        <w:t>округа –</w:t>
      </w:r>
      <w:r w:rsidR="00720E77">
        <w:rPr>
          <w:rFonts w:eastAsia="Calibri" w:cs="Times New Roman"/>
          <w:bCs/>
          <w:szCs w:val="28"/>
        </w:rPr>
        <w:t xml:space="preserve"> </w:t>
      </w:r>
      <w:r w:rsidRPr="00EF4C69">
        <w:rPr>
          <w:rFonts w:eastAsia="Calibri" w:cs="Times New Roman"/>
          <w:bCs/>
          <w:szCs w:val="28"/>
        </w:rPr>
        <w:t xml:space="preserve">Югры, а также путем участия в деятельности Союза муниципальных контрольно-счетных органов Российской Федерации (далее – Союз МКСО), членом которого Контрольно-счетная палата города является с 2010 года. 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EF4C69">
        <w:rPr>
          <w:rFonts w:eastAsia="Calibri" w:cs="Times New Roman"/>
          <w:bCs/>
          <w:szCs w:val="28"/>
        </w:rPr>
        <w:t xml:space="preserve">Участие в деятельности Союза МКСО позволяет обобщать накопленный опыт и координировать совместные усилия по развитию </w:t>
      </w:r>
      <w:r w:rsidR="005D2E11">
        <w:rPr>
          <w:rFonts w:eastAsia="Calibri" w:cs="Times New Roman"/>
          <w:bCs/>
          <w:szCs w:val="28"/>
        </w:rPr>
        <w:br/>
      </w:r>
      <w:r w:rsidRPr="00EF4C69">
        <w:rPr>
          <w:rFonts w:eastAsia="Calibri" w:cs="Times New Roman"/>
          <w:bCs/>
          <w:szCs w:val="28"/>
        </w:rPr>
        <w:t xml:space="preserve">и </w:t>
      </w:r>
      <w:r w:rsidRPr="005D7795">
        <w:rPr>
          <w:rFonts w:eastAsia="Calibri" w:cs="Times New Roman"/>
          <w:bCs/>
          <w:szCs w:val="28"/>
        </w:rPr>
        <w:t xml:space="preserve">совершенствованию внешнего муниципального финансового контроля,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в том числе в области методологического обеспечения контрольной деятельности, а также позволяет непосредственно влиять на происходящие процессы преобразований в сфере финансового контроля на законодательном уровне.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С целью совершенствования внешнего муниципального финансового контроля Председатель Контрольно-счетной палаты города, являясь членом Президиума Союза МКСО</w:t>
      </w:r>
      <w:r w:rsidR="005D2E11">
        <w:rPr>
          <w:rFonts w:eastAsia="Calibri" w:cs="Times New Roman"/>
          <w:bCs/>
          <w:szCs w:val="28"/>
        </w:rPr>
        <w:t xml:space="preserve"> – </w:t>
      </w:r>
      <w:r w:rsidRPr="005D7795">
        <w:rPr>
          <w:rFonts w:eastAsia="Calibri" w:cs="Times New Roman"/>
          <w:bCs/>
          <w:szCs w:val="28"/>
        </w:rPr>
        <w:t xml:space="preserve">председателем Комиссии Союза МКСО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по правовым вопросам, в 2022 году принимал участие в заседаниях Президиума Союза МКСО, а также в общем собрании (</w:t>
      </w:r>
      <w:r w:rsidRPr="005D7795">
        <w:rPr>
          <w:rFonts w:eastAsia="Calibri" w:cs="Times New Roman"/>
          <w:bCs/>
          <w:szCs w:val="28"/>
          <w:lang w:val="en-US"/>
        </w:rPr>
        <w:t>XX</w:t>
      </w:r>
      <w:r w:rsidRPr="005D7795">
        <w:rPr>
          <w:rFonts w:eastAsia="Calibri" w:cs="Times New Roman"/>
          <w:bCs/>
          <w:szCs w:val="28"/>
        </w:rPr>
        <w:t xml:space="preserve"> Конференции) членов Союза МКСО, на которых обсуждались темы, актуальные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 xml:space="preserve">в деятельности Контрольно-счетной палаты города, в том числе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по следующим вопросам: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реализация норм Федерального закона «О внесении изменений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lastRenderedPageBreak/>
        <w:t xml:space="preserve">в Федеральный закон «Об общих принципах организации и деятельности контрольно-счетных органов субъектов Российской Федерации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и муниципальных образований»;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анализ судебной практики по привлечению к административной ответственности и обжалованию актов контрольно-счетного органа;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о результатах анализа практики организации и проведения совместных и параллельных мероприятий;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о результатах единого общероссийского мероприятия Союза МКСО «Проверка эффективности и целевого использования бюджетных средств, выделенных на переселение граждан из аварийного жилищного фонда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в рамках реализации национального проекта «Жилье и городская среда»;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об утверждении типовых методических рекомендаций по теме единого общероссийского мероприятия на 2022 год «Проверка эффективности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 xml:space="preserve">и целевого использования бюджетных средств, выделенных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на благоустройство общественных территорий (пространств) в рамках реализации национального проекта «Жилье и городская среда».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В 2022 году Председатель Контрольно-счетной палаты города в рамках осуществления функций члена комиссии Совета контрольно­счетных органов при Счетной палате Российской Федерации по правовым вопросам принимал участие в заседаниях комиссии, на которых рассматривались наиболее актуальные темы правового обеспечения деятельности контрольно-счетных органов.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Учитывая, что Счетная палата Российской Федерации в силу части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9 статьи 17</w:t>
      </w:r>
      <w:r w:rsidRPr="005D7795">
        <w:rPr>
          <w:rFonts w:eastAsia="Calibri" w:cs="Times New Roman"/>
          <w:szCs w:val="28"/>
        </w:rPr>
        <w:t xml:space="preserve"> </w:t>
      </w:r>
      <w:r w:rsidRPr="005D7795">
        <w:rPr>
          <w:rFonts w:eastAsia="Calibri" w:cs="Times New Roman"/>
          <w:bCs/>
          <w:szCs w:val="28"/>
        </w:rPr>
        <w:t xml:space="preserve">Федерального закона от 05.04.2013 № 41-ФЗ «О Счетной палате Российской Федерации» вправе инициировать перед субъектами права законодательной инициативы предложения о совершенствовании бюджетного законодательства Российской Федерации и развитии финансовой системы Российской Федерации, а также участвовать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в законопроектной деятельности государственных органов, такая площадка как Совет контрольно­счетных органов при Счетной палате Российской Федерации позволяет оперативно обмениваться опытом и практикой участников Совета по широкому спектру рабочих вопросов.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В частности, в декабре 2022 года в рамках работы при Комиссии Совета контрольно-счетных органов при Счетной палате Российской Федерации по правовым вопросам были рассмотрены следующие темы: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анализ правового регулирования при организации проведения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в 2021</w:t>
      </w:r>
      <w:r w:rsidR="005D2E11">
        <w:rPr>
          <w:rFonts w:eastAsia="Calibri" w:cs="Times New Roman"/>
          <w:bCs/>
          <w:szCs w:val="28"/>
        </w:rPr>
        <w:t xml:space="preserve"> – </w:t>
      </w:r>
      <w:r w:rsidRPr="005D7795">
        <w:rPr>
          <w:rFonts w:eastAsia="Calibri" w:cs="Times New Roman"/>
          <w:bCs/>
          <w:szCs w:val="28"/>
        </w:rPr>
        <w:t>2022 годах контрольно-счетными органами субъектов Российской Федерации проверок соблюдения целей, порядка и условий предоставления из бюджета субъекта Российской Федерации межбюджетных субсидий, субвенций, иных межбюджетных трансфертов, имеющих целевое назначение;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обобщение и анализ судебной практики по вопросам организации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и деятельности контрольно-счетных органов за 2021</w:t>
      </w:r>
      <w:r w:rsidR="005D2E11">
        <w:rPr>
          <w:rFonts w:eastAsia="Calibri" w:cs="Times New Roman"/>
          <w:bCs/>
          <w:szCs w:val="28"/>
        </w:rPr>
        <w:t xml:space="preserve"> – </w:t>
      </w:r>
      <w:r w:rsidRPr="005D7795">
        <w:rPr>
          <w:rFonts w:eastAsia="Calibri" w:cs="Times New Roman"/>
          <w:bCs/>
          <w:szCs w:val="28"/>
        </w:rPr>
        <w:t>2022 годы.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Обобщение опыта контрольной и экспертно-аналитической </w:t>
      </w:r>
      <w:r w:rsidRPr="005D7795">
        <w:rPr>
          <w:rFonts w:eastAsia="Calibri" w:cs="Times New Roman"/>
          <w:bCs/>
          <w:szCs w:val="28"/>
        </w:rPr>
        <w:lastRenderedPageBreak/>
        <w:t xml:space="preserve">деятельности посредством участия в Союзе МКСО положительно сказывается на качестве проводимых проверок и документов, оформленных по их результатам. Вместе с тем, участие Контрольно-счетной палаты города в деятельности Союза МКСО порождает обязанность обмена практическим опытом, наработками и знаниями. 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Так, за 2022 год в порядке оказания содействия и практической помощи членам Союза МКСО, в том числе по вопросам, возникающим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 xml:space="preserve">при реализации Закона № 6-ФЗ, рассмотрены и направлены информационные письма в адрес Контрольно-счетных палат Ярославской области, Пермского края, Сургутского района, Петрозаводского городского округа, Томской области, Алтайского района Алтайского края, а также Председателя Союза МКСО и Ответственного секретаря Союза МКСО. 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Обеспечение доступа к информации о своей деятельности – одна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из функций Контрольно-счетной палаты.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На основании статьи 19 Закона № 6-ФЗ информация о деятельности КСП размещается на официальном сайте http://kspsurgut.ru, зарегистрированном в качестве средства массовой информации. В 2022 году размещено около 140 публикаций.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Кроме информации о результатах контрольных и экспертно-аналитических мероприятий на официальном сайте размещена информация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 xml:space="preserve">и документы, характеризующие деятельность КСП, – план работы, отчёт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о деятельности, регламент, стандарты, методические рекомендации, информация об антикоррупционной деятельности и другие материалы.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На официальном сайте КСП в сети интернет содержится раздел «Обращения», где размещён порядок рассмотрения обращений граждан, дни и часы их приёма, предусмотрены формы для направления обращений непосредственно через сайт.</w:t>
      </w:r>
    </w:p>
    <w:p w:rsidR="00EF4C69" w:rsidRPr="005D7795" w:rsidRDefault="00EF4C69" w:rsidP="00EF4C69">
      <w:pPr>
        <w:widowControl w:val="0"/>
        <w:tabs>
          <w:tab w:val="left" w:pos="0"/>
        </w:tabs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В 2022 году в Контрольно-счетную палату города поступило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для рассмотрения 2 обращения от граждан о нарушении законов и иных нормативных правовых актов.</w:t>
      </w:r>
    </w:p>
    <w:p w:rsidR="00EF4C69" w:rsidRPr="005D7795" w:rsidRDefault="00EF4C69" w:rsidP="00EF4C69">
      <w:pPr>
        <w:widowControl w:val="0"/>
        <w:tabs>
          <w:tab w:val="left" w:pos="0"/>
        </w:tabs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По одному обращению гражданину направлен ответ в установленном порядке в соответствии с Федеральным законом от 02.05.2006 № 59-ФЗ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 xml:space="preserve">«О порядке рассмотрения обращений граждан Российской Федерации», второе обращение по состоянию на конец отчётного периода находится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на рассмотрении.</w:t>
      </w:r>
    </w:p>
    <w:p w:rsidR="00EF4C69" w:rsidRPr="005D7795" w:rsidRDefault="00EF4C69" w:rsidP="00EF4C69">
      <w:pPr>
        <w:widowControl w:val="0"/>
        <w:tabs>
          <w:tab w:val="left" w:pos="0"/>
        </w:tabs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В течение 2022 года Контрольно-счетной палатой города зарегистрировано более </w:t>
      </w:r>
      <w:r w:rsidRPr="005D7795">
        <w:rPr>
          <w:rFonts w:eastAsia="Calibri" w:cs="Times New Roman"/>
          <w:szCs w:val="28"/>
        </w:rPr>
        <w:t>2 650</w:t>
      </w:r>
      <w:r w:rsidRPr="005D7795">
        <w:rPr>
          <w:rFonts w:eastAsia="Calibri" w:cs="Times New Roman"/>
          <w:bCs/>
          <w:szCs w:val="28"/>
        </w:rPr>
        <w:t xml:space="preserve"> документов, в том числе входящих, исходящих писем – 2 340, иных документов (распоряжений, приказов, актов, отчетов, заключений, удостоверений) – 310.</w:t>
      </w:r>
    </w:p>
    <w:p w:rsidR="00EF4C69" w:rsidRPr="005D7795" w:rsidRDefault="00EF4C69" w:rsidP="00EF4C69">
      <w:pPr>
        <w:widowControl w:val="0"/>
        <w:tabs>
          <w:tab w:val="left" w:pos="0"/>
        </w:tabs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В целях оптимизации деятельности в отчетном периоде заключено соглашение о взаимодействии с МКУ «Хозяйственно-эксплуатационное управление», на основании которого документационное обеспечение деятельности Контрольно-счетной палаты города с марта 2022 года стало осуществляться специалистом указанного учреждения.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lastRenderedPageBreak/>
        <w:t xml:space="preserve">В соответствии с Положением о Коллегии Контрольно-счетной палаты города Сургута, утверждённым решением Думы города от 29.11.2012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№ 270-V ДГ, на заседаниях Коллегии в 2022 году рассматривались следующие вопросы: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проекты планов работы КСП, вносимых в них изменений;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проекты стандартов внешнего муниципального финансового контроля;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проект годового отчёта о деятельности Контрольно-счетной палаты;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проекты отчётов о проведении контрольных мероприятий; 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проекты представлений, предложений о внесении в них изменений </w:t>
      </w:r>
      <w:r w:rsidR="00B50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или отмене;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проекты программ проведения контрольных мероприятий</w:t>
      </w:r>
      <w:r w:rsidR="005D2E11">
        <w:rPr>
          <w:rFonts w:eastAsia="Calibri" w:cs="Times New Roman"/>
          <w:bCs/>
          <w:szCs w:val="28"/>
        </w:rPr>
        <w:t xml:space="preserve">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в соответствии с планами работы Контрольно-счетной палаты.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За отчётный год состоялось 12 заседаний Коллегии, а всего с начала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 xml:space="preserve">её деятельности проведено 149 заседаний. Повестки заседаний Коллегии направлялись Главе города и в Думу города в установленные сроки.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В заседании Коллегии принимали участие депутаты и представители аппарата Думы города, Администрации города, а также представители объектов проверок.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В течение года осуществлялось изменение кадрового состава Контрольно-счетной палаты. 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В целях оптимизации деятельности Контрольно-счетной палаты города штатная численность работников КСП уменьшена с 29 единиц </w:t>
      </w:r>
      <w:r w:rsidR="00B50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 xml:space="preserve">и по состоянию на 31.12.2022 составляет 19 единиц. Основные мероприятия по высвобождению работников, в связи с сокращением численности, осуществлялись в феврале-марте 2022 года. 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Распределение полномочий между Председателем, заместителем Председателя и аудиторами Контрольно-счетной палаты города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по организации отдельных направлений деятельности Контрольно-счетной палаты города определено в Регламенте КСП.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Все работники КСП имеют высшее профессиональное образование, соответствующее специфике и направлениям работы, в том числе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у 2 сотрудников имеется 2 высших образования.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Повышение профессиональных компетенций сотрудников является одним из важнейших условий оптимизации деятельности Контрольно-счетного органа. В связи с чем, особое внимание уделяется дополнительному образованию муниципальных служащих в форме курсов повышения квалификации.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Программы повышения квалификации сотрудников подбирались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с учётом полномочий и специфики деятельности органа внешнего финансового контроля, с целью формирования у сотрудников практических навыков, необходимых для осуществления контрольной деятельности. Тематика курсов напрямую соотносится с вопросами мероприятий, включаемых в план работы Контрольно-счетной палаты города.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В 2022 году обучение по программам повышения квалификации </w:t>
      </w:r>
      <w:r w:rsidRPr="005D7795">
        <w:rPr>
          <w:rFonts w:eastAsia="Calibri" w:cs="Times New Roman"/>
          <w:bCs/>
          <w:szCs w:val="28"/>
        </w:rPr>
        <w:lastRenderedPageBreak/>
        <w:t>прошли 10</w:t>
      </w:r>
      <w:r w:rsidR="004E4A44">
        <w:rPr>
          <w:rFonts w:eastAsia="Calibri" w:cs="Times New Roman"/>
          <w:bCs/>
          <w:szCs w:val="28"/>
        </w:rPr>
        <w:t xml:space="preserve"> </w:t>
      </w:r>
      <w:r w:rsidRPr="005D7795">
        <w:rPr>
          <w:rFonts w:eastAsia="Calibri" w:cs="Times New Roman"/>
          <w:bCs/>
          <w:szCs w:val="28"/>
        </w:rPr>
        <w:t xml:space="preserve">сотрудников, в том числе 3 сотрудника – по программам противодействия коррупции, в целях исполнения подпунктов «а», «б», «в» пункта 39 Указа Президента Российской Федерации от 16.08.2021 № 478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«О Национальном плане противодействия коррупции на 2021</w:t>
      </w:r>
      <w:r w:rsidR="004E4A44">
        <w:rPr>
          <w:rFonts w:eastAsia="Calibri" w:cs="Times New Roman"/>
          <w:bCs/>
          <w:szCs w:val="28"/>
        </w:rPr>
        <w:t xml:space="preserve"> – </w:t>
      </w:r>
      <w:r w:rsidRPr="005D7795">
        <w:rPr>
          <w:rFonts w:eastAsia="Calibri" w:cs="Times New Roman"/>
          <w:bCs/>
          <w:szCs w:val="28"/>
        </w:rPr>
        <w:t xml:space="preserve">2024 годы»,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 xml:space="preserve">а также распоряжения Главы города Сургута от 30.07.2021 № 24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 xml:space="preserve">«Об утверждении плана мероприятий по противодействию коррупции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на территории города Сургута на 202</w:t>
      </w:r>
      <w:r w:rsidR="004E4A44">
        <w:rPr>
          <w:rFonts w:eastAsia="Calibri" w:cs="Times New Roman"/>
          <w:bCs/>
          <w:szCs w:val="28"/>
        </w:rPr>
        <w:t>1</w:t>
      </w:r>
      <w:r w:rsidRPr="005D7795">
        <w:rPr>
          <w:rFonts w:eastAsia="Calibri" w:cs="Times New Roman"/>
          <w:bCs/>
          <w:szCs w:val="28"/>
        </w:rPr>
        <w:t xml:space="preserve"> – 2024 годы». 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Для получения оперативной информации по актуальным вопросам профессиональной деятельности сотрудники КСП также проходили обучение на семинарах.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В кадровом резерве на должности муниципальной службы КСП состоят 6 претендентов. Работа с кадровым резервом осуществлялась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 xml:space="preserve">в установленном порядке. 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В 2022 году классные чины были присвоены трём муниципальным служащим, в том числе одному – по результатам квалификационного экзамена. 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В рамках реализации плана по противодействию коррупции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в 2022 году проведены мероприятия в соответствии с Федеральным законом от 25.12.2008</w:t>
      </w:r>
      <w:r w:rsidR="005D2E11">
        <w:rPr>
          <w:rFonts w:eastAsia="Calibri" w:cs="Times New Roman"/>
          <w:bCs/>
          <w:szCs w:val="28"/>
        </w:rPr>
        <w:t xml:space="preserve"> </w:t>
      </w:r>
      <w:r w:rsidRPr="005D7795">
        <w:rPr>
          <w:rFonts w:eastAsia="Calibri" w:cs="Times New Roman"/>
          <w:bCs/>
          <w:szCs w:val="28"/>
        </w:rPr>
        <w:t>№ 273-ФЗ «О противодействии коррупции», в том числе: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проверка сведений, указанных в справках о доходах, расходах, имуществе и обязательствах имущественного характера муниципальных служащих и членов их семей, на предмет отсутствия нарушений законодательства о муниципальной службе и противодействия коррупции;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в течение всего года проводилась работа по разъяснению муниципальным служащим требований антикоррупционного законодательства по вопросам необходимости уведомления работодателя при возникновении конфликта интересов, о фактах обращения к муниципальным служащим в целях склонения к совершению коррупционных правонарушений, а также практики применения антикоррупционного законодательства;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проводились консультации по вопросам противодействия коррупции для вновь принятых на муниципальную службу и для лиц, увольняющихся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с муниципальной службы;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информация о деятельности комиссии по соблюдению требований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 xml:space="preserve">к служебному поведению муниципальных служащих и урегулированию конфликта интересов в Контрольно-счетной палате за 2022 год размещена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на официальном сайте КСП в разделе «Антикоррупционная деятельность».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Актов прокурорского реагирования, жалоб, сообщений граждан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 xml:space="preserve">и организаций о случаях нарушений требований к служебному поведению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и наличии конфликта интересов в отношении муниципальных служащих Контрольно-счетной палаты не поступало.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На конец отчётного периода Контрольно-счетной палатой применялись 11 стандартов муниципального финансового контроля и Классификатор нарушений, выявляемых в ходе внешнего государственного аудита </w:t>
      </w:r>
      <w:r w:rsidRPr="005D7795">
        <w:rPr>
          <w:rFonts w:eastAsia="Calibri" w:cs="Times New Roman"/>
          <w:bCs/>
          <w:szCs w:val="28"/>
        </w:rPr>
        <w:lastRenderedPageBreak/>
        <w:t>(контроля), одобренный Советом контрольно-счетных органов при Счетной палате Российской Федерации, утверждённый Коллегией Счетной палаты РФ и рекомендованный для применения всеми контрольно-счетными органами.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В отчетном периоде разработан и утверждён стандарт муниципального финансового контроля «Оценка и определение неэффективного использования ресурсов, выявляемых в ходе внешнего муниципального финансового контроля».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В течение второй половины 2022 года Контрольно-счетной палатой осуществлялся процесс внедрения программного продукта «Сиброн Консалт: Документооборот контрольно-счетного органа» на платформе Directum. Данный программный продукт представляет собой интеллектуальную систему цифровизации процессов и</w:t>
      </w:r>
      <w:r w:rsidR="00720E77">
        <w:rPr>
          <w:rFonts w:eastAsia="Calibri" w:cs="Times New Roman"/>
          <w:bCs/>
          <w:szCs w:val="28"/>
        </w:rPr>
        <w:t xml:space="preserve"> </w:t>
      </w:r>
      <w:r w:rsidRPr="005D7795">
        <w:rPr>
          <w:rFonts w:eastAsia="Calibri" w:cs="Times New Roman"/>
          <w:bCs/>
          <w:szCs w:val="28"/>
        </w:rPr>
        <w:t>документов, что позволяет автоматизировать цикл управления контрольно-счетного органа и</w:t>
      </w:r>
      <w:r w:rsidR="00720E77">
        <w:rPr>
          <w:rFonts w:eastAsia="Calibri" w:cs="Times New Roman"/>
          <w:bCs/>
          <w:szCs w:val="28"/>
        </w:rPr>
        <w:t xml:space="preserve"> </w:t>
      </w:r>
      <w:r w:rsidRPr="005D7795">
        <w:rPr>
          <w:rFonts w:eastAsia="Calibri" w:cs="Times New Roman"/>
          <w:bCs/>
          <w:szCs w:val="28"/>
        </w:rPr>
        <w:t>решить задачи: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формирования и</w:t>
      </w:r>
      <w:r w:rsidR="00720E77">
        <w:rPr>
          <w:rFonts w:eastAsia="Calibri" w:cs="Times New Roman"/>
          <w:bCs/>
          <w:szCs w:val="28"/>
        </w:rPr>
        <w:t xml:space="preserve"> </w:t>
      </w:r>
      <w:r w:rsidRPr="005D7795">
        <w:rPr>
          <w:rFonts w:eastAsia="Calibri" w:cs="Times New Roman"/>
          <w:bCs/>
          <w:szCs w:val="28"/>
        </w:rPr>
        <w:t>утверждения годового плана проверок;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проведения проверок;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согласования документов, в том числе итоговых документов по результатам проверок;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подготовки отчетности.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Таким образом, основной целью дальнейшего применения вышеуказанного программного продукта является повышение эффективности деятельности Контрольно-счетной палаты за счет </w:t>
      </w:r>
      <w:r w:rsidR="00B50E11">
        <w:rPr>
          <w:rFonts w:eastAsia="Calibri" w:cs="Times New Roman"/>
          <w:bCs/>
          <w:szCs w:val="28"/>
        </w:rPr>
        <w:t>а</w:t>
      </w:r>
      <w:r w:rsidRPr="005D7795">
        <w:rPr>
          <w:rFonts w:eastAsia="Calibri" w:cs="Times New Roman"/>
          <w:bCs/>
          <w:szCs w:val="28"/>
        </w:rPr>
        <w:t>втоматизации рабочих процессов.</w:t>
      </w:r>
    </w:p>
    <w:p w:rsidR="00EF4C69" w:rsidRPr="005D7795" w:rsidRDefault="00EF4C69" w:rsidP="00EF4C69">
      <w:pPr>
        <w:autoSpaceDE w:val="0"/>
        <w:autoSpaceDN w:val="0"/>
        <w:adjustRightInd w:val="0"/>
        <w:jc w:val="center"/>
        <w:rPr>
          <w:rFonts w:eastAsia="Calibri" w:cs="Times New Roman"/>
          <w:color w:val="FF0000"/>
          <w:szCs w:val="28"/>
        </w:rPr>
      </w:pPr>
    </w:p>
    <w:p w:rsidR="00EF4C69" w:rsidRPr="005D7795" w:rsidRDefault="00EF4C69" w:rsidP="00EF4C69">
      <w:pPr>
        <w:jc w:val="center"/>
        <w:rPr>
          <w:rFonts w:eastAsia="Calibri" w:cs="Times New Roman"/>
          <w:szCs w:val="28"/>
        </w:rPr>
      </w:pPr>
      <w:r w:rsidRPr="005D7795">
        <w:rPr>
          <w:rFonts w:eastAsia="Calibri" w:cs="Times New Roman"/>
          <w:szCs w:val="28"/>
        </w:rPr>
        <w:t>Заключительные положения</w:t>
      </w:r>
    </w:p>
    <w:p w:rsidR="00EF4C69" w:rsidRPr="005D7795" w:rsidRDefault="00EF4C69" w:rsidP="00EF4C69">
      <w:pPr>
        <w:jc w:val="center"/>
        <w:rPr>
          <w:rFonts w:eastAsia="Calibri" w:cs="Times New Roman"/>
          <w:szCs w:val="28"/>
        </w:rPr>
      </w:pP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>Как орган контроля Контрольно-счетная палата содействует прозрачности и эффективности расходования бюджетных средств и ресурсов в целом.</w:t>
      </w:r>
    </w:p>
    <w:p w:rsidR="00EF4C69" w:rsidRPr="005D7795" w:rsidRDefault="00EF4C69" w:rsidP="00EF4C6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В 2023 году Контрольно-счетной палатой будет продолжена работа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 xml:space="preserve">по применению риск-ориентированного подхода при осуществлении внешнего муниципального финансового контроля. Также в 2023 году планируется продолжать применение в деятельности элементов стратегического аудита, позволяющего сопоставить ресурсные возможности муниципалитета и ожидаемые конечные результаты. </w:t>
      </w:r>
    </w:p>
    <w:p w:rsidR="00EF4C69" w:rsidRPr="005D7795" w:rsidRDefault="00EF4C69" w:rsidP="00EF4C69">
      <w:pPr>
        <w:ind w:firstLine="709"/>
        <w:rPr>
          <w:rFonts w:eastAsia="Calibri" w:cs="Times New Roman"/>
          <w:bCs/>
          <w:szCs w:val="28"/>
        </w:rPr>
      </w:pPr>
      <w:r w:rsidRPr="005D7795">
        <w:rPr>
          <w:rFonts w:eastAsia="Calibri" w:cs="Times New Roman"/>
          <w:bCs/>
          <w:szCs w:val="28"/>
        </w:rPr>
        <w:t xml:space="preserve">Как и в предыдущие годы, приоритетом в деятельности Контрольно-счетной палаты города Сургута на 2023 год остается не применение наказаний, как самоцель, а выявление рисков нарушения законодательства, формирование результативных и действенных мер по их предотвращению </w:t>
      </w:r>
      <w:r w:rsidR="005D2E11">
        <w:rPr>
          <w:rFonts w:eastAsia="Calibri" w:cs="Times New Roman"/>
          <w:bCs/>
          <w:szCs w:val="28"/>
        </w:rPr>
        <w:br/>
      </w:r>
      <w:r w:rsidRPr="005D7795">
        <w:rPr>
          <w:rFonts w:eastAsia="Calibri" w:cs="Times New Roman"/>
          <w:bCs/>
          <w:szCs w:val="28"/>
        </w:rPr>
        <w:t>и пресечению.</w:t>
      </w:r>
    </w:p>
    <w:p w:rsidR="00EF4C69" w:rsidRPr="005D7795" w:rsidRDefault="00EF4C69" w:rsidP="00EF4C69">
      <w:pPr>
        <w:rPr>
          <w:rFonts w:eastAsia="Calibri" w:cs="Times New Roman"/>
          <w:szCs w:val="28"/>
        </w:rPr>
      </w:pPr>
    </w:p>
    <w:sectPr w:rsidR="00EF4C69" w:rsidRPr="005D7795" w:rsidSect="00AE7082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3A" w:rsidRDefault="00C4013A" w:rsidP="006757BB">
      <w:r>
        <w:separator/>
      </w:r>
    </w:p>
  </w:endnote>
  <w:endnote w:type="continuationSeparator" w:id="0">
    <w:p w:rsidR="00C4013A" w:rsidRDefault="00C4013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44" w:rsidRDefault="004E4A44" w:rsidP="00EF4C69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E4A44" w:rsidRDefault="004E4A44" w:rsidP="00EF4C69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44" w:rsidRPr="0060439E" w:rsidRDefault="004E4A44">
    <w:pPr>
      <w:pStyle w:val="af0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44" w:rsidRPr="00FE63AD" w:rsidRDefault="004E4A44" w:rsidP="00EF4C69">
    <w:pPr>
      <w:pStyle w:val="af0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3A" w:rsidRDefault="00C4013A" w:rsidP="006757BB">
      <w:r>
        <w:separator/>
      </w:r>
    </w:p>
  </w:footnote>
  <w:footnote w:type="continuationSeparator" w:id="0">
    <w:p w:rsidR="00C4013A" w:rsidRDefault="00C4013A" w:rsidP="006757BB">
      <w:r>
        <w:continuationSeparator/>
      </w:r>
    </w:p>
  </w:footnote>
  <w:footnote w:id="1">
    <w:p w:rsidR="004E4A44" w:rsidRPr="00F179BB" w:rsidRDefault="004E4A44" w:rsidP="00EF4C69">
      <w:pPr>
        <w:pStyle w:val="310"/>
        <w:jc w:val="both"/>
        <w:rPr>
          <w:sz w:val="20"/>
          <w:szCs w:val="20"/>
        </w:rPr>
      </w:pPr>
      <w:r w:rsidRPr="00F179BB">
        <w:rPr>
          <w:rStyle w:val="afa"/>
          <w:sz w:val="20"/>
          <w:szCs w:val="20"/>
        </w:rPr>
        <w:footnoteRef/>
      </w:r>
      <w:r w:rsidRPr="00F179BB">
        <w:rPr>
          <w:sz w:val="20"/>
          <w:szCs w:val="20"/>
        </w:rPr>
        <w:t xml:space="preserve"> В случае исполнения бюджета города с дефицитом по данной строке отражен объем расходов </w:t>
      </w:r>
      <w:r w:rsidR="00720E77">
        <w:rPr>
          <w:sz w:val="20"/>
          <w:szCs w:val="20"/>
        </w:rPr>
        <w:br/>
      </w:r>
      <w:r w:rsidRPr="00F179BB">
        <w:rPr>
          <w:sz w:val="20"/>
          <w:szCs w:val="20"/>
        </w:rPr>
        <w:t>за соответствующий период, в случае исполнения с профицитом – объем доходов бюджета. В 202</w:t>
      </w:r>
      <w:r>
        <w:rPr>
          <w:sz w:val="20"/>
          <w:szCs w:val="20"/>
        </w:rPr>
        <w:t>1</w:t>
      </w:r>
      <w:r w:rsidRPr="00F179BB">
        <w:rPr>
          <w:sz w:val="20"/>
          <w:szCs w:val="20"/>
        </w:rPr>
        <w:t xml:space="preserve"> году – исполнение с дефицитом.</w:t>
      </w:r>
    </w:p>
  </w:footnote>
  <w:footnote w:id="2">
    <w:p w:rsidR="004E4A44" w:rsidRPr="00F179BB" w:rsidRDefault="004E4A44" w:rsidP="00EF4C69">
      <w:pPr>
        <w:pStyle w:val="310"/>
        <w:jc w:val="both"/>
        <w:rPr>
          <w:sz w:val="20"/>
          <w:szCs w:val="20"/>
        </w:rPr>
      </w:pPr>
      <w:r w:rsidRPr="00F179BB">
        <w:rPr>
          <w:rStyle w:val="afa"/>
          <w:sz w:val="20"/>
          <w:szCs w:val="20"/>
        </w:rPr>
        <w:footnoteRef/>
      </w:r>
      <w:r w:rsidRPr="00F179BB">
        <w:rPr>
          <w:sz w:val="20"/>
          <w:szCs w:val="20"/>
        </w:rPr>
        <w:t xml:space="preserve"> В течение 2022 года проводилась экспертиза внесения изменений в доходную и расходную части бюджета на 202</w:t>
      </w:r>
      <w:r>
        <w:rPr>
          <w:sz w:val="20"/>
          <w:szCs w:val="20"/>
        </w:rPr>
        <w:t xml:space="preserve">2 – </w:t>
      </w:r>
      <w:r w:rsidRPr="00F179BB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F179BB">
        <w:rPr>
          <w:sz w:val="20"/>
          <w:szCs w:val="20"/>
        </w:rPr>
        <w:t xml:space="preserve"> годы. Объём расходов бюджета, охваченных в рамках экспертизы внесения изменений на трёхлетний период, составил</w:t>
      </w:r>
      <w:r w:rsidRPr="00F179BB">
        <w:rPr>
          <w:bCs/>
          <w:sz w:val="20"/>
          <w:szCs w:val="20"/>
        </w:rPr>
        <w:t> </w:t>
      </w:r>
      <w:r>
        <w:rPr>
          <w:bCs/>
          <w:sz w:val="20"/>
          <w:szCs w:val="20"/>
        </w:rPr>
        <w:t xml:space="preserve">7 560 284,37 </w:t>
      </w:r>
      <w:r w:rsidRPr="00F179BB">
        <w:rPr>
          <w:sz w:val="20"/>
          <w:szCs w:val="20"/>
        </w:rPr>
        <w:t>тыс. рублей. В целях сопоставимости показателей в стр. 3.4, отражён объём средств, охваченных в рамках экспертизы внесения изменений в бюджет города на 202</w:t>
      </w:r>
      <w:r>
        <w:rPr>
          <w:sz w:val="20"/>
          <w:szCs w:val="20"/>
        </w:rPr>
        <w:t>2</w:t>
      </w:r>
      <w:r w:rsidRPr="00F179BB">
        <w:rPr>
          <w:sz w:val="20"/>
          <w:szCs w:val="20"/>
        </w:rPr>
        <w:t xml:space="preserve"> год.</w:t>
      </w:r>
    </w:p>
  </w:footnote>
  <w:footnote w:id="3">
    <w:p w:rsidR="004E4A44" w:rsidRPr="00F179BB" w:rsidRDefault="004E4A44" w:rsidP="00EF4C69">
      <w:pPr>
        <w:pStyle w:val="310"/>
        <w:jc w:val="both"/>
        <w:rPr>
          <w:sz w:val="20"/>
          <w:szCs w:val="20"/>
        </w:rPr>
      </w:pPr>
      <w:r w:rsidRPr="00F179BB">
        <w:rPr>
          <w:rStyle w:val="afa"/>
          <w:sz w:val="20"/>
          <w:szCs w:val="20"/>
        </w:rPr>
        <w:footnoteRef/>
      </w:r>
      <w:r w:rsidRPr="00F179BB">
        <w:rPr>
          <w:sz w:val="20"/>
          <w:szCs w:val="20"/>
        </w:rPr>
        <w:t xml:space="preserve"> Проведена экспертиза проекта бюджета города на 202</w:t>
      </w:r>
      <w:r>
        <w:rPr>
          <w:sz w:val="20"/>
          <w:szCs w:val="20"/>
        </w:rPr>
        <w:t>3</w:t>
      </w:r>
      <w:r w:rsidRPr="00F179BB">
        <w:rPr>
          <w:sz w:val="20"/>
          <w:szCs w:val="20"/>
        </w:rPr>
        <w:t xml:space="preserve"> год и плановый период 202</w:t>
      </w:r>
      <w:r>
        <w:rPr>
          <w:sz w:val="20"/>
          <w:szCs w:val="20"/>
        </w:rPr>
        <w:t>4</w:t>
      </w:r>
      <w:r w:rsidRPr="00F179BB">
        <w:rPr>
          <w:sz w:val="20"/>
          <w:szCs w:val="20"/>
        </w:rPr>
        <w:t>-202</w:t>
      </w:r>
      <w:r>
        <w:rPr>
          <w:sz w:val="20"/>
          <w:szCs w:val="20"/>
        </w:rPr>
        <w:t>5</w:t>
      </w:r>
      <w:r w:rsidRPr="00F179BB">
        <w:rPr>
          <w:sz w:val="20"/>
          <w:szCs w:val="20"/>
        </w:rPr>
        <w:t xml:space="preserve"> годов. Объём расходов бюджета, охваченных в рамках экспертизы проекта бюджета на трёхлетний период, составил 1</w:t>
      </w:r>
      <w:r>
        <w:rPr>
          <w:sz w:val="20"/>
          <w:szCs w:val="20"/>
        </w:rPr>
        <w:t>13</w:t>
      </w:r>
      <w:r w:rsidRPr="00F179BB">
        <w:rPr>
          <w:sz w:val="20"/>
          <w:szCs w:val="20"/>
        </w:rPr>
        <w:t> </w:t>
      </w:r>
      <w:r>
        <w:rPr>
          <w:sz w:val="20"/>
          <w:szCs w:val="20"/>
        </w:rPr>
        <w:t>864</w:t>
      </w:r>
      <w:r w:rsidRPr="00F179BB">
        <w:rPr>
          <w:sz w:val="20"/>
          <w:szCs w:val="20"/>
        </w:rPr>
        <w:t> </w:t>
      </w:r>
      <w:r>
        <w:rPr>
          <w:sz w:val="20"/>
          <w:szCs w:val="20"/>
        </w:rPr>
        <w:t>865</w:t>
      </w:r>
      <w:r w:rsidRPr="00F179BB">
        <w:rPr>
          <w:sz w:val="20"/>
          <w:szCs w:val="20"/>
        </w:rPr>
        <w:t>,</w:t>
      </w:r>
      <w:r>
        <w:rPr>
          <w:sz w:val="20"/>
          <w:szCs w:val="20"/>
        </w:rPr>
        <w:t>8</w:t>
      </w:r>
      <w:r w:rsidRPr="00F179BB">
        <w:rPr>
          <w:sz w:val="20"/>
          <w:szCs w:val="20"/>
        </w:rPr>
        <w:t> тыс. рублей. В целях сопоставимости показателей в стр. 3.6, отражён объём средств, охваченных в рамках экспертизы проекта бюджета на 202</w:t>
      </w:r>
      <w:r>
        <w:rPr>
          <w:sz w:val="20"/>
          <w:szCs w:val="20"/>
        </w:rPr>
        <w:t>3</w:t>
      </w:r>
      <w:r w:rsidRPr="00F179BB">
        <w:rPr>
          <w:sz w:val="20"/>
          <w:szCs w:val="20"/>
        </w:rPr>
        <w:t xml:space="preserve"> год.</w:t>
      </w:r>
    </w:p>
  </w:footnote>
  <w:footnote w:id="4">
    <w:p w:rsidR="004E4A44" w:rsidRPr="00FC5E38" w:rsidRDefault="004E4A44" w:rsidP="00EF4C69">
      <w:pPr>
        <w:pStyle w:val="310"/>
        <w:jc w:val="both"/>
        <w:rPr>
          <w:sz w:val="20"/>
          <w:szCs w:val="20"/>
        </w:rPr>
      </w:pPr>
      <w:r w:rsidRPr="009B0605">
        <w:rPr>
          <w:rStyle w:val="afa"/>
          <w:sz w:val="20"/>
          <w:szCs w:val="20"/>
        </w:rPr>
        <w:footnoteRef/>
      </w:r>
      <w:r w:rsidRPr="009B0605">
        <w:rPr>
          <w:sz w:val="20"/>
          <w:szCs w:val="20"/>
        </w:rPr>
        <w:t xml:space="preserve"> </w:t>
      </w:r>
      <w:r w:rsidRPr="007D2923">
        <w:rPr>
          <w:sz w:val="20"/>
          <w:szCs w:val="20"/>
        </w:rPr>
        <w:t>В целях более корректного отражения объёма проверенных средств (исключения дублирования) объём определён без учёта бюджетных ассигнований 2021 года, охваченных в рамках контроля исполнения бюджета города. Например, не учтён (исключён) объём средств, проверенных в рамках контрольных мероприятий «Проверка законности и результативности использования бюджетных средств, предусмотренных в 2019-2020 годах и текущем периоде 2021 года на выполнение работ на объекте «Реконструкция (реновация) рекреационных территорий общественных пространств в западном жилом районе города Сургута» в рамках реализации муниципальной программы «Формирование комфортной городской среды на период до 2030 года» (выборочно)», «Проверка законности, результативности (эффективности) использования бюджетных средств, направленных на исполнение муниципальной программы «Развитие малого и среднего предпринимательства в городе Сургуте на период до 2030 года» в части реализации регионального проекта «Акселерация субъектов малого и среднего предпринимательства» в 2021 году и текущем периоде 2022 года» (выборочно)» и т.д.</w:t>
      </w:r>
    </w:p>
  </w:footnote>
  <w:footnote w:id="5">
    <w:p w:rsidR="004E4A44" w:rsidRPr="00E2515C" w:rsidRDefault="004E4A44" w:rsidP="00EF4C69">
      <w:pPr>
        <w:pStyle w:val="310"/>
        <w:jc w:val="both"/>
        <w:rPr>
          <w:sz w:val="20"/>
          <w:szCs w:val="20"/>
        </w:rPr>
      </w:pPr>
      <w:r w:rsidRPr="00E2515C"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E2515C">
        <w:rPr>
          <w:sz w:val="20"/>
          <w:szCs w:val="20"/>
        </w:rPr>
        <w:t>Предложения по устранению финансовых недостатков и нарушений учтены в тыс. рублей (строка 4.9). Предложения по несуммовым недостаткам и нарушениям учтены в количестве (ед.) предложений (строка 4.1</w:t>
      </w:r>
      <w:r>
        <w:rPr>
          <w:sz w:val="20"/>
          <w:szCs w:val="20"/>
        </w:rPr>
        <w:t>5</w:t>
      </w:r>
      <w:r w:rsidRPr="00E2515C">
        <w:rPr>
          <w:sz w:val="20"/>
          <w:szCs w:val="20"/>
        </w:rPr>
        <w:t>).</w:t>
      </w:r>
    </w:p>
  </w:footnote>
  <w:footnote w:id="6">
    <w:p w:rsidR="004E4A44" w:rsidRPr="005C1829" w:rsidRDefault="004E4A44" w:rsidP="00EF4C69">
      <w:pPr>
        <w:pStyle w:val="310"/>
        <w:jc w:val="both"/>
        <w:rPr>
          <w:sz w:val="20"/>
          <w:szCs w:val="20"/>
        </w:rPr>
      </w:pPr>
      <w:r w:rsidRPr="005C1829">
        <w:rPr>
          <w:rStyle w:val="afa"/>
          <w:sz w:val="20"/>
          <w:szCs w:val="20"/>
        </w:rPr>
        <w:footnoteRef/>
      </w:r>
      <w:r w:rsidRPr="005C1829">
        <w:rPr>
          <w:sz w:val="20"/>
          <w:szCs w:val="20"/>
        </w:rPr>
        <w:t xml:space="preserve"> В том числе по мероприятиям 2020 года – 534 140,5 тыс. рублей, по мероприятиям предшествующих периодов</w:t>
      </w:r>
      <w:r>
        <w:rPr>
          <w:sz w:val="20"/>
          <w:szCs w:val="20"/>
        </w:rPr>
        <w:t xml:space="preserve"> - </w:t>
      </w:r>
      <w:r w:rsidRPr="005C1829">
        <w:rPr>
          <w:sz w:val="20"/>
          <w:szCs w:val="20"/>
        </w:rPr>
        <w:t>5 050,5 тыс. рублей.</w:t>
      </w:r>
    </w:p>
  </w:footnote>
  <w:footnote w:id="7">
    <w:p w:rsidR="004E4A44" w:rsidRPr="00301DEF" w:rsidRDefault="004E4A44" w:rsidP="00EF4C69">
      <w:pPr>
        <w:pStyle w:val="310"/>
        <w:jc w:val="both"/>
        <w:rPr>
          <w:sz w:val="20"/>
          <w:szCs w:val="20"/>
        </w:rPr>
      </w:pPr>
      <w:r w:rsidRPr="00301DEF">
        <w:rPr>
          <w:rStyle w:val="afa"/>
          <w:sz w:val="20"/>
          <w:szCs w:val="20"/>
        </w:rPr>
        <w:footnoteRef/>
      </w:r>
      <w:r w:rsidRPr="00301DEF">
        <w:rPr>
          <w:sz w:val="20"/>
          <w:szCs w:val="20"/>
        </w:rPr>
        <w:t xml:space="preserve"> В том числе по мероприятиям 2021 года – 434 758,9 тыс. рублей, по мероприятиям предшествующих периодов</w:t>
      </w:r>
      <w:r>
        <w:rPr>
          <w:sz w:val="20"/>
          <w:szCs w:val="20"/>
        </w:rPr>
        <w:t> -</w:t>
      </w:r>
      <w:r w:rsidRPr="00301DEF">
        <w:rPr>
          <w:sz w:val="20"/>
          <w:szCs w:val="20"/>
        </w:rPr>
        <w:t xml:space="preserve"> 11 393,2 тыс. рублей.</w:t>
      </w:r>
    </w:p>
  </w:footnote>
  <w:footnote w:id="8">
    <w:p w:rsidR="004E4A44" w:rsidRPr="002F4305" w:rsidRDefault="004E4A44" w:rsidP="00EF4C69">
      <w:pPr>
        <w:pStyle w:val="310"/>
        <w:jc w:val="both"/>
        <w:rPr>
          <w:sz w:val="20"/>
          <w:szCs w:val="20"/>
        </w:rPr>
      </w:pPr>
      <w:r w:rsidRPr="002F4305">
        <w:rPr>
          <w:rStyle w:val="afa"/>
          <w:sz w:val="20"/>
          <w:szCs w:val="20"/>
        </w:rPr>
        <w:footnoteRef/>
      </w:r>
      <w:r w:rsidRPr="002F4305">
        <w:rPr>
          <w:sz w:val="20"/>
          <w:szCs w:val="20"/>
        </w:rPr>
        <w:t xml:space="preserve"> В том числе по мероприятиям 2022 года – 112 892,88 тыс. рублей, по мероприятиям предшествующих </w:t>
      </w:r>
      <w:r w:rsidRPr="003870B6">
        <w:rPr>
          <w:sz w:val="20"/>
          <w:szCs w:val="20"/>
        </w:rPr>
        <w:t>периодов - 69 268,84 тыс. рублей</w:t>
      </w:r>
      <w:r w:rsidRPr="002F4305">
        <w:rPr>
          <w:sz w:val="20"/>
          <w:szCs w:val="20"/>
        </w:rPr>
        <w:t>.</w:t>
      </w:r>
    </w:p>
  </w:footnote>
  <w:footnote w:id="9">
    <w:p w:rsidR="004E4A44" w:rsidRPr="004E00B0" w:rsidRDefault="004E4A44" w:rsidP="00EF4C69">
      <w:pPr>
        <w:pStyle w:val="310"/>
        <w:jc w:val="both"/>
        <w:rPr>
          <w:sz w:val="20"/>
          <w:szCs w:val="20"/>
        </w:rPr>
      </w:pPr>
      <w:r w:rsidRPr="004E00B0">
        <w:rPr>
          <w:rStyle w:val="afa"/>
          <w:sz w:val="20"/>
          <w:szCs w:val="20"/>
        </w:rPr>
        <w:footnoteRef/>
      </w:r>
      <w:r w:rsidRPr="004E00B0">
        <w:rPr>
          <w:sz w:val="20"/>
          <w:szCs w:val="20"/>
        </w:rPr>
        <w:t xml:space="preserve"> В том числе по мероприятиям 2020 года – 532,0 тыс. рублей, по мероприятиям предшествующих периодов – 135,2 тыс. рублей.</w:t>
      </w:r>
    </w:p>
  </w:footnote>
  <w:footnote w:id="10">
    <w:p w:rsidR="004E4A44" w:rsidRPr="00143A53" w:rsidRDefault="004E4A44" w:rsidP="00EF4C69">
      <w:pPr>
        <w:pStyle w:val="310"/>
        <w:jc w:val="both"/>
        <w:rPr>
          <w:sz w:val="20"/>
          <w:szCs w:val="20"/>
        </w:rPr>
      </w:pPr>
      <w:r w:rsidRPr="00301DEF">
        <w:rPr>
          <w:rStyle w:val="afa"/>
          <w:sz w:val="20"/>
          <w:szCs w:val="20"/>
        </w:rPr>
        <w:footnoteRef/>
      </w:r>
      <w:r w:rsidRPr="00301DEF">
        <w:rPr>
          <w:sz w:val="20"/>
          <w:szCs w:val="20"/>
        </w:rPr>
        <w:t xml:space="preserve"> В том числе по мероприятиям 2021 года – 10 300,4 тыс. рублей, по мероприятиям предшествующих периодов</w:t>
      </w:r>
      <w:r>
        <w:t> </w:t>
      </w:r>
      <w:r>
        <w:rPr>
          <w:sz w:val="20"/>
          <w:szCs w:val="20"/>
        </w:rPr>
        <w:t>-</w:t>
      </w:r>
      <w:r w:rsidRPr="00301DEF">
        <w:rPr>
          <w:sz w:val="20"/>
          <w:szCs w:val="20"/>
        </w:rPr>
        <w:t xml:space="preserve"> 3 593,4 тыс. рублей.</w:t>
      </w:r>
    </w:p>
  </w:footnote>
  <w:footnote w:id="11">
    <w:p w:rsidR="004E4A44" w:rsidRPr="002F4305" w:rsidRDefault="004E4A44" w:rsidP="00EF4C69">
      <w:pPr>
        <w:pStyle w:val="310"/>
        <w:rPr>
          <w:sz w:val="20"/>
          <w:szCs w:val="20"/>
        </w:rPr>
      </w:pPr>
      <w:r w:rsidRPr="002F4305">
        <w:rPr>
          <w:rStyle w:val="afa"/>
          <w:sz w:val="20"/>
          <w:szCs w:val="20"/>
        </w:rPr>
        <w:footnoteRef/>
      </w:r>
      <w:r w:rsidRPr="002F4305">
        <w:rPr>
          <w:sz w:val="20"/>
          <w:szCs w:val="20"/>
        </w:rPr>
        <w:t xml:space="preserve"> В том числе по мероприятиям 202</w:t>
      </w:r>
      <w:r>
        <w:rPr>
          <w:sz w:val="20"/>
          <w:szCs w:val="20"/>
        </w:rPr>
        <w:t>2</w:t>
      </w:r>
      <w:r w:rsidRPr="002F4305">
        <w:rPr>
          <w:sz w:val="20"/>
          <w:szCs w:val="20"/>
        </w:rPr>
        <w:t xml:space="preserve"> года – </w:t>
      </w:r>
      <w:r>
        <w:rPr>
          <w:sz w:val="20"/>
          <w:szCs w:val="20"/>
        </w:rPr>
        <w:t>172,46</w:t>
      </w:r>
      <w:r w:rsidRPr="002F4305">
        <w:rPr>
          <w:sz w:val="20"/>
          <w:szCs w:val="20"/>
        </w:rPr>
        <w:t xml:space="preserve"> тыс. рублей, по мероприятиям предшествующих периодов – </w:t>
      </w:r>
      <w:r>
        <w:rPr>
          <w:sz w:val="20"/>
          <w:szCs w:val="20"/>
        </w:rPr>
        <w:t>1 807,22</w:t>
      </w:r>
      <w:r w:rsidRPr="002F4305">
        <w:rPr>
          <w:sz w:val="20"/>
          <w:szCs w:val="20"/>
        </w:rPr>
        <w:t> тыс. рублей.</w:t>
      </w:r>
    </w:p>
  </w:footnote>
  <w:footnote w:id="12">
    <w:p w:rsidR="004E4A44" w:rsidRPr="00E2515C" w:rsidRDefault="004E4A44" w:rsidP="00EF4C69">
      <w:pPr>
        <w:pStyle w:val="310"/>
        <w:jc w:val="both"/>
        <w:rPr>
          <w:sz w:val="20"/>
          <w:szCs w:val="20"/>
        </w:rPr>
      </w:pPr>
      <w:r w:rsidRPr="00E2515C">
        <w:rPr>
          <w:rStyle w:val="afa"/>
          <w:sz w:val="20"/>
          <w:szCs w:val="20"/>
        </w:rPr>
        <w:footnoteRef/>
      </w:r>
      <w:r>
        <w:rPr>
          <w:sz w:val="20"/>
          <w:szCs w:val="20"/>
        </w:rPr>
        <w:t> В</w:t>
      </w:r>
      <w:r w:rsidRPr="00E2515C">
        <w:rPr>
          <w:sz w:val="20"/>
          <w:szCs w:val="20"/>
        </w:rPr>
        <w:t xml:space="preserve"> рамках предварительного контроля формирования бюджета города по предложениям КСП </w:t>
      </w:r>
      <w:r>
        <w:rPr>
          <w:sz w:val="20"/>
          <w:szCs w:val="20"/>
        </w:rPr>
        <w:t>у</w:t>
      </w:r>
      <w:r w:rsidRPr="00E2515C">
        <w:rPr>
          <w:sz w:val="20"/>
          <w:szCs w:val="20"/>
        </w:rPr>
        <w:t>меньшены бюджетные ассигнования с последующим перенаправлением</w:t>
      </w:r>
      <w:r>
        <w:rPr>
          <w:sz w:val="20"/>
          <w:szCs w:val="20"/>
        </w:rPr>
        <w:t xml:space="preserve"> </w:t>
      </w:r>
      <w:r w:rsidRPr="000608F8">
        <w:rPr>
          <w:sz w:val="20"/>
          <w:szCs w:val="20"/>
        </w:rPr>
        <w:t xml:space="preserve">(в том числе с учётом предложений ГРБС) </w:t>
      </w:r>
      <w:r>
        <w:rPr>
          <w:sz w:val="20"/>
          <w:szCs w:val="20"/>
        </w:rPr>
        <w:br/>
      </w:r>
      <w:r w:rsidRPr="000608F8">
        <w:rPr>
          <w:sz w:val="20"/>
          <w:szCs w:val="20"/>
        </w:rPr>
        <w:t>на другие статьи или другие объекты</w:t>
      </w:r>
      <w:r w:rsidRPr="00E2515C">
        <w:rPr>
          <w:sz w:val="20"/>
          <w:szCs w:val="20"/>
        </w:rPr>
        <w:t>.</w:t>
      </w:r>
    </w:p>
  </w:footnote>
  <w:footnote w:id="13">
    <w:p w:rsidR="004E4A44" w:rsidRPr="00063AAA" w:rsidRDefault="004E4A44" w:rsidP="00EF4C69">
      <w:pPr>
        <w:pStyle w:val="310"/>
        <w:jc w:val="both"/>
        <w:rPr>
          <w:sz w:val="20"/>
          <w:szCs w:val="20"/>
        </w:rPr>
      </w:pPr>
      <w:r w:rsidRPr="00063AAA">
        <w:rPr>
          <w:rStyle w:val="afa"/>
          <w:sz w:val="20"/>
          <w:szCs w:val="20"/>
        </w:rPr>
        <w:footnoteRef/>
      </w:r>
      <w:r w:rsidRPr="00063AAA">
        <w:rPr>
          <w:sz w:val="20"/>
          <w:szCs w:val="20"/>
        </w:rPr>
        <w:t xml:space="preserve"> В том числе по мероприятиям 2020 года </w:t>
      </w:r>
      <w:r w:rsidRPr="007A0CD6">
        <w:rPr>
          <w:sz w:val="20"/>
          <w:szCs w:val="20"/>
        </w:rPr>
        <w:t>– 132 305,6 тыс. рублей, п</w:t>
      </w:r>
      <w:r w:rsidRPr="00063AAA">
        <w:rPr>
          <w:sz w:val="20"/>
          <w:szCs w:val="20"/>
        </w:rPr>
        <w:t>о мероприятиям предшествующих периодов</w:t>
      </w:r>
      <w:r>
        <w:rPr>
          <w:sz w:val="20"/>
          <w:szCs w:val="20"/>
        </w:rPr>
        <w:t> </w:t>
      </w:r>
      <w:r w:rsidRPr="006110E1">
        <w:rPr>
          <w:sz w:val="20"/>
          <w:szCs w:val="20"/>
        </w:rPr>
        <w:t>–</w:t>
      </w:r>
      <w:r>
        <w:rPr>
          <w:sz w:val="20"/>
          <w:szCs w:val="20"/>
        </w:rPr>
        <w:t> </w:t>
      </w:r>
      <w:r w:rsidRPr="00063AAA">
        <w:rPr>
          <w:sz w:val="20"/>
          <w:szCs w:val="20"/>
        </w:rPr>
        <w:t>3 455,1 тыс. рублей.</w:t>
      </w:r>
    </w:p>
  </w:footnote>
  <w:footnote w:id="14">
    <w:p w:rsidR="004E4A44" w:rsidRPr="00C90ECD" w:rsidRDefault="004E4A44" w:rsidP="00EF4C69">
      <w:pPr>
        <w:pStyle w:val="310"/>
        <w:jc w:val="both"/>
        <w:rPr>
          <w:sz w:val="20"/>
          <w:szCs w:val="20"/>
        </w:rPr>
      </w:pPr>
      <w:r w:rsidRPr="006110E1">
        <w:rPr>
          <w:rStyle w:val="afa"/>
          <w:sz w:val="20"/>
          <w:szCs w:val="20"/>
        </w:rPr>
        <w:footnoteRef/>
      </w:r>
      <w:r w:rsidRPr="006110E1">
        <w:rPr>
          <w:sz w:val="20"/>
          <w:szCs w:val="20"/>
        </w:rPr>
        <w:t xml:space="preserve"> В том числе по мероприятиям 2021 года – 313,9 тыс. рублей, по мероприятиям предшествующих </w:t>
      </w:r>
      <w:r>
        <w:rPr>
          <w:sz w:val="20"/>
          <w:szCs w:val="20"/>
        </w:rPr>
        <w:br/>
      </w:r>
      <w:r w:rsidRPr="006110E1">
        <w:rPr>
          <w:sz w:val="20"/>
          <w:szCs w:val="20"/>
        </w:rPr>
        <w:t>периодов – 39 368,2 тыс. рублей.</w:t>
      </w:r>
    </w:p>
  </w:footnote>
  <w:footnote w:id="15">
    <w:p w:rsidR="004E4A44" w:rsidRPr="00F75453" w:rsidRDefault="004E4A44" w:rsidP="00EF4C69">
      <w:pPr>
        <w:pStyle w:val="310"/>
        <w:jc w:val="both"/>
        <w:rPr>
          <w:sz w:val="20"/>
          <w:szCs w:val="20"/>
        </w:rPr>
      </w:pPr>
      <w:r w:rsidRPr="00F75453">
        <w:rPr>
          <w:rStyle w:val="afa"/>
          <w:sz w:val="20"/>
          <w:szCs w:val="20"/>
        </w:rPr>
        <w:footnoteRef/>
      </w:r>
      <w:r w:rsidRPr="00F75453">
        <w:rPr>
          <w:sz w:val="20"/>
          <w:szCs w:val="20"/>
        </w:rPr>
        <w:t> </w:t>
      </w:r>
      <w:r w:rsidRPr="00F75453">
        <w:rPr>
          <w:rFonts w:eastAsia="Times New Roman"/>
          <w:sz w:val="20"/>
          <w:szCs w:val="20"/>
        </w:rPr>
        <w:t xml:space="preserve">Протоколы были составлены в отношении </w:t>
      </w:r>
      <w:r>
        <w:rPr>
          <w:rFonts w:eastAsia="Times New Roman"/>
          <w:sz w:val="20"/>
          <w:szCs w:val="20"/>
        </w:rPr>
        <w:t>одного</w:t>
      </w:r>
      <w:r w:rsidRPr="00F75453">
        <w:rPr>
          <w:rFonts w:eastAsia="Times New Roman"/>
          <w:sz w:val="20"/>
          <w:szCs w:val="20"/>
        </w:rPr>
        <w:t xml:space="preserve"> должностн</w:t>
      </w:r>
      <w:r>
        <w:rPr>
          <w:rFonts w:eastAsia="Times New Roman"/>
          <w:sz w:val="20"/>
          <w:szCs w:val="20"/>
        </w:rPr>
        <w:t>ого</w:t>
      </w:r>
      <w:r w:rsidRPr="00F75453">
        <w:rPr>
          <w:rFonts w:eastAsia="Times New Roman"/>
          <w:sz w:val="20"/>
          <w:szCs w:val="20"/>
        </w:rPr>
        <w:t xml:space="preserve"> лиц</w:t>
      </w:r>
      <w:r>
        <w:rPr>
          <w:rFonts w:eastAsia="Times New Roman"/>
          <w:sz w:val="20"/>
          <w:szCs w:val="20"/>
        </w:rPr>
        <w:t>а</w:t>
      </w:r>
      <w:r w:rsidRPr="00F75453">
        <w:rPr>
          <w:rFonts w:eastAsia="Times New Roman"/>
          <w:sz w:val="20"/>
          <w:szCs w:val="20"/>
        </w:rPr>
        <w:t xml:space="preserve"> по ст. 15.15.15 К</w:t>
      </w:r>
      <w:r>
        <w:rPr>
          <w:rFonts w:eastAsia="Times New Roman"/>
          <w:sz w:val="20"/>
          <w:szCs w:val="20"/>
        </w:rPr>
        <w:t>РФ</w:t>
      </w:r>
      <w:r w:rsidRPr="00F75453">
        <w:rPr>
          <w:rFonts w:eastAsia="Times New Roman"/>
          <w:sz w:val="20"/>
          <w:szCs w:val="20"/>
        </w:rPr>
        <w:t>оАП</w:t>
      </w:r>
      <w:r>
        <w:rPr>
          <w:rFonts w:eastAsia="Times New Roman"/>
          <w:sz w:val="20"/>
          <w:szCs w:val="20"/>
        </w:rPr>
        <w:t xml:space="preserve"> </w:t>
      </w:r>
      <w:r w:rsidRPr="00F75453">
        <w:rPr>
          <w:rFonts w:eastAsia="Times New Roman"/>
          <w:sz w:val="20"/>
          <w:szCs w:val="20"/>
        </w:rPr>
        <w:t>«Нарушение порядка формирования государствен</w:t>
      </w:r>
      <w:r>
        <w:rPr>
          <w:rFonts w:eastAsia="Times New Roman"/>
          <w:sz w:val="20"/>
          <w:szCs w:val="20"/>
        </w:rPr>
        <w:t>ного (муниципального) задания».</w:t>
      </w:r>
    </w:p>
  </w:footnote>
  <w:footnote w:id="16">
    <w:p w:rsidR="004E4A44" w:rsidRPr="001161E2" w:rsidRDefault="004E4A44" w:rsidP="00EF4C69">
      <w:pPr>
        <w:pStyle w:val="310"/>
        <w:rPr>
          <w:sz w:val="20"/>
          <w:szCs w:val="20"/>
        </w:rPr>
      </w:pPr>
      <w:r w:rsidRPr="001161E2">
        <w:rPr>
          <w:rStyle w:val="afa"/>
          <w:sz w:val="20"/>
          <w:szCs w:val="20"/>
        </w:rPr>
        <w:footnoteRef/>
      </w:r>
      <w:r w:rsidRPr="001161E2">
        <w:rPr>
          <w:sz w:val="20"/>
          <w:szCs w:val="20"/>
        </w:rPr>
        <w:t xml:space="preserve"> Кодекс Российской Федерации об административных правонарушениях (далее –</w:t>
      </w:r>
      <w:r w:rsidR="00720E77">
        <w:rPr>
          <w:sz w:val="20"/>
          <w:szCs w:val="20"/>
        </w:rPr>
        <w:t xml:space="preserve"> </w:t>
      </w:r>
      <w:r w:rsidRPr="001161E2">
        <w:rPr>
          <w:sz w:val="20"/>
          <w:szCs w:val="20"/>
        </w:rPr>
        <w:t>КРФоАП).</w:t>
      </w:r>
    </w:p>
  </w:footnote>
  <w:footnote w:id="17">
    <w:p w:rsidR="004E4A44" w:rsidRPr="00F75453" w:rsidRDefault="004E4A44" w:rsidP="00EF4C69">
      <w:pPr>
        <w:pStyle w:val="310"/>
        <w:jc w:val="both"/>
        <w:rPr>
          <w:sz w:val="20"/>
          <w:szCs w:val="20"/>
        </w:rPr>
      </w:pPr>
      <w:r w:rsidRPr="00F75453">
        <w:rPr>
          <w:rStyle w:val="afa"/>
          <w:sz w:val="20"/>
          <w:szCs w:val="20"/>
        </w:rPr>
        <w:footnoteRef/>
      </w:r>
      <w:r w:rsidRPr="00F75453">
        <w:rPr>
          <w:sz w:val="20"/>
          <w:szCs w:val="20"/>
        </w:rPr>
        <w:t> </w:t>
      </w:r>
      <w:r w:rsidRPr="00F75453">
        <w:rPr>
          <w:rFonts w:eastAsia="Times New Roman"/>
          <w:sz w:val="20"/>
          <w:szCs w:val="20"/>
        </w:rPr>
        <w:t xml:space="preserve">Протоколы были составлены в отношении </w:t>
      </w:r>
      <w:r>
        <w:rPr>
          <w:rFonts w:eastAsia="Times New Roman"/>
          <w:sz w:val="20"/>
          <w:szCs w:val="20"/>
        </w:rPr>
        <w:t>одного</w:t>
      </w:r>
      <w:r w:rsidRPr="00F75453">
        <w:rPr>
          <w:rFonts w:eastAsia="Times New Roman"/>
          <w:sz w:val="20"/>
          <w:szCs w:val="20"/>
        </w:rPr>
        <w:t xml:space="preserve"> должностн</w:t>
      </w:r>
      <w:r>
        <w:rPr>
          <w:rFonts w:eastAsia="Times New Roman"/>
          <w:sz w:val="20"/>
          <w:szCs w:val="20"/>
        </w:rPr>
        <w:t>ого</w:t>
      </w:r>
      <w:r w:rsidRPr="00F75453">
        <w:rPr>
          <w:rFonts w:eastAsia="Times New Roman"/>
          <w:sz w:val="20"/>
          <w:szCs w:val="20"/>
        </w:rPr>
        <w:t xml:space="preserve"> лиц</w:t>
      </w:r>
      <w:r>
        <w:rPr>
          <w:rFonts w:eastAsia="Times New Roman"/>
          <w:sz w:val="20"/>
          <w:szCs w:val="20"/>
        </w:rPr>
        <w:t>а</w:t>
      </w:r>
      <w:r w:rsidRPr="00F75453">
        <w:rPr>
          <w:rFonts w:eastAsia="Times New Roman"/>
          <w:sz w:val="20"/>
          <w:szCs w:val="20"/>
        </w:rPr>
        <w:t xml:space="preserve"> по ст. 15.15.15 К</w:t>
      </w:r>
      <w:r>
        <w:rPr>
          <w:rFonts w:eastAsia="Times New Roman"/>
          <w:sz w:val="20"/>
          <w:szCs w:val="20"/>
        </w:rPr>
        <w:t>РФ</w:t>
      </w:r>
      <w:r w:rsidRPr="00F75453">
        <w:rPr>
          <w:rFonts w:eastAsia="Times New Roman"/>
          <w:sz w:val="20"/>
          <w:szCs w:val="20"/>
        </w:rPr>
        <w:t>оАП</w:t>
      </w:r>
      <w:r>
        <w:rPr>
          <w:rFonts w:eastAsia="Times New Roman"/>
          <w:sz w:val="20"/>
          <w:szCs w:val="20"/>
        </w:rPr>
        <w:t xml:space="preserve"> </w:t>
      </w:r>
      <w:r w:rsidRPr="00F75453">
        <w:rPr>
          <w:rFonts w:eastAsia="Times New Roman"/>
          <w:sz w:val="20"/>
          <w:szCs w:val="20"/>
        </w:rPr>
        <w:t>«Нарушение порядка формирования государствен</w:t>
      </w:r>
      <w:r>
        <w:rPr>
          <w:rFonts w:eastAsia="Times New Roman"/>
          <w:sz w:val="20"/>
          <w:szCs w:val="20"/>
        </w:rPr>
        <w:t>ного (муниципального) задания».</w:t>
      </w:r>
    </w:p>
  </w:footnote>
  <w:footnote w:id="18">
    <w:p w:rsidR="004E4A44" w:rsidRPr="00C52301" w:rsidRDefault="004E4A44" w:rsidP="00EF4C69">
      <w:pPr>
        <w:pStyle w:val="310"/>
        <w:jc w:val="both"/>
        <w:rPr>
          <w:sz w:val="20"/>
          <w:szCs w:val="20"/>
        </w:rPr>
      </w:pPr>
      <w:r w:rsidRPr="00C52301">
        <w:rPr>
          <w:rStyle w:val="afa"/>
          <w:sz w:val="20"/>
          <w:szCs w:val="20"/>
        </w:rPr>
        <w:footnoteRef/>
      </w:r>
      <w:r w:rsidRPr="00C52301">
        <w:rPr>
          <w:sz w:val="20"/>
          <w:szCs w:val="20"/>
        </w:rPr>
        <w:t> Решение Думы города от 08.11.2022 № 216-VII ДГ «О мерах по материальному и социальному обеспечению лиц, замещающих муниципальные должности в Контрольно-счетной палате города Сургута».</w:t>
      </w:r>
    </w:p>
  </w:footnote>
  <w:footnote w:id="19">
    <w:p w:rsidR="004E4A44" w:rsidRPr="00C52301" w:rsidRDefault="004E4A44" w:rsidP="00EF4C69">
      <w:pPr>
        <w:pStyle w:val="310"/>
        <w:jc w:val="both"/>
        <w:rPr>
          <w:sz w:val="20"/>
          <w:szCs w:val="20"/>
        </w:rPr>
      </w:pPr>
      <w:r w:rsidRPr="00C52301">
        <w:rPr>
          <w:rStyle w:val="afa"/>
          <w:sz w:val="20"/>
          <w:szCs w:val="20"/>
        </w:rPr>
        <w:footnoteRef/>
      </w:r>
      <w:r w:rsidRPr="00C52301">
        <w:rPr>
          <w:sz w:val="20"/>
          <w:szCs w:val="20"/>
        </w:rPr>
        <w:t> Решение Думы города от 05.10.2022 № 195-VII ДГ «О внесении изменений в решение Думы города от 01.06.2010 № 755-IV ДГ «О пенсионном обеспечении лиц, замещавших муниципальные должности на постоянной основе и должности муниципальной службы».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38352504"/>
      <w:docPartObj>
        <w:docPartGallery w:val="Page Numbers (Top of Page)"/>
        <w:docPartUnique/>
      </w:docPartObj>
    </w:sdtPr>
    <w:sdtEndPr/>
    <w:sdtContent>
      <w:p w:rsidR="004E4A44" w:rsidRPr="00785736" w:rsidRDefault="004E4A44">
        <w:pPr>
          <w:pStyle w:val="ae"/>
          <w:jc w:val="center"/>
          <w:rPr>
            <w:sz w:val="20"/>
            <w:szCs w:val="20"/>
          </w:rPr>
        </w:pPr>
        <w:r w:rsidRPr="00785736">
          <w:rPr>
            <w:sz w:val="20"/>
            <w:szCs w:val="20"/>
          </w:rPr>
          <w:fldChar w:fldCharType="begin"/>
        </w:r>
        <w:r w:rsidRPr="00785736">
          <w:rPr>
            <w:sz w:val="20"/>
            <w:szCs w:val="20"/>
          </w:rPr>
          <w:instrText>PAGE   \* MERGEFORMAT</w:instrText>
        </w:r>
        <w:r w:rsidRPr="00785736">
          <w:rPr>
            <w:sz w:val="20"/>
            <w:szCs w:val="20"/>
          </w:rPr>
          <w:fldChar w:fldCharType="separate"/>
        </w:r>
        <w:r w:rsidR="00591E02">
          <w:rPr>
            <w:noProof/>
            <w:sz w:val="20"/>
            <w:szCs w:val="20"/>
          </w:rPr>
          <w:t>2</w:t>
        </w:r>
        <w:r w:rsidRPr="0078573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67E3E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2E55FA"/>
    <w:rsid w:val="002F3E4C"/>
    <w:rsid w:val="00310A0E"/>
    <w:rsid w:val="00312D3C"/>
    <w:rsid w:val="003224F1"/>
    <w:rsid w:val="003311E7"/>
    <w:rsid w:val="003414E9"/>
    <w:rsid w:val="003502CB"/>
    <w:rsid w:val="003521EB"/>
    <w:rsid w:val="003648CC"/>
    <w:rsid w:val="003840B7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3BBB"/>
    <w:rsid w:val="004C4E88"/>
    <w:rsid w:val="004E2731"/>
    <w:rsid w:val="004E4A44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5E7"/>
    <w:rsid w:val="00564873"/>
    <w:rsid w:val="005733E0"/>
    <w:rsid w:val="00590934"/>
    <w:rsid w:val="00590CBE"/>
    <w:rsid w:val="00591E02"/>
    <w:rsid w:val="005A497D"/>
    <w:rsid w:val="005A690F"/>
    <w:rsid w:val="005B0CF7"/>
    <w:rsid w:val="005C2C05"/>
    <w:rsid w:val="005D2E11"/>
    <w:rsid w:val="005D7795"/>
    <w:rsid w:val="005E073E"/>
    <w:rsid w:val="005E2C49"/>
    <w:rsid w:val="005E44E2"/>
    <w:rsid w:val="005E4B83"/>
    <w:rsid w:val="005F3588"/>
    <w:rsid w:val="00623E7F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10FB"/>
    <w:rsid w:val="006A46FF"/>
    <w:rsid w:val="006A743E"/>
    <w:rsid w:val="006C02FC"/>
    <w:rsid w:val="006D794C"/>
    <w:rsid w:val="006F5A64"/>
    <w:rsid w:val="007059EF"/>
    <w:rsid w:val="00707909"/>
    <w:rsid w:val="00707CBB"/>
    <w:rsid w:val="0071370F"/>
    <w:rsid w:val="00720E77"/>
    <w:rsid w:val="00722937"/>
    <w:rsid w:val="00743A92"/>
    <w:rsid w:val="00744B53"/>
    <w:rsid w:val="00752261"/>
    <w:rsid w:val="00755E16"/>
    <w:rsid w:val="00760848"/>
    <w:rsid w:val="00765012"/>
    <w:rsid w:val="007673D5"/>
    <w:rsid w:val="007850DE"/>
    <w:rsid w:val="00785736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E45BD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911F1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E7082"/>
    <w:rsid w:val="00AF79E1"/>
    <w:rsid w:val="00B059EE"/>
    <w:rsid w:val="00B06787"/>
    <w:rsid w:val="00B072F2"/>
    <w:rsid w:val="00B07DE4"/>
    <w:rsid w:val="00B12CA2"/>
    <w:rsid w:val="00B14A95"/>
    <w:rsid w:val="00B35269"/>
    <w:rsid w:val="00B371AD"/>
    <w:rsid w:val="00B50DF1"/>
    <w:rsid w:val="00B50E11"/>
    <w:rsid w:val="00B60969"/>
    <w:rsid w:val="00B70980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2E8A"/>
    <w:rsid w:val="00BE4D8C"/>
    <w:rsid w:val="00C04801"/>
    <w:rsid w:val="00C07A87"/>
    <w:rsid w:val="00C24A6E"/>
    <w:rsid w:val="00C4013A"/>
    <w:rsid w:val="00C45521"/>
    <w:rsid w:val="00C53527"/>
    <w:rsid w:val="00C54326"/>
    <w:rsid w:val="00C569A9"/>
    <w:rsid w:val="00C67020"/>
    <w:rsid w:val="00C72CC8"/>
    <w:rsid w:val="00C921B1"/>
    <w:rsid w:val="00C9787E"/>
    <w:rsid w:val="00CA11FF"/>
    <w:rsid w:val="00CA35C9"/>
    <w:rsid w:val="00CA6290"/>
    <w:rsid w:val="00CA62D5"/>
    <w:rsid w:val="00CD3AB8"/>
    <w:rsid w:val="00D218EF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EE7453"/>
    <w:rsid w:val="00EF4C69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D1FAE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нак"/>
    <w:basedOn w:val="a"/>
    <w:next w:val="a"/>
    <w:link w:val="12"/>
    <w:uiPriority w:val="9"/>
    <w:qFormat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iPriority w:val="9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2">
    <w:name w:val="heading 3"/>
    <w:basedOn w:val="a"/>
    <w:next w:val="a"/>
    <w:link w:val="33"/>
    <w:uiPriority w:val="9"/>
    <w:semiHidden/>
    <w:unhideWhenUsed/>
    <w:qFormat/>
    <w:rsid w:val="00EF4C69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C69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C69"/>
    <w:pPr>
      <w:spacing w:before="240" w:after="6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C69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C69"/>
    <w:pPr>
      <w:spacing w:before="240" w:after="60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C69"/>
    <w:pPr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C69"/>
    <w:pPr>
      <w:spacing w:before="240" w:after="60"/>
      <w:jc w:val="left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aliases w:val="Знак1"/>
    <w:basedOn w:val="a"/>
    <w:next w:val="aa"/>
    <w:link w:val="ad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aliases w:val="Знак1 Знак"/>
    <w:basedOn w:val="a0"/>
    <w:link w:val="ac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Normal (Web)"/>
    <w:basedOn w:val="a"/>
    <w:uiPriority w:val="99"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uiPriority w:val="9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aliases w:val="Знак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4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5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4"/>
    <w:uiPriority w:val="2"/>
    <w:qFormat/>
    <w:rsid w:val="00833826"/>
    <w:pPr>
      <w:numPr>
        <w:ilvl w:val="2"/>
      </w:numPr>
      <w:outlineLvl w:val="2"/>
    </w:pPr>
  </w:style>
  <w:style w:type="character" w:customStyle="1" w:styleId="34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5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5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  <w:style w:type="character" w:customStyle="1" w:styleId="33">
    <w:name w:val="Заголовок 3 Знак"/>
    <w:basedOn w:val="a0"/>
    <w:link w:val="32"/>
    <w:uiPriority w:val="9"/>
    <w:semiHidden/>
    <w:rsid w:val="00EF4C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4C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4C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4C6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F4C6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F4C6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4C69"/>
    <w:rPr>
      <w:rFonts w:ascii="Cambria" w:eastAsia="Times New Roman" w:hAnsi="Cambria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F4C69"/>
  </w:style>
  <w:style w:type="numbering" w:customStyle="1" w:styleId="110">
    <w:name w:val="Нет списка11"/>
    <w:next w:val="a2"/>
    <w:uiPriority w:val="99"/>
    <w:semiHidden/>
    <w:unhideWhenUsed/>
    <w:rsid w:val="00EF4C69"/>
  </w:style>
  <w:style w:type="numbering" w:customStyle="1" w:styleId="111">
    <w:name w:val="Нет списка111"/>
    <w:next w:val="a2"/>
    <w:uiPriority w:val="99"/>
    <w:semiHidden/>
    <w:unhideWhenUsed/>
    <w:rsid w:val="00EF4C69"/>
  </w:style>
  <w:style w:type="character" w:customStyle="1" w:styleId="af6">
    <w:name w:val="Текст сноски Знак"/>
    <w:link w:val="af7"/>
    <w:uiPriority w:val="99"/>
    <w:locked/>
    <w:rsid w:val="00EF4C69"/>
  </w:style>
  <w:style w:type="paragraph" w:customStyle="1" w:styleId="310">
    <w:name w:val="Знак31"/>
    <w:basedOn w:val="a"/>
    <w:next w:val="af7"/>
    <w:uiPriority w:val="99"/>
    <w:unhideWhenUsed/>
    <w:qFormat/>
    <w:rsid w:val="00EF4C69"/>
    <w:pPr>
      <w:jc w:val="left"/>
    </w:pPr>
    <w:rPr>
      <w:rFonts w:cs="Times New Roman"/>
      <w:sz w:val="26"/>
      <w:szCs w:val="26"/>
    </w:rPr>
  </w:style>
  <w:style w:type="character" w:customStyle="1" w:styleId="14">
    <w:name w:val="Текст сноски Знак1"/>
    <w:basedOn w:val="a0"/>
    <w:rsid w:val="00EF4C69"/>
    <w:rPr>
      <w:sz w:val="20"/>
      <w:szCs w:val="20"/>
    </w:rPr>
  </w:style>
  <w:style w:type="character" w:customStyle="1" w:styleId="FootnoteTextChar1">
    <w:name w:val="Footnote Text Char1"/>
    <w:aliases w:val="Знак3 Char1"/>
    <w:basedOn w:val="a0"/>
    <w:uiPriority w:val="99"/>
    <w:semiHidden/>
    <w:rsid w:val="00EF4C69"/>
  </w:style>
  <w:style w:type="character" w:customStyle="1" w:styleId="15">
    <w:name w:val="Заголовок Знак1"/>
    <w:basedOn w:val="a0"/>
    <w:uiPriority w:val="10"/>
    <w:rsid w:val="00EF4C6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rsid w:val="00EF4C6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1">
    <w:name w:val="Title Char1"/>
    <w:aliases w:val="Знак1 Char1"/>
    <w:uiPriority w:val="10"/>
    <w:rsid w:val="00EF4C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Body Text Indent"/>
    <w:basedOn w:val="a"/>
    <w:link w:val="af9"/>
    <w:uiPriority w:val="99"/>
    <w:unhideWhenUsed/>
    <w:rsid w:val="00EF4C69"/>
    <w:pPr>
      <w:spacing w:after="120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F4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aliases w:val="текст сноски,анкета сноска,Знак сноски-FN,Ciae niinee-FN,Знак сноски 1,Ciae niinee 1"/>
    <w:unhideWhenUsed/>
    <w:rsid w:val="00EF4C69"/>
    <w:rPr>
      <w:vertAlign w:val="superscript"/>
    </w:rPr>
  </w:style>
  <w:style w:type="character" w:styleId="afb">
    <w:name w:val="Emphasis"/>
    <w:uiPriority w:val="20"/>
    <w:qFormat/>
    <w:rsid w:val="00EF4C69"/>
    <w:rPr>
      <w:i/>
    </w:rPr>
  </w:style>
  <w:style w:type="table" w:customStyle="1" w:styleId="17">
    <w:name w:val="Сетка таблицы1"/>
    <w:basedOn w:val="a1"/>
    <w:next w:val="af4"/>
    <w:uiPriority w:val="59"/>
    <w:rsid w:val="00EF4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4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Hyperlink"/>
    <w:uiPriority w:val="99"/>
    <w:unhideWhenUsed/>
    <w:rsid w:val="00EF4C6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EF4C69"/>
    <w:pPr>
      <w:spacing w:after="120" w:line="480" w:lineRule="auto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F4C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4C69"/>
  </w:style>
  <w:style w:type="character" w:customStyle="1" w:styleId="a7">
    <w:name w:val="Абзац списка Знак"/>
    <w:link w:val="a6"/>
    <w:uiPriority w:val="34"/>
    <w:locked/>
    <w:rsid w:val="00EF4C69"/>
    <w:rPr>
      <w:rFonts w:ascii="Times New Roman" w:hAnsi="Times New Roman"/>
      <w:sz w:val="28"/>
    </w:rPr>
  </w:style>
  <w:style w:type="character" w:customStyle="1" w:styleId="link">
    <w:name w:val="link"/>
    <w:basedOn w:val="a0"/>
    <w:rsid w:val="00EF4C69"/>
  </w:style>
  <w:style w:type="paragraph" w:customStyle="1" w:styleId="afd">
    <w:name w:val="Заголовок статьи"/>
    <w:basedOn w:val="a"/>
    <w:next w:val="a"/>
    <w:uiPriority w:val="99"/>
    <w:rsid w:val="00EF4C69"/>
    <w:pPr>
      <w:autoSpaceDE w:val="0"/>
      <w:autoSpaceDN w:val="0"/>
      <w:adjustRightInd w:val="0"/>
      <w:ind w:left="1612" w:hanging="892"/>
    </w:pPr>
    <w:rPr>
      <w:rFonts w:ascii="Arial" w:eastAsia="PMingLiU" w:hAnsi="Arial" w:cs="Arial"/>
      <w:sz w:val="24"/>
      <w:szCs w:val="24"/>
      <w:lang w:eastAsia="ru-RU"/>
    </w:rPr>
  </w:style>
  <w:style w:type="paragraph" w:customStyle="1" w:styleId="18">
    <w:name w:val="Текст концевой сноски1"/>
    <w:basedOn w:val="a"/>
    <w:next w:val="afe"/>
    <w:link w:val="aff"/>
    <w:uiPriority w:val="99"/>
    <w:semiHidden/>
    <w:unhideWhenUsed/>
    <w:rsid w:val="00EF4C69"/>
    <w:pPr>
      <w:ind w:firstLine="709"/>
    </w:pPr>
    <w:rPr>
      <w:rFonts w:asciiTheme="minorHAnsi" w:hAnsiTheme="minorHAnsi"/>
      <w:sz w:val="20"/>
      <w:szCs w:val="20"/>
    </w:rPr>
  </w:style>
  <w:style w:type="character" w:customStyle="1" w:styleId="aff">
    <w:name w:val="Текст концевой сноски Знак"/>
    <w:basedOn w:val="a0"/>
    <w:link w:val="18"/>
    <w:uiPriority w:val="99"/>
    <w:semiHidden/>
    <w:rsid w:val="00EF4C69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EF4C69"/>
    <w:rPr>
      <w:vertAlign w:val="superscript"/>
    </w:rPr>
  </w:style>
  <w:style w:type="character" w:styleId="aff1">
    <w:name w:val="annotation reference"/>
    <w:basedOn w:val="a0"/>
    <w:uiPriority w:val="99"/>
    <w:semiHidden/>
    <w:unhideWhenUsed/>
    <w:rsid w:val="00EF4C69"/>
    <w:rPr>
      <w:sz w:val="16"/>
      <w:szCs w:val="16"/>
    </w:rPr>
  </w:style>
  <w:style w:type="paragraph" w:customStyle="1" w:styleId="19">
    <w:name w:val="Текст примечания1"/>
    <w:basedOn w:val="a"/>
    <w:next w:val="aff2"/>
    <w:link w:val="aff3"/>
    <w:uiPriority w:val="99"/>
    <w:semiHidden/>
    <w:unhideWhenUsed/>
    <w:rsid w:val="00EF4C69"/>
    <w:pPr>
      <w:ind w:firstLine="709"/>
    </w:pPr>
    <w:rPr>
      <w:rFonts w:asciiTheme="minorHAnsi" w:hAnsiTheme="minorHAnsi"/>
      <w:sz w:val="20"/>
      <w:szCs w:val="20"/>
    </w:rPr>
  </w:style>
  <w:style w:type="character" w:customStyle="1" w:styleId="aff3">
    <w:name w:val="Текст примечания Знак"/>
    <w:basedOn w:val="a0"/>
    <w:link w:val="19"/>
    <w:uiPriority w:val="99"/>
    <w:semiHidden/>
    <w:rsid w:val="00EF4C69"/>
    <w:rPr>
      <w:sz w:val="20"/>
      <w:szCs w:val="20"/>
    </w:rPr>
  </w:style>
  <w:style w:type="paragraph" w:customStyle="1" w:styleId="1a">
    <w:name w:val="Тема примечания1"/>
    <w:basedOn w:val="aff2"/>
    <w:next w:val="aff2"/>
    <w:uiPriority w:val="99"/>
    <w:semiHidden/>
    <w:unhideWhenUsed/>
    <w:rsid w:val="00EF4C69"/>
    <w:pPr>
      <w:ind w:firstLine="709"/>
    </w:pPr>
    <w:rPr>
      <w:rFonts w:cs="Times New Roman"/>
      <w:b/>
      <w:bCs/>
    </w:rPr>
  </w:style>
  <w:style w:type="character" w:customStyle="1" w:styleId="aff4">
    <w:name w:val="Тема примечания Знак"/>
    <w:basedOn w:val="aff3"/>
    <w:link w:val="aff5"/>
    <w:uiPriority w:val="99"/>
    <w:semiHidden/>
    <w:rsid w:val="00EF4C69"/>
    <w:rPr>
      <w:b/>
      <w:bCs/>
      <w:sz w:val="20"/>
      <w:szCs w:val="20"/>
    </w:rPr>
  </w:style>
  <w:style w:type="character" w:customStyle="1" w:styleId="st">
    <w:name w:val="st"/>
    <w:basedOn w:val="a0"/>
    <w:rsid w:val="00EF4C69"/>
  </w:style>
  <w:style w:type="paragraph" w:customStyle="1" w:styleId="Style2">
    <w:name w:val="Style2"/>
    <w:basedOn w:val="a"/>
    <w:uiPriority w:val="99"/>
    <w:rsid w:val="00EF4C69"/>
    <w:pPr>
      <w:widowControl w:val="0"/>
      <w:autoSpaceDE w:val="0"/>
      <w:autoSpaceDN w:val="0"/>
      <w:adjustRightInd w:val="0"/>
      <w:spacing w:line="300" w:lineRule="exact"/>
      <w:ind w:firstLine="744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EF4C6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F4C69"/>
    <w:rPr>
      <w:rFonts w:ascii="Times New Roman" w:hAnsi="Times New Roman" w:cs="Times New Roman"/>
      <w:sz w:val="20"/>
      <w:szCs w:val="20"/>
    </w:rPr>
  </w:style>
  <w:style w:type="paragraph" w:styleId="af7">
    <w:name w:val="footnote text"/>
    <w:basedOn w:val="a"/>
    <w:link w:val="af6"/>
    <w:uiPriority w:val="99"/>
    <w:semiHidden/>
    <w:unhideWhenUsed/>
    <w:rsid w:val="00EF4C69"/>
    <w:rPr>
      <w:rFonts w:asciiTheme="minorHAnsi" w:hAnsiTheme="minorHAnsi"/>
      <w:sz w:val="22"/>
    </w:rPr>
  </w:style>
  <w:style w:type="character" w:customStyle="1" w:styleId="26">
    <w:name w:val="Текст сноски Знак2"/>
    <w:basedOn w:val="a0"/>
    <w:uiPriority w:val="99"/>
    <w:semiHidden/>
    <w:rsid w:val="00EF4C69"/>
    <w:rPr>
      <w:rFonts w:ascii="Times New Roman" w:hAnsi="Times New Roman"/>
      <w:sz w:val="20"/>
      <w:szCs w:val="20"/>
    </w:rPr>
  </w:style>
  <w:style w:type="paragraph" w:styleId="afe">
    <w:name w:val="endnote text"/>
    <w:basedOn w:val="a"/>
    <w:link w:val="1b"/>
    <w:uiPriority w:val="99"/>
    <w:semiHidden/>
    <w:unhideWhenUsed/>
    <w:rsid w:val="00EF4C69"/>
    <w:rPr>
      <w:sz w:val="20"/>
      <w:szCs w:val="20"/>
    </w:rPr>
  </w:style>
  <w:style w:type="character" w:customStyle="1" w:styleId="1b">
    <w:name w:val="Текст концевой сноски Знак1"/>
    <w:basedOn w:val="a0"/>
    <w:link w:val="afe"/>
    <w:uiPriority w:val="99"/>
    <w:semiHidden/>
    <w:rsid w:val="00EF4C69"/>
    <w:rPr>
      <w:rFonts w:ascii="Times New Roman" w:hAnsi="Times New Roman"/>
      <w:sz w:val="20"/>
      <w:szCs w:val="20"/>
    </w:rPr>
  </w:style>
  <w:style w:type="paragraph" w:styleId="aff2">
    <w:name w:val="annotation text"/>
    <w:basedOn w:val="a"/>
    <w:link w:val="1c"/>
    <w:uiPriority w:val="99"/>
    <w:semiHidden/>
    <w:unhideWhenUsed/>
    <w:rsid w:val="00EF4C69"/>
    <w:rPr>
      <w:sz w:val="20"/>
      <w:szCs w:val="20"/>
    </w:rPr>
  </w:style>
  <w:style w:type="character" w:customStyle="1" w:styleId="1c">
    <w:name w:val="Текст примечания Знак1"/>
    <w:basedOn w:val="a0"/>
    <w:link w:val="aff2"/>
    <w:uiPriority w:val="99"/>
    <w:semiHidden/>
    <w:rsid w:val="00EF4C69"/>
    <w:rPr>
      <w:rFonts w:ascii="Times New Roman" w:hAnsi="Times New Roman"/>
      <w:sz w:val="20"/>
      <w:szCs w:val="20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EF4C69"/>
    <w:rPr>
      <w:rFonts w:asciiTheme="minorHAnsi" w:hAnsiTheme="minorHAnsi"/>
      <w:b/>
      <w:bCs/>
    </w:rPr>
  </w:style>
  <w:style w:type="character" w:customStyle="1" w:styleId="1d">
    <w:name w:val="Тема примечания Знак1"/>
    <w:basedOn w:val="1c"/>
    <w:uiPriority w:val="99"/>
    <w:semiHidden/>
    <w:rsid w:val="00EF4C6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868FD"/>
    <w:rsid w:val="000924FF"/>
    <w:rsid w:val="000E2A5C"/>
    <w:rsid w:val="000F4D68"/>
    <w:rsid w:val="001044E6"/>
    <w:rsid w:val="001573DF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4E6A80"/>
    <w:rsid w:val="005209DF"/>
    <w:rsid w:val="0056137A"/>
    <w:rsid w:val="00564EC9"/>
    <w:rsid w:val="005D7FB3"/>
    <w:rsid w:val="0060602A"/>
    <w:rsid w:val="00625427"/>
    <w:rsid w:val="00627304"/>
    <w:rsid w:val="006A0BB1"/>
    <w:rsid w:val="0070167A"/>
    <w:rsid w:val="00715D75"/>
    <w:rsid w:val="00733514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60031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0CD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B6B6E"/>
    <w:rsid w:val="00ED08DF"/>
    <w:rsid w:val="00EE1EB9"/>
    <w:rsid w:val="00F52B4C"/>
    <w:rsid w:val="00F5457A"/>
    <w:rsid w:val="00F7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4487-3EB4-4251-8C66-BA0002A5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1164</TotalTime>
  <Pages>16</Pages>
  <Words>5196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141</cp:revision>
  <cp:lastPrinted>2023-02-27T09:29:00Z</cp:lastPrinted>
  <dcterms:created xsi:type="dcterms:W3CDTF">2021-02-25T07:49:00Z</dcterms:created>
  <dcterms:modified xsi:type="dcterms:W3CDTF">2023-03-01T07:27:00Z</dcterms:modified>
</cp:coreProperties>
</file>