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FF16D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92C9A" w:rsidRPr="00892C9A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 15.06.2018 № 4437                                        «Об утверждении порядка предоставления субсидий субъектам малого и среднего предпринимател</w:t>
      </w:r>
      <w:r w:rsidR="00892C9A">
        <w:rPr>
          <w:rFonts w:ascii="Times New Roman" w:hAnsi="Times New Roman" w:cs="Times New Roman"/>
          <w:i/>
          <w:sz w:val="28"/>
          <w:szCs w:val="28"/>
        </w:rPr>
        <w:t>ьства в целях возмещения затрат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C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2C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8E" w:rsidRPr="0094668E" w:rsidRDefault="00C943E8" w:rsidP="008B6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воспроизведения положений окружного законодательства</w:t>
      </w:r>
      <w:r w:rsidR="0094668E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1AB4"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2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2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A6CA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92C9A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067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26</cp:revision>
  <cp:lastPrinted>2018-04-10T04:24:00Z</cp:lastPrinted>
  <dcterms:created xsi:type="dcterms:W3CDTF">2018-03-15T06:16:00Z</dcterms:created>
  <dcterms:modified xsi:type="dcterms:W3CDTF">2020-08-21T12:07:00Z</dcterms:modified>
</cp:coreProperties>
</file>