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128DBCE2" w:rsidR="00816DE4" w:rsidRPr="00686648" w:rsidRDefault="00910355"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64D68763" w:rsidR="00816DE4" w:rsidRPr="00686648" w:rsidRDefault="00816DE4" w:rsidP="00E57F64">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00A822E6">
        <w:rPr>
          <w:rFonts w:eastAsia="Times New Roman" w:cs="Times New Roman"/>
          <w:szCs w:val="28"/>
          <w:lang w:eastAsia="ru-RU"/>
        </w:rPr>
        <w:t>,</w:t>
      </w:r>
      <w:r w:rsidRPr="00686648">
        <w:rPr>
          <w:rFonts w:eastAsia="Times New Roman" w:cs="Times New Roman"/>
          <w:szCs w:val="28"/>
          <w:lang w:eastAsia="ru-RU"/>
        </w:rPr>
        <w:t xml:space="preserve"> </w:t>
      </w:r>
      <w:r w:rsidR="003B43A5" w:rsidRPr="00686648">
        <w:rPr>
          <w:rFonts w:eastAsia="Times New Roman" w:cs="Times New Roman"/>
          <w:szCs w:val="28"/>
          <w:lang w:eastAsia="ru-RU"/>
        </w:rPr>
        <w:t>развития предпринимательства</w:t>
      </w:r>
      <w:r w:rsidR="00A822E6">
        <w:rPr>
          <w:rFonts w:eastAsia="Times New Roman" w:cs="Times New Roman"/>
          <w:szCs w:val="28"/>
          <w:lang w:eastAsia="ru-RU"/>
        </w:rPr>
        <w:t xml:space="preserve"> и туризма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00304ED0" w:rsidRPr="00A608E8">
        <w:rPr>
          <w:rFonts w:eastAsia="Calibri" w:cs="Times New Roman"/>
          <w:i/>
          <w:szCs w:val="28"/>
          <w:u w:val="single"/>
        </w:rPr>
        <w:t xml:space="preserve">проект </w:t>
      </w:r>
      <w:r w:rsidR="006B424C" w:rsidRPr="006B424C">
        <w:rPr>
          <w:rFonts w:eastAsia="Calibri" w:cs="Times New Roman"/>
          <w:i/>
          <w:szCs w:val="28"/>
          <w:u w:val="single"/>
        </w:rPr>
        <w:t>постановления Администрации города Сургута «</w:t>
      </w:r>
      <w:r w:rsidR="001B4270" w:rsidRPr="001B4270">
        <w:rPr>
          <w:rFonts w:eastAsia="Calibri" w:cs="Times New Roman"/>
          <w:i/>
          <w:szCs w:val="28"/>
          <w:u w:val="single"/>
        </w:rPr>
        <w:t xml:space="preserve">О внесении изменений </w:t>
      </w:r>
      <w:r w:rsidR="00521A4E">
        <w:rPr>
          <w:rFonts w:eastAsia="Calibri" w:cs="Times New Roman"/>
          <w:i/>
          <w:szCs w:val="28"/>
          <w:u w:val="single"/>
        </w:rPr>
        <w:t xml:space="preserve">                          </w:t>
      </w:r>
      <w:r w:rsidR="001B4270" w:rsidRPr="001B4270">
        <w:rPr>
          <w:rFonts w:eastAsia="Calibri" w:cs="Times New Roman"/>
          <w:i/>
          <w:szCs w:val="28"/>
          <w:u w:val="single"/>
        </w:rPr>
        <w:t>в постановление Администрации города от 09.11.2017 № 9589 «О размещении нестационарных торговых объектов на территории города Сургута</w:t>
      </w:r>
      <w:r w:rsidR="006B424C" w:rsidRPr="006B424C">
        <w:rPr>
          <w:rFonts w:eastAsia="Calibri" w:cs="Times New Roman"/>
          <w:i/>
          <w:szCs w:val="28"/>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пояснительную записку</w:t>
      </w:r>
      <w:r w:rsidR="00304ED0">
        <w:rPr>
          <w:rFonts w:eastAsia="Times New Roman" w:cs="Times New Roman"/>
          <w:szCs w:val="28"/>
          <w:lang w:eastAsia="ru-RU"/>
        </w:rPr>
        <w:t xml:space="preserve"> </w:t>
      </w:r>
      <w:r w:rsidRPr="00686648">
        <w:rPr>
          <w:rFonts w:eastAsia="Times New Roman" w:cs="Times New Roman"/>
          <w:szCs w:val="28"/>
          <w:lang w:eastAsia="ru-RU"/>
        </w:rPr>
        <w:t xml:space="preserve">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1B4270" w:rsidRPr="001B4270">
        <w:rPr>
          <w:rFonts w:cs="Times New Roman"/>
          <w:i/>
          <w:szCs w:val="28"/>
        </w:rPr>
        <w:t>отдел</w:t>
      </w:r>
      <w:r w:rsidR="001B4270">
        <w:rPr>
          <w:rFonts w:cs="Times New Roman"/>
          <w:i/>
          <w:szCs w:val="28"/>
        </w:rPr>
        <w:t>ом</w:t>
      </w:r>
      <w:r w:rsidR="001B4270" w:rsidRPr="001B4270">
        <w:rPr>
          <w:rFonts w:cs="Times New Roman"/>
          <w:i/>
          <w:szCs w:val="28"/>
        </w:rPr>
        <w:t xml:space="preserve"> потребительского рынка и защиты прав потребителей </w:t>
      </w:r>
      <w:r w:rsidR="007D18E2" w:rsidRPr="00686648">
        <w:rPr>
          <w:rFonts w:eastAsia="Times New Roman" w:cs="Times New Roman"/>
          <w:i/>
          <w:szCs w:val="28"/>
          <w:lang w:eastAsia="ru-RU"/>
        </w:rPr>
        <w:t>Администрация города</w:t>
      </w:r>
      <w:r w:rsidR="00304ED0">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5FD782B4"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001B4270" w:rsidRPr="0028212F">
        <w:rPr>
          <w:rFonts w:eastAsia="Times New Roman" w:cs="Times New Roman"/>
          <w:szCs w:val="28"/>
          <w:u w:val="single"/>
          <w:lang w:eastAsia="ru-RU"/>
        </w:rPr>
        <w:t>впервые</w:t>
      </w:r>
      <w:r w:rsidR="00112252">
        <w:rPr>
          <w:rFonts w:eastAsia="Times New Roman" w:cs="Times New Roman"/>
          <w:szCs w:val="28"/>
          <w:lang w:eastAsia="ru-RU"/>
        </w:rPr>
        <w:t>.</w:t>
      </w:r>
    </w:p>
    <w:p w14:paraId="20F4FF0A" w14:textId="77777777" w:rsidR="00910355" w:rsidRDefault="00910355" w:rsidP="00406BBB">
      <w:pPr>
        <w:ind w:firstLine="720"/>
        <w:contextualSpacing/>
        <w:jc w:val="both"/>
        <w:rPr>
          <w:szCs w:val="28"/>
        </w:rPr>
      </w:pPr>
    </w:p>
    <w:p w14:paraId="3235FE85" w14:textId="309CFAFB"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304ED0">
        <w:rPr>
          <w:szCs w:val="28"/>
        </w:rPr>
        <w:t>средней</w:t>
      </w:r>
      <w:r w:rsidR="00B77352" w:rsidRPr="00B77352">
        <w:rPr>
          <w:szCs w:val="28"/>
        </w:rPr>
        <w:t xml:space="preserve"> </w:t>
      </w:r>
      <w:r w:rsidRPr="00B77352">
        <w:rPr>
          <w:szCs w:val="28"/>
        </w:rPr>
        <w:t xml:space="preserve">степени регулирующего воздействия поскольку </w:t>
      </w:r>
      <w:r w:rsidR="00B77352" w:rsidRPr="00B77352">
        <w:rPr>
          <w:szCs w:val="28"/>
        </w:rPr>
        <w:t xml:space="preserve">содержит положения, </w:t>
      </w:r>
      <w:r w:rsidR="00304ED0" w:rsidRPr="00304ED0">
        <w:rPr>
          <w:szCs w:val="28"/>
        </w:rPr>
        <w:t>изменяющие ранее предусмотренные муниципальным правовым акт</w:t>
      </w:r>
      <w:r w:rsidR="001B4270">
        <w:rPr>
          <w:szCs w:val="28"/>
        </w:rPr>
        <w:t>ом</w:t>
      </w:r>
      <w:r w:rsidR="00304ED0" w:rsidRPr="00304ED0">
        <w:rPr>
          <w:szCs w:val="28"/>
        </w:rPr>
        <w:t xml:space="preserve"> обязанности, запреты </w:t>
      </w:r>
      <w:r w:rsidR="00304ED0">
        <w:rPr>
          <w:szCs w:val="28"/>
        </w:rPr>
        <w:t xml:space="preserve">                  </w:t>
      </w:r>
      <w:r w:rsidR="00304ED0" w:rsidRPr="00304ED0">
        <w:rPr>
          <w:szCs w:val="28"/>
        </w:rPr>
        <w:t>и ограничения для субъектов предпринимательской и инвестиционной деятельности, а также изменяющие ранее предусмотренные муниципальным нормативным правовым акт</w:t>
      </w:r>
      <w:r w:rsidR="001B4270">
        <w:rPr>
          <w:szCs w:val="28"/>
        </w:rPr>
        <w:t>ом</w:t>
      </w:r>
      <w:r w:rsidR="00304ED0" w:rsidRPr="00304ED0">
        <w:rPr>
          <w:szCs w:val="28"/>
        </w:rPr>
        <w:t xml:space="preserve">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60E7FE86" w14:textId="255C51E1"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xml:space="preserve">- </w:t>
      </w:r>
      <w:r>
        <w:rPr>
          <w:rFonts w:eastAsia="Times New Roman" w:cs="Times New Roman"/>
          <w:szCs w:val="28"/>
          <w:lang w:eastAsia="ru-RU"/>
        </w:rPr>
        <w:t>с</w:t>
      </w:r>
      <w:r w:rsidRPr="001B4270">
        <w:rPr>
          <w:rFonts w:eastAsia="Times New Roman" w:cs="Times New Roman"/>
          <w:szCs w:val="28"/>
          <w:lang w:eastAsia="ru-RU"/>
        </w:rPr>
        <w:t>тат</w:t>
      </w:r>
      <w:r>
        <w:rPr>
          <w:rFonts w:eastAsia="Times New Roman" w:cs="Times New Roman"/>
          <w:szCs w:val="28"/>
          <w:lang w:eastAsia="ru-RU"/>
        </w:rPr>
        <w:t>ьями</w:t>
      </w:r>
      <w:r w:rsidRPr="001B4270">
        <w:rPr>
          <w:rFonts w:eastAsia="Times New Roman" w:cs="Times New Roman"/>
          <w:szCs w:val="28"/>
          <w:lang w:eastAsia="ru-RU"/>
        </w:rPr>
        <w:t xml:space="preserve"> 39.33, 39.36 Земельного кодекса Российской Федерации;</w:t>
      </w:r>
    </w:p>
    <w:p w14:paraId="3F1C39C4" w14:textId="6C8C5E26"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xml:space="preserve">- </w:t>
      </w:r>
      <w:r>
        <w:rPr>
          <w:rFonts w:eastAsia="Times New Roman" w:cs="Times New Roman"/>
          <w:szCs w:val="28"/>
          <w:lang w:eastAsia="ru-RU"/>
        </w:rPr>
        <w:t>с</w:t>
      </w:r>
      <w:r w:rsidRPr="001B4270">
        <w:rPr>
          <w:rFonts w:eastAsia="Times New Roman" w:cs="Times New Roman"/>
          <w:szCs w:val="28"/>
          <w:lang w:eastAsia="ru-RU"/>
        </w:rPr>
        <w:t>тат</w:t>
      </w:r>
      <w:r>
        <w:rPr>
          <w:rFonts w:eastAsia="Times New Roman" w:cs="Times New Roman"/>
          <w:szCs w:val="28"/>
          <w:lang w:eastAsia="ru-RU"/>
        </w:rPr>
        <w:t>ьями</w:t>
      </w:r>
      <w:r w:rsidRPr="001B4270">
        <w:rPr>
          <w:rFonts w:eastAsia="Times New Roman" w:cs="Times New Roman"/>
          <w:szCs w:val="28"/>
          <w:lang w:eastAsia="ru-RU"/>
        </w:rPr>
        <w:t xml:space="preserve"> 447, 448 Гражданского кодекса Российской Федерации;</w:t>
      </w:r>
    </w:p>
    <w:p w14:paraId="38E0DAF0" w14:textId="4FA941C5"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Федеральны</w:t>
      </w:r>
      <w:r>
        <w:rPr>
          <w:rFonts w:eastAsia="Times New Roman" w:cs="Times New Roman"/>
          <w:szCs w:val="28"/>
          <w:lang w:eastAsia="ru-RU"/>
        </w:rPr>
        <w:t>м</w:t>
      </w:r>
      <w:r w:rsidRPr="001B4270">
        <w:rPr>
          <w:rFonts w:eastAsia="Times New Roman" w:cs="Times New Roman"/>
          <w:szCs w:val="28"/>
          <w:lang w:eastAsia="ru-RU"/>
        </w:rPr>
        <w:t xml:space="preserve"> закон</w:t>
      </w:r>
      <w:r>
        <w:rPr>
          <w:rFonts w:eastAsia="Times New Roman" w:cs="Times New Roman"/>
          <w:szCs w:val="28"/>
          <w:lang w:eastAsia="ru-RU"/>
        </w:rPr>
        <w:t>ом</w:t>
      </w:r>
      <w:r w:rsidRPr="001B4270">
        <w:rPr>
          <w:rFonts w:eastAsia="Times New Roman" w:cs="Times New Roman"/>
          <w:szCs w:val="28"/>
          <w:lang w:eastAsia="ru-RU"/>
        </w:rPr>
        <w:t xml:space="preserve"> от 28.12.2009 № 381-ФЗ «Об основах государственного регулирования торговой деятельности в Российской Федерации»;</w:t>
      </w:r>
    </w:p>
    <w:p w14:paraId="253BEEA6" w14:textId="05861630"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Федеральны</w:t>
      </w:r>
      <w:r>
        <w:rPr>
          <w:rFonts w:eastAsia="Times New Roman" w:cs="Times New Roman"/>
          <w:szCs w:val="28"/>
          <w:lang w:eastAsia="ru-RU"/>
        </w:rPr>
        <w:t>м</w:t>
      </w:r>
      <w:r w:rsidRPr="001B4270">
        <w:rPr>
          <w:rFonts w:eastAsia="Times New Roman" w:cs="Times New Roman"/>
          <w:szCs w:val="28"/>
          <w:lang w:eastAsia="ru-RU"/>
        </w:rPr>
        <w:t xml:space="preserve"> закон</w:t>
      </w:r>
      <w:r>
        <w:rPr>
          <w:rFonts w:eastAsia="Times New Roman" w:cs="Times New Roman"/>
          <w:szCs w:val="28"/>
          <w:lang w:eastAsia="ru-RU"/>
        </w:rPr>
        <w:t>ом</w:t>
      </w:r>
      <w:r w:rsidRPr="001B4270">
        <w:rPr>
          <w:rFonts w:eastAsia="Times New Roman" w:cs="Times New Roman"/>
          <w:szCs w:val="28"/>
          <w:lang w:eastAsia="ru-RU"/>
        </w:rPr>
        <w:t xml:space="preserve"> от 26.07.2006 № 135-ФЗ «О защите конкуренции»;</w:t>
      </w:r>
    </w:p>
    <w:p w14:paraId="073F1865" w14:textId="040DEA56"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постановление</w:t>
      </w:r>
      <w:r>
        <w:rPr>
          <w:rFonts w:eastAsia="Times New Roman" w:cs="Times New Roman"/>
          <w:szCs w:val="28"/>
          <w:lang w:eastAsia="ru-RU"/>
        </w:rPr>
        <w:t>м</w:t>
      </w:r>
      <w:r w:rsidRPr="001B4270">
        <w:rPr>
          <w:rFonts w:eastAsia="Times New Roman" w:cs="Times New Roman"/>
          <w:szCs w:val="28"/>
          <w:lang w:eastAsia="ru-RU"/>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w:t>
      </w:r>
    </w:p>
    <w:p w14:paraId="1A97961D" w14:textId="49136BC7"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Закон</w:t>
      </w:r>
      <w:r>
        <w:rPr>
          <w:rFonts w:eastAsia="Times New Roman" w:cs="Times New Roman"/>
          <w:szCs w:val="28"/>
          <w:lang w:eastAsia="ru-RU"/>
        </w:rPr>
        <w:t>ом</w:t>
      </w:r>
      <w:r w:rsidRPr="001B4270">
        <w:rPr>
          <w:rFonts w:eastAsia="Times New Roman" w:cs="Times New Roman"/>
          <w:szCs w:val="28"/>
          <w:lang w:eastAsia="ru-RU"/>
        </w:rPr>
        <w:t xml:space="preserve"> Ханты-Мансийского автономного округа – Югры от 11.05.2010                    № 85-оз «О государственном регулировании торговой деятельности в Ханты-Мансийском автономном округе – Югре»;</w:t>
      </w:r>
    </w:p>
    <w:p w14:paraId="44668B96" w14:textId="091A7E3F"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постановление</w:t>
      </w:r>
      <w:r>
        <w:rPr>
          <w:rFonts w:eastAsia="Times New Roman" w:cs="Times New Roman"/>
          <w:szCs w:val="28"/>
          <w:lang w:eastAsia="ru-RU"/>
        </w:rPr>
        <w:t>м</w:t>
      </w:r>
      <w:r w:rsidRPr="001B4270">
        <w:rPr>
          <w:rFonts w:eastAsia="Times New Roman" w:cs="Times New Roman"/>
          <w:szCs w:val="28"/>
          <w:lang w:eastAsia="ru-RU"/>
        </w:rPr>
        <w:t xml:space="preserve"> Правительства Ханты-Мансийского автономного округа – Югры от 05.08.2016 № 291-п «О нормативах минимальной обеспеченности населения </w:t>
      </w:r>
      <w:r w:rsidRPr="001B4270">
        <w:rPr>
          <w:rFonts w:eastAsia="Times New Roman" w:cs="Times New Roman"/>
          <w:szCs w:val="28"/>
          <w:lang w:eastAsia="ru-RU"/>
        </w:rPr>
        <w:lastRenderedPageBreak/>
        <w:t>площадью стационарных торговых объектов и торговых объектов местного значения в Ханты-Мансийском автономном округе – Югре»;</w:t>
      </w:r>
    </w:p>
    <w:p w14:paraId="2D05C40C" w14:textId="7572BF5F" w:rsidR="001B4270" w:rsidRPr="001B4270"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приказ</w:t>
      </w:r>
      <w:r>
        <w:rPr>
          <w:rFonts w:eastAsia="Times New Roman" w:cs="Times New Roman"/>
          <w:szCs w:val="28"/>
          <w:lang w:eastAsia="ru-RU"/>
        </w:rPr>
        <w:t>ом</w:t>
      </w:r>
      <w:r w:rsidRPr="001B4270">
        <w:rPr>
          <w:rFonts w:eastAsia="Times New Roman" w:cs="Times New Roman"/>
          <w:szCs w:val="28"/>
          <w:lang w:eastAsia="ru-RU"/>
        </w:rPr>
        <w:t xml:space="preserve">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14:paraId="17C8D858" w14:textId="4E24A063" w:rsidR="00270527" w:rsidRDefault="001B4270" w:rsidP="001B4270">
      <w:pPr>
        <w:autoSpaceDE w:val="0"/>
        <w:autoSpaceDN w:val="0"/>
        <w:ind w:firstLine="709"/>
        <w:jc w:val="both"/>
        <w:rPr>
          <w:rFonts w:eastAsia="Times New Roman" w:cs="Times New Roman"/>
          <w:szCs w:val="28"/>
          <w:lang w:eastAsia="ru-RU"/>
        </w:rPr>
      </w:pPr>
      <w:r w:rsidRPr="001B4270">
        <w:rPr>
          <w:rFonts w:eastAsia="Times New Roman" w:cs="Times New Roman"/>
          <w:szCs w:val="28"/>
          <w:lang w:eastAsia="ru-RU"/>
        </w:rPr>
        <w:t>- решение</w:t>
      </w:r>
      <w:r>
        <w:rPr>
          <w:rFonts w:eastAsia="Times New Roman" w:cs="Times New Roman"/>
          <w:szCs w:val="28"/>
          <w:lang w:eastAsia="ru-RU"/>
        </w:rPr>
        <w:t>м</w:t>
      </w:r>
      <w:r w:rsidRPr="001B4270">
        <w:rPr>
          <w:rFonts w:eastAsia="Times New Roman" w:cs="Times New Roman"/>
          <w:szCs w:val="28"/>
          <w:lang w:eastAsia="ru-RU"/>
        </w:rPr>
        <w:t xml:space="preserve"> Думы города от 26.12.2017 № 206-VI ДГ «О Правилах благоустройства территории города Сургута».</w:t>
      </w:r>
    </w:p>
    <w:p w14:paraId="4EA3DAE5" w14:textId="77777777" w:rsidR="001B4270" w:rsidRPr="00F14241" w:rsidRDefault="001B4270" w:rsidP="001B4270">
      <w:pPr>
        <w:autoSpaceDE w:val="0"/>
        <w:autoSpaceDN w:val="0"/>
        <w:ind w:firstLine="709"/>
        <w:jc w:val="both"/>
        <w:rPr>
          <w:rFonts w:eastAsia="Times New Roman" w:cs="Times New Roman"/>
          <w:szCs w:val="28"/>
          <w:lang w:eastAsia="ru-RU"/>
        </w:rPr>
      </w:pPr>
    </w:p>
    <w:p w14:paraId="00EFC113" w14:textId="77777777" w:rsidR="001B4270" w:rsidRPr="00416409" w:rsidRDefault="00A346A2" w:rsidP="00D81CAC">
      <w:pPr>
        <w:ind w:firstLine="708"/>
        <w:jc w:val="both"/>
        <w:rPr>
          <w:rFonts w:eastAsia="Times New Roman" w:cs="Times New Roman"/>
          <w:szCs w:val="28"/>
          <w:lang w:eastAsia="ru-RU"/>
        </w:rPr>
      </w:pPr>
      <w:r w:rsidRPr="00416409">
        <w:rPr>
          <w:rFonts w:eastAsia="Times New Roman" w:cs="Times New Roman"/>
          <w:szCs w:val="28"/>
          <w:lang w:eastAsia="ru-RU"/>
        </w:rPr>
        <w:t>Проектом муниципального нормативного правового акта предлагается</w:t>
      </w:r>
      <w:r w:rsidR="00B77352" w:rsidRPr="00416409">
        <w:rPr>
          <w:rFonts w:eastAsia="Times New Roman" w:cs="Times New Roman"/>
          <w:szCs w:val="28"/>
          <w:lang w:eastAsia="ru-RU"/>
        </w:rPr>
        <w:t xml:space="preserve"> </w:t>
      </w:r>
      <w:r w:rsidR="000E0B5F" w:rsidRPr="00416409">
        <w:rPr>
          <w:rFonts w:eastAsia="Times New Roman" w:cs="Times New Roman"/>
          <w:szCs w:val="28"/>
          <w:lang w:eastAsia="ru-RU"/>
        </w:rPr>
        <w:t xml:space="preserve">                           </w:t>
      </w:r>
      <w:r w:rsidR="001B4270" w:rsidRPr="00416409">
        <w:rPr>
          <w:rFonts w:eastAsia="Times New Roman" w:cs="Times New Roman"/>
          <w:szCs w:val="28"/>
          <w:lang w:eastAsia="ru-RU"/>
        </w:rPr>
        <w:t>внести изменения в части:</w:t>
      </w:r>
    </w:p>
    <w:p w14:paraId="59350CA7" w14:textId="04A2DE7E" w:rsidR="00521A4E" w:rsidRPr="00416409" w:rsidRDefault="00521A4E" w:rsidP="00521A4E">
      <w:pPr>
        <w:ind w:firstLine="708"/>
        <w:contextualSpacing/>
        <w:jc w:val="both"/>
        <w:rPr>
          <w:rFonts w:cs="Times New Roman"/>
          <w:iCs/>
          <w:szCs w:val="28"/>
        </w:rPr>
      </w:pPr>
      <w:r w:rsidRPr="00416409">
        <w:rPr>
          <w:rFonts w:cs="Times New Roman"/>
          <w:iCs/>
          <w:szCs w:val="28"/>
        </w:rPr>
        <w:t>- дополнения основанием для расторжения договора на размещение нестационарного торгового объекта в случае неоднократного (два и более раз) выявления нарушений Правил благоустройства территории города Сургута, утвержденных решением Думы города от 26.12.2017 № 206-VI ДГ, подтвержденных вступившими в законную силу постановлениями административной комиссии города Сургута о назначении административного наказания;</w:t>
      </w:r>
    </w:p>
    <w:p w14:paraId="744F92F6" w14:textId="27645C8A" w:rsidR="00521A4E" w:rsidRPr="00416409" w:rsidRDefault="00521A4E" w:rsidP="00521A4E">
      <w:pPr>
        <w:ind w:firstLine="708"/>
        <w:contextualSpacing/>
        <w:jc w:val="both"/>
        <w:rPr>
          <w:rFonts w:cs="Times New Roman"/>
          <w:iCs/>
          <w:szCs w:val="28"/>
        </w:rPr>
      </w:pPr>
      <w:r w:rsidRPr="00416409">
        <w:rPr>
          <w:rFonts w:cs="Times New Roman"/>
          <w:iCs/>
          <w:szCs w:val="28"/>
        </w:rPr>
        <w:t>-</w:t>
      </w:r>
      <w:r w:rsidR="00416409" w:rsidRPr="00416409">
        <w:rPr>
          <w:rFonts w:cs="Times New Roman"/>
          <w:iCs/>
          <w:szCs w:val="28"/>
        </w:rPr>
        <w:t xml:space="preserve"> </w:t>
      </w:r>
      <w:r w:rsidRPr="00416409">
        <w:rPr>
          <w:rFonts w:cs="Times New Roman"/>
          <w:iCs/>
          <w:szCs w:val="28"/>
        </w:rPr>
        <w:t xml:space="preserve">включения дополнительного варианта освобождения муниципального земельного участка от нестационарного торгового объекта - в случае                                                 не освобождения места от нестационарного торгового объекта в установленный срок, демонтаж нестационарного торгового объекта осуществляется в соответствии                              с постановлением Администрации города от 20.10.2020 № 7363 «Об утверждении порядка демонтажа самовольно (незаконно) установленных строений, сооружений </w:t>
      </w:r>
      <w:r w:rsidR="00467551">
        <w:rPr>
          <w:rFonts w:cs="Times New Roman"/>
          <w:iCs/>
          <w:szCs w:val="28"/>
        </w:rPr>
        <w:t xml:space="preserve">    </w:t>
      </w:r>
      <w:r w:rsidRPr="00416409">
        <w:rPr>
          <w:rFonts w:cs="Times New Roman"/>
          <w:iCs/>
          <w:szCs w:val="28"/>
        </w:rPr>
        <w:t>на территории города Сургута»;</w:t>
      </w:r>
    </w:p>
    <w:p w14:paraId="3EF1F97A" w14:textId="77777777" w:rsidR="00521A4E" w:rsidRPr="00416409" w:rsidRDefault="00521A4E" w:rsidP="00521A4E">
      <w:pPr>
        <w:ind w:firstLine="708"/>
        <w:contextualSpacing/>
        <w:jc w:val="both"/>
        <w:rPr>
          <w:rFonts w:cs="Times New Roman"/>
          <w:iCs/>
          <w:szCs w:val="28"/>
        </w:rPr>
      </w:pPr>
      <w:r w:rsidRPr="00416409">
        <w:rPr>
          <w:rFonts w:cs="Times New Roman"/>
          <w:iCs/>
          <w:szCs w:val="28"/>
        </w:rPr>
        <w:t>- предусмотрено основание для не допуска заявителя к участию в аукционе                    при наличии задолженности по договору на размещение, договору аренды муниципального имущества (по аналогии с порядком заключения договоров                             на размещение (без проведения аукциона));</w:t>
      </w:r>
    </w:p>
    <w:p w14:paraId="0CD26B53" w14:textId="402E9CCB" w:rsidR="00521A4E" w:rsidRPr="00416409" w:rsidRDefault="00521A4E" w:rsidP="00521A4E">
      <w:pPr>
        <w:ind w:firstLine="708"/>
        <w:contextualSpacing/>
        <w:jc w:val="both"/>
        <w:rPr>
          <w:rFonts w:cs="Times New Roman"/>
          <w:iCs/>
          <w:szCs w:val="28"/>
        </w:rPr>
      </w:pPr>
      <w:r w:rsidRPr="00416409">
        <w:rPr>
          <w:rFonts w:cs="Times New Roman"/>
          <w:iCs/>
          <w:szCs w:val="28"/>
        </w:rPr>
        <w:t>- исключены временные нормы</w:t>
      </w:r>
      <w:r w:rsidR="00D46AEC">
        <w:rPr>
          <w:rFonts w:cs="Times New Roman"/>
          <w:iCs/>
          <w:szCs w:val="28"/>
        </w:rPr>
        <w:t>,</w:t>
      </w:r>
      <w:r w:rsidRPr="00416409">
        <w:rPr>
          <w:rFonts w:cs="Times New Roman"/>
          <w:iCs/>
          <w:szCs w:val="28"/>
        </w:rPr>
        <w:t xml:space="preserve"> установленные на переходный период, действие которых истекло;</w:t>
      </w:r>
    </w:p>
    <w:p w14:paraId="383B00A6" w14:textId="4377FD1B" w:rsidR="00521A4E" w:rsidRPr="00416409" w:rsidRDefault="00521A4E" w:rsidP="00521A4E">
      <w:pPr>
        <w:ind w:firstLine="708"/>
        <w:contextualSpacing/>
        <w:jc w:val="both"/>
        <w:rPr>
          <w:rFonts w:cs="Times New Roman"/>
          <w:iCs/>
          <w:szCs w:val="28"/>
        </w:rPr>
      </w:pPr>
      <w:r w:rsidRPr="00416409">
        <w:rPr>
          <w:rFonts w:cs="Times New Roman"/>
          <w:iCs/>
          <w:szCs w:val="28"/>
        </w:rPr>
        <w:t xml:space="preserve">- внесены изменения в административные процедуры для обеспечения </w:t>
      </w:r>
      <w:r w:rsidR="00416409" w:rsidRPr="00416409">
        <w:rPr>
          <w:rFonts w:cs="Times New Roman"/>
          <w:iCs/>
          <w:szCs w:val="28"/>
        </w:rPr>
        <w:t xml:space="preserve">                              </w:t>
      </w:r>
      <w:r w:rsidRPr="00416409">
        <w:rPr>
          <w:rFonts w:cs="Times New Roman"/>
          <w:iCs/>
          <w:szCs w:val="28"/>
        </w:rPr>
        <w:t>их прозрачности и взаимного соответ</w:t>
      </w:r>
      <w:r w:rsidR="00416409" w:rsidRPr="00416409">
        <w:rPr>
          <w:rFonts w:cs="Times New Roman"/>
          <w:iCs/>
          <w:szCs w:val="28"/>
        </w:rPr>
        <w:t>ст</w:t>
      </w:r>
      <w:r w:rsidRPr="00416409">
        <w:rPr>
          <w:rFonts w:cs="Times New Roman"/>
          <w:iCs/>
          <w:szCs w:val="28"/>
        </w:rPr>
        <w:t>вия.</w:t>
      </w:r>
    </w:p>
    <w:p w14:paraId="773E449D" w14:textId="300A0E46" w:rsidR="00521A4E" w:rsidRDefault="00521A4E" w:rsidP="00521A4E">
      <w:pPr>
        <w:ind w:firstLine="708"/>
        <w:contextualSpacing/>
        <w:jc w:val="both"/>
        <w:rPr>
          <w:rFonts w:cs="Times New Roman"/>
          <w:iCs/>
          <w:szCs w:val="28"/>
        </w:rPr>
      </w:pPr>
      <w:r w:rsidRPr="00521A4E">
        <w:rPr>
          <w:rFonts w:cs="Times New Roman"/>
          <w:iCs/>
          <w:szCs w:val="28"/>
        </w:rPr>
        <w:t xml:space="preserve"> </w:t>
      </w:r>
      <w:r w:rsidRPr="00521A4E">
        <w:rPr>
          <w:rFonts w:cs="Times New Roman"/>
          <w:iCs/>
          <w:szCs w:val="28"/>
        </w:rPr>
        <w:tab/>
      </w:r>
    </w:p>
    <w:p w14:paraId="164E73F8" w14:textId="77777777" w:rsidR="001B4270" w:rsidRPr="00967DA4" w:rsidRDefault="001F59BD" w:rsidP="00A822E6">
      <w:pPr>
        <w:ind w:firstLine="708"/>
        <w:jc w:val="both"/>
        <w:rPr>
          <w:rFonts w:eastAsia="Times New Roman" w:cs="Times New Roman"/>
          <w:szCs w:val="28"/>
          <w:lang w:eastAsia="ru-RU"/>
        </w:rPr>
      </w:pPr>
      <w:r w:rsidRPr="00967DA4">
        <w:rPr>
          <w:rFonts w:eastAsia="Times New Roman" w:cs="Times New Roman"/>
          <w:szCs w:val="28"/>
          <w:lang w:eastAsia="ru-RU"/>
        </w:rPr>
        <w:t>Цел</w:t>
      </w:r>
      <w:r w:rsidR="001B4270" w:rsidRPr="00967DA4">
        <w:rPr>
          <w:rFonts w:eastAsia="Times New Roman" w:cs="Times New Roman"/>
          <w:szCs w:val="28"/>
          <w:lang w:eastAsia="ru-RU"/>
        </w:rPr>
        <w:t>ями</w:t>
      </w:r>
      <w:r w:rsidRPr="00967DA4">
        <w:rPr>
          <w:rFonts w:eastAsia="Times New Roman" w:cs="Times New Roman"/>
          <w:szCs w:val="28"/>
          <w:lang w:eastAsia="ru-RU"/>
        </w:rPr>
        <w:t xml:space="preserve"> правового регулирования </w:t>
      </w:r>
      <w:r w:rsidR="00B77352" w:rsidRPr="00967DA4">
        <w:rPr>
          <w:rFonts w:eastAsia="Times New Roman" w:cs="Times New Roman"/>
          <w:szCs w:val="28"/>
          <w:lang w:eastAsia="ru-RU"/>
        </w:rPr>
        <w:t>явля</w:t>
      </w:r>
      <w:r w:rsidR="001B4270" w:rsidRPr="00967DA4">
        <w:rPr>
          <w:rFonts w:eastAsia="Times New Roman" w:cs="Times New Roman"/>
          <w:szCs w:val="28"/>
          <w:lang w:eastAsia="ru-RU"/>
        </w:rPr>
        <w:t>ю</w:t>
      </w:r>
      <w:r w:rsidR="00B77352" w:rsidRPr="00967DA4">
        <w:rPr>
          <w:rFonts w:eastAsia="Times New Roman" w:cs="Times New Roman"/>
          <w:szCs w:val="28"/>
          <w:lang w:eastAsia="ru-RU"/>
        </w:rPr>
        <w:t>тся</w:t>
      </w:r>
      <w:r w:rsidR="001B4270" w:rsidRPr="00967DA4">
        <w:rPr>
          <w:rFonts w:eastAsia="Times New Roman" w:cs="Times New Roman"/>
          <w:szCs w:val="28"/>
          <w:lang w:eastAsia="ru-RU"/>
        </w:rPr>
        <w:t>:</w:t>
      </w:r>
    </w:p>
    <w:p w14:paraId="48809A4C" w14:textId="2B7C33AE" w:rsidR="001B4270" w:rsidRPr="00967DA4" w:rsidRDefault="001B4270" w:rsidP="001B4270">
      <w:pPr>
        <w:ind w:firstLine="708"/>
        <w:contextualSpacing/>
        <w:jc w:val="both"/>
        <w:rPr>
          <w:rFonts w:cs="Times New Roman"/>
          <w:iCs/>
          <w:szCs w:val="28"/>
        </w:rPr>
      </w:pPr>
      <w:r w:rsidRPr="00967DA4">
        <w:rPr>
          <w:rFonts w:eastAsia="Times New Roman" w:cs="Times New Roman"/>
          <w:szCs w:val="28"/>
          <w:lang w:eastAsia="ru-RU"/>
        </w:rPr>
        <w:t>-</w:t>
      </w:r>
      <w:r w:rsidR="00B77352" w:rsidRPr="00967DA4">
        <w:rPr>
          <w:rFonts w:eastAsia="Times New Roman" w:cs="Times New Roman"/>
          <w:szCs w:val="28"/>
          <w:lang w:eastAsia="ru-RU"/>
        </w:rPr>
        <w:t xml:space="preserve"> </w:t>
      </w:r>
      <w:r w:rsidR="00D46AEC">
        <w:rPr>
          <w:rFonts w:eastAsia="Times New Roman" w:cs="Times New Roman"/>
          <w:szCs w:val="28"/>
          <w:lang w:eastAsia="ru-RU"/>
        </w:rPr>
        <w:t>с</w:t>
      </w:r>
      <w:r w:rsidRPr="00967DA4">
        <w:rPr>
          <w:rFonts w:cs="Times New Roman"/>
          <w:iCs/>
          <w:szCs w:val="28"/>
        </w:rPr>
        <w:t>облюдение Правил благоустройства территории города Сургута, утвержденных решением Думы города от 26.12.2017 № 206-VI ДГ;</w:t>
      </w:r>
    </w:p>
    <w:p w14:paraId="546C4F56" w14:textId="4FB40E2C" w:rsidR="001735CF" w:rsidRPr="00967DA4" w:rsidRDefault="001B4270" w:rsidP="001B4270">
      <w:pPr>
        <w:ind w:firstLine="708"/>
        <w:contextualSpacing/>
        <w:jc w:val="both"/>
        <w:rPr>
          <w:rFonts w:cs="Times New Roman"/>
          <w:iCs/>
          <w:szCs w:val="28"/>
        </w:rPr>
      </w:pPr>
      <w:r w:rsidRPr="00967DA4">
        <w:rPr>
          <w:rFonts w:cs="Times New Roman"/>
          <w:iCs/>
          <w:szCs w:val="28"/>
        </w:rPr>
        <w:t>-  обеспечение применения единого подхода к порядкам заключения договоров на размещение (без проведения аукциона/ по итогам проведения открытого аукциона);</w:t>
      </w:r>
    </w:p>
    <w:p w14:paraId="37C3A54D" w14:textId="1E8116F4" w:rsidR="001B4270" w:rsidRPr="001B4270" w:rsidRDefault="001B4270" w:rsidP="001B4270">
      <w:pPr>
        <w:ind w:firstLine="708"/>
        <w:jc w:val="both"/>
        <w:rPr>
          <w:rFonts w:eastAsia="Times New Roman" w:cs="Times New Roman"/>
          <w:szCs w:val="28"/>
          <w:lang w:eastAsia="ru-RU"/>
        </w:rPr>
      </w:pPr>
      <w:r w:rsidRPr="00967DA4">
        <w:rPr>
          <w:rFonts w:eastAsia="Times New Roman" w:cs="Times New Roman"/>
          <w:szCs w:val="28"/>
          <w:lang w:eastAsia="ru-RU"/>
        </w:rPr>
        <w:t>-  применение положений о порядке демонтажа самовольно (незаконно) установленных строений, сооружений на территории города Сургута, утвержд</w:t>
      </w:r>
      <w:r w:rsidR="00D46AEC">
        <w:rPr>
          <w:rFonts w:eastAsia="Times New Roman" w:cs="Times New Roman"/>
          <w:szCs w:val="28"/>
          <w:lang w:eastAsia="ru-RU"/>
        </w:rPr>
        <w:t>е</w:t>
      </w:r>
      <w:r w:rsidRPr="00967DA4">
        <w:rPr>
          <w:rFonts w:eastAsia="Times New Roman" w:cs="Times New Roman"/>
          <w:szCs w:val="28"/>
          <w:lang w:eastAsia="ru-RU"/>
        </w:rPr>
        <w:t>нного постановлением Администрации города от 20.10.2020 № 7363.</w:t>
      </w:r>
    </w:p>
    <w:p w14:paraId="49909336" w14:textId="7D0A6132" w:rsidR="001B4270" w:rsidRDefault="001B4270" w:rsidP="001B4270">
      <w:pPr>
        <w:ind w:firstLine="708"/>
        <w:contextualSpacing/>
        <w:jc w:val="both"/>
        <w:rPr>
          <w:rFonts w:eastAsia="Times New Roman" w:cs="Times New Roman"/>
          <w:szCs w:val="28"/>
          <w:lang w:eastAsia="ru-RU"/>
        </w:rPr>
      </w:pPr>
    </w:p>
    <w:p w14:paraId="3BFF3F2C" w14:textId="7E9F9928" w:rsidR="00EA0D7A" w:rsidRPr="00467551" w:rsidRDefault="00EA0D7A" w:rsidP="00EA0D7A">
      <w:pPr>
        <w:ind w:firstLine="709"/>
        <w:jc w:val="both"/>
        <w:rPr>
          <w:rFonts w:eastAsia="Times New Roman"/>
          <w:szCs w:val="28"/>
          <w:lang w:eastAsia="ru-RU"/>
        </w:rPr>
      </w:pPr>
      <w:r w:rsidRPr="00467551">
        <w:rPr>
          <w:rFonts w:eastAsia="Times New Roman"/>
          <w:szCs w:val="28"/>
          <w:lang w:eastAsia="ru-RU"/>
        </w:rPr>
        <w:lastRenderedPageBreak/>
        <w:t xml:space="preserve">Альтернативным вариантом правового регулирования, не противоречащим действующему законодательству, </w:t>
      </w:r>
      <w:r w:rsidR="00D46AEC" w:rsidRPr="00467551">
        <w:rPr>
          <w:rFonts w:eastAsia="Times New Roman"/>
          <w:szCs w:val="28"/>
          <w:lang w:eastAsia="ru-RU"/>
        </w:rPr>
        <w:t>в случае не освобождения места                                                        от нестационарного торгового объекта в установленный срок</w:t>
      </w:r>
      <w:r w:rsidR="00767D1B" w:rsidRPr="00467551">
        <w:rPr>
          <w:rFonts w:eastAsia="Times New Roman"/>
          <w:szCs w:val="28"/>
          <w:lang w:eastAsia="ru-RU"/>
        </w:rPr>
        <w:t xml:space="preserve">, </w:t>
      </w:r>
      <w:r w:rsidRPr="00467551">
        <w:rPr>
          <w:rFonts w:eastAsia="Times New Roman"/>
          <w:szCs w:val="28"/>
          <w:lang w:eastAsia="ru-RU"/>
        </w:rPr>
        <w:t>является осуществление демонтажа нестационарн</w:t>
      </w:r>
      <w:r w:rsidR="00767D1B" w:rsidRPr="00467551">
        <w:rPr>
          <w:rFonts w:eastAsia="Times New Roman"/>
          <w:szCs w:val="28"/>
          <w:lang w:eastAsia="ru-RU"/>
        </w:rPr>
        <w:t xml:space="preserve">ого торгового </w:t>
      </w:r>
      <w:r w:rsidRPr="00467551">
        <w:rPr>
          <w:rFonts w:eastAsia="Times New Roman"/>
          <w:szCs w:val="28"/>
          <w:lang w:eastAsia="ru-RU"/>
        </w:rPr>
        <w:t>объект</w:t>
      </w:r>
      <w:r w:rsidR="00767D1B" w:rsidRPr="00467551">
        <w:rPr>
          <w:rFonts w:eastAsia="Times New Roman"/>
          <w:szCs w:val="28"/>
          <w:lang w:eastAsia="ru-RU"/>
        </w:rPr>
        <w:t>а</w:t>
      </w:r>
      <w:r w:rsidRPr="00467551">
        <w:rPr>
          <w:rFonts w:eastAsia="Times New Roman"/>
          <w:szCs w:val="28"/>
          <w:lang w:eastAsia="ru-RU"/>
        </w:rPr>
        <w:t xml:space="preserve"> в судебном порядке</w:t>
      </w:r>
      <w:r w:rsidR="00767D1B" w:rsidRPr="00467551">
        <w:rPr>
          <w:rFonts w:eastAsia="Times New Roman"/>
          <w:szCs w:val="28"/>
          <w:lang w:eastAsia="ru-RU"/>
        </w:rPr>
        <w:t xml:space="preserve">. </w:t>
      </w:r>
    </w:p>
    <w:p w14:paraId="4A273C2C" w14:textId="6745E13A" w:rsidR="00EA0D7A" w:rsidRPr="00467551" w:rsidRDefault="00EA0D7A" w:rsidP="00767D1B">
      <w:pPr>
        <w:ind w:firstLine="708"/>
        <w:contextualSpacing/>
        <w:jc w:val="both"/>
        <w:rPr>
          <w:rFonts w:cs="Times New Roman"/>
          <w:szCs w:val="28"/>
        </w:rPr>
      </w:pPr>
      <w:r w:rsidRPr="00467551">
        <w:rPr>
          <w:rFonts w:cs="Times New Roman"/>
          <w:szCs w:val="28"/>
        </w:rPr>
        <w:t xml:space="preserve">При указанном варианте потенциальными адресатами правового регулирования будут являться </w:t>
      </w:r>
      <w:r w:rsidR="00767D1B" w:rsidRPr="00467551">
        <w:rPr>
          <w:rFonts w:cs="Times New Roman"/>
          <w:szCs w:val="28"/>
        </w:rPr>
        <w:t>юридические лица, индивидуальные предприниматели – 243 хозяйствующих субъекта, согласно схеме размещения нестационарных торговых объектов.</w:t>
      </w:r>
      <w:r w:rsidRPr="00467551">
        <w:rPr>
          <w:rFonts w:cs="Times New Roman"/>
          <w:szCs w:val="28"/>
        </w:rPr>
        <w:t xml:space="preserve"> </w:t>
      </w:r>
    </w:p>
    <w:p w14:paraId="5E3C3EDF" w14:textId="7307CF6A" w:rsidR="00EA0D7A" w:rsidRPr="00467551" w:rsidRDefault="00EA0D7A" w:rsidP="00EA0D7A">
      <w:pPr>
        <w:ind w:firstLine="709"/>
        <w:jc w:val="both"/>
        <w:rPr>
          <w:rFonts w:cs="Times New Roman"/>
          <w:szCs w:val="28"/>
        </w:rPr>
      </w:pPr>
      <w:r w:rsidRPr="00467551">
        <w:rPr>
          <w:rFonts w:cs="Times New Roman"/>
          <w:szCs w:val="28"/>
        </w:rPr>
        <w:t xml:space="preserve">При этом, расходы 1 субъекта (по аналогии с предлагаемым правовым регулированием) составят </w:t>
      </w:r>
      <w:r w:rsidR="00767D1B" w:rsidRPr="00467551">
        <w:rPr>
          <w:rFonts w:cs="Times New Roman"/>
          <w:szCs w:val="28"/>
        </w:rPr>
        <w:t xml:space="preserve">41 189,84 </w:t>
      </w:r>
      <w:r w:rsidRPr="00467551">
        <w:rPr>
          <w:rFonts w:cs="Times New Roman"/>
          <w:szCs w:val="28"/>
        </w:rPr>
        <w:t xml:space="preserve">рублей (на </w:t>
      </w:r>
      <w:r w:rsidRPr="00467551">
        <w:rPr>
          <w:rFonts w:eastAsia="Times New Roman" w:cs="Times New Roman"/>
          <w:szCs w:val="28"/>
          <w:lang w:eastAsia="ru-RU"/>
        </w:rPr>
        <w:t>демонтаж 1 объекта</w:t>
      </w:r>
      <w:r w:rsidRPr="00467551">
        <w:rPr>
          <w:rFonts w:eastAsia="Times New Roman" w:cs="Times New Roman"/>
          <w:i/>
          <w:szCs w:val="28"/>
          <w:lang w:eastAsia="ru-RU"/>
        </w:rPr>
        <w:t>).</w:t>
      </w:r>
    </w:p>
    <w:p w14:paraId="4844D783" w14:textId="77777777" w:rsidR="00EA0D7A" w:rsidRPr="00467551" w:rsidRDefault="00EA0D7A" w:rsidP="00EA0D7A">
      <w:pPr>
        <w:ind w:firstLine="709"/>
        <w:jc w:val="both"/>
        <w:rPr>
          <w:rFonts w:cs="Times New Roman"/>
          <w:szCs w:val="28"/>
        </w:rPr>
      </w:pPr>
      <w:r w:rsidRPr="00467551">
        <w:rPr>
          <w:rFonts w:eastAsia="Times New Roman"/>
          <w:szCs w:val="28"/>
          <w:lang w:eastAsia="ru-RU"/>
        </w:rPr>
        <w:t xml:space="preserve">При реализации альтернативного варианта </w:t>
      </w:r>
      <w:r w:rsidRPr="00467551">
        <w:rPr>
          <w:rFonts w:cs="Times New Roman"/>
          <w:szCs w:val="28"/>
        </w:rPr>
        <w:t>существуют следующие риски:</w:t>
      </w:r>
    </w:p>
    <w:p w14:paraId="140CA904" w14:textId="4ABC8C97" w:rsidR="00EA0D7A" w:rsidRPr="00467551" w:rsidRDefault="00EA0D7A" w:rsidP="00EA0D7A">
      <w:pPr>
        <w:ind w:firstLine="709"/>
        <w:jc w:val="both"/>
        <w:rPr>
          <w:rFonts w:cs="Times New Roman"/>
          <w:szCs w:val="28"/>
        </w:rPr>
      </w:pPr>
      <w:r w:rsidRPr="00467551">
        <w:rPr>
          <w:rFonts w:cs="Times New Roman"/>
          <w:szCs w:val="28"/>
        </w:rPr>
        <w:t xml:space="preserve">1) увеличение временного периода на демонтаж </w:t>
      </w:r>
      <w:r w:rsidR="00767D1B" w:rsidRPr="00467551">
        <w:rPr>
          <w:rFonts w:eastAsia="Times New Roman"/>
          <w:szCs w:val="28"/>
          <w:lang w:eastAsia="ru-RU"/>
        </w:rPr>
        <w:t>нестационарного торгового объекта</w:t>
      </w:r>
      <w:r w:rsidRPr="00467551">
        <w:rPr>
          <w:rFonts w:cs="Times New Roman"/>
          <w:szCs w:val="28"/>
        </w:rPr>
        <w:t xml:space="preserve"> с учетом сроков для формирования и направления искового заявления, принятия судебного решения и вступления его в законную силу;</w:t>
      </w:r>
    </w:p>
    <w:p w14:paraId="44BCAB8F" w14:textId="725356A2" w:rsidR="00EA0D7A" w:rsidRPr="00467551" w:rsidRDefault="00EA0D7A" w:rsidP="00EA0D7A">
      <w:pPr>
        <w:ind w:firstLine="709"/>
        <w:jc w:val="both"/>
        <w:rPr>
          <w:rFonts w:cs="Times New Roman"/>
          <w:szCs w:val="28"/>
        </w:rPr>
      </w:pPr>
      <w:r w:rsidRPr="00467551">
        <w:rPr>
          <w:rFonts w:cs="Times New Roman"/>
          <w:szCs w:val="28"/>
        </w:rPr>
        <w:t xml:space="preserve">2) увеличение расходов </w:t>
      </w:r>
      <w:r w:rsidR="00A6374A" w:rsidRPr="00467551">
        <w:rPr>
          <w:rFonts w:cs="Times New Roman"/>
          <w:szCs w:val="28"/>
        </w:rPr>
        <w:t>бюджета</w:t>
      </w:r>
      <w:r w:rsidRPr="00467551">
        <w:rPr>
          <w:rFonts w:cs="Times New Roman"/>
          <w:szCs w:val="28"/>
        </w:rPr>
        <w:t xml:space="preserve"> города на судебные издержки;  </w:t>
      </w:r>
    </w:p>
    <w:p w14:paraId="150E7421" w14:textId="259D6B2B" w:rsidR="00EA0D7A" w:rsidRPr="00467551" w:rsidRDefault="00EA0D7A" w:rsidP="00EA0D7A">
      <w:pPr>
        <w:ind w:firstLine="709"/>
        <w:jc w:val="both"/>
        <w:rPr>
          <w:rFonts w:cs="Times New Roman"/>
          <w:szCs w:val="28"/>
        </w:rPr>
      </w:pPr>
      <w:r w:rsidRPr="00467551">
        <w:rPr>
          <w:rFonts w:cs="Times New Roman"/>
          <w:szCs w:val="28"/>
        </w:rPr>
        <w:t xml:space="preserve">3) увеличение расходов субъектов предпринимательской деятельности </w:t>
      </w:r>
      <w:r w:rsidR="00767D1B" w:rsidRPr="00467551">
        <w:rPr>
          <w:rFonts w:cs="Times New Roman"/>
          <w:szCs w:val="28"/>
        </w:rPr>
        <w:t xml:space="preserve">                           </w:t>
      </w:r>
      <w:r w:rsidRPr="00467551">
        <w:rPr>
          <w:rFonts w:cs="Times New Roman"/>
          <w:szCs w:val="28"/>
        </w:rPr>
        <w:t>на оплату юридических услуг, возмещение судебных издержек в сумме 42 000 рублей.</w:t>
      </w:r>
    </w:p>
    <w:p w14:paraId="6689CE08" w14:textId="7B014AC4" w:rsidR="00EA0D7A" w:rsidRPr="00467551" w:rsidRDefault="00EA0D7A" w:rsidP="00EA0D7A">
      <w:pPr>
        <w:ind w:firstLine="709"/>
        <w:jc w:val="both"/>
        <w:rPr>
          <w:rFonts w:cs="Times New Roman"/>
          <w:szCs w:val="28"/>
        </w:rPr>
      </w:pPr>
      <w:r w:rsidRPr="00467551">
        <w:rPr>
          <w:rFonts w:cs="Times New Roman"/>
          <w:szCs w:val="28"/>
        </w:rPr>
        <w:t xml:space="preserve">При этом, предлагаемый </w:t>
      </w:r>
      <w:r w:rsidR="00767D1B" w:rsidRPr="00467551">
        <w:rPr>
          <w:rFonts w:cs="Times New Roman"/>
          <w:szCs w:val="28"/>
        </w:rPr>
        <w:t xml:space="preserve">отделом потребительского рынка и защиты прав потребителей </w:t>
      </w:r>
      <w:r w:rsidRPr="00467551">
        <w:rPr>
          <w:rFonts w:cs="Times New Roman"/>
          <w:szCs w:val="28"/>
        </w:rPr>
        <w:t>Администрации города вариант правового регулирования является более оптимальным, поскольку полностью обеспечивают достижение заявленной цели правового регулирования, а также снижает риски, сокращает временные затраты.</w:t>
      </w:r>
    </w:p>
    <w:p w14:paraId="6136ADF2" w14:textId="77777777" w:rsidR="001B4270" w:rsidRDefault="001B4270" w:rsidP="00AE49AE">
      <w:pPr>
        <w:ind w:firstLine="709"/>
        <w:jc w:val="both"/>
        <w:rPr>
          <w:rFonts w:eastAsia="Times New Roman"/>
          <w:szCs w:val="28"/>
          <w:lang w:eastAsia="ru-RU"/>
        </w:rPr>
      </w:pPr>
    </w:p>
    <w:p w14:paraId="6193A38E" w14:textId="77777777" w:rsidR="000404E3" w:rsidRPr="00D85E82" w:rsidRDefault="000404E3" w:rsidP="000404E3">
      <w:pPr>
        <w:ind w:firstLine="720"/>
        <w:contextualSpacing/>
        <w:jc w:val="both"/>
        <w:rPr>
          <w:szCs w:val="28"/>
        </w:rPr>
      </w:pPr>
      <w:r w:rsidRPr="00D85E82">
        <w:rPr>
          <w:szCs w:val="28"/>
        </w:rPr>
        <w:t>Негативными последствиями в случае отсутствия предлагаемого правового регулирования, является наличие следующих рисков:</w:t>
      </w:r>
    </w:p>
    <w:p w14:paraId="05E8950F" w14:textId="1D2C63C5" w:rsidR="00967DA4" w:rsidRPr="00D85E82" w:rsidRDefault="00967DA4" w:rsidP="00967DA4">
      <w:pPr>
        <w:ind w:firstLine="720"/>
        <w:contextualSpacing/>
        <w:jc w:val="both"/>
        <w:rPr>
          <w:szCs w:val="28"/>
        </w:rPr>
      </w:pPr>
      <w:r w:rsidRPr="00D85E82">
        <w:rPr>
          <w:szCs w:val="28"/>
        </w:rPr>
        <w:t>- нарушение Правил благоустройства территории города Сургута, утвержденных решением Думы города от 26.12.2017 № 206-VI ДГ, по договорам                     на размещение нестационарных торговых объектов;</w:t>
      </w:r>
    </w:p>
    <w:p w14:paraId="46AB1ABE" w14:textId="45D3DE88" w:rsidR="00967DA4" w:rsidRPr="00D85E82" w:rsidRDefault="00967DA4" w:rsidP="00967DA4">
      <w:pPr>
        <w:ind w:firstLine="720"/>
        <w:contextualSpacing/>
        <w:jc w:val="both"/>
        <w:rPr>
          <w:szCs w:val="28"/>
        </w:rPr>
      </w:pPr>
      <w:r w:rsidRPr="00D85E82">
        <w:rPr>
          <w:szCs w:val="28"/>
        </w:rPr>
        <w:t>- отсутствие применения единого подхода к порядкам заключения договоров      на размещение (без проведения аукциона/ по итогам проведения открытого аукциона);</w:t>
      </w:r>
    </w:p>
    <w:p w14:paraId="7A72DEDB" w14:textId="116A3D5D" w:rsidR="00D46AEC" w:rsidRPr="00D85E82" w:rsidRDefault="00D46AEC" w:rsidP="00967DA4">
      <w:pPr>
        <w:ind w:firstLine="720"/>
        <w:contextualSpacing/>
        <w:jc w:val="both"/>
        <w:rPr>
          <w:szCs w:val="28"/>
        </w:rPr>
      </w:pPr>
      <w:r>
        <w:rPr>
          <w:rFonts w:cs="Times New Roman"/>
          <w:iCs/>
          <w:szCs w:val="28"/>
        </w:rPr>
        <w:t xml:space="preserve">- отсутствие </w:t>
      </w:r>
      <w:r w:rsidRPr="00416409">
        <w:rPr>
          <w:rFonts w:cs="Times New Roman"/>
          <w:iCs/>
          <w:szCs w:val="28"/>
        </w:rPr>
        <w:t>дополнительного варианта освобождения муниципального земельного участка от нестационарного торгового объекта в случае                                                 не освобождения места от нестационарного торгового объекта в установленный срок</w:t>
      </w:r>
      <w:r>
        <w:rPr>
          <w:rFonts w:cs="Times New Roman"/>
          <w:iCs/>
          <w:szCs w:val="28"/>
        </w:rPr>
        <w:t>.</w:t>
      </w:r>
    </w:p>
    <w:p w14:paraId="7464ED4C" w14:textId="77777777" w:rsidR="008057E3" w:rsidRPr="00D85E82" w:rsidRDefault="008057E3" w:rsidP="00E364D5">
      <w:pPr>
        <w:ind w:firstLine="709"/>
        <w:jc w:val="both"/>
        <w:rPr>
          <w:rFonts w:cs="Times New Roman"/>
          <w:szCs w:val="28"/>
        </w:rPr>
      </w:pPr>
    </w:p>
    <w:p w14:paraId="736DFAD0" w14:textId="447B19AA" w:rsidR="0009196F" w:rsidRPr="00D85E82" w:rsidRDefault="001F7B9D" w:rsidP="00270527">
      <w:pPr>
        <w:ind w:firstLine="709"/>
        <w:jc w:val="both"/>
        <w:rPr>
          <w:rFonts w:cs="Times New Roman"/>
          <w:szCs w:val="28"/>
        </w:rPr>
      </w:pPr>
      <w:r w:rsidRPr="00D85E82">
        <w:rPr>
          <w:rFonts w:cs="Times New Roman"/>
          <w:szCs w:val="28"/>
        </w:rPr>
        <w:t xml:space="preserve">По результатам мониторинга решения данной проблемы в других муниципальных образованиях </w:t>
      </w:r>
      <w:r w:rsidR="000E0B5F" w:rsidRPr="00D85E82">
        <w:rPr>
          <w:rFonts w:cs="Times New Roman"/>
          <w:szCs w:val="28"/>
        </w:rPr>
        <w:t>Ханты-Мансийского автономного округа – Югры</w:t>
      </w:r>
      <w:r w:rsidR="00967DA4" w:rsidRPr="00D85E82">
        <w:rPr>
          <w:rFonts w:cs="Times New Roman"/>
          <w:szCs w:val="28"/>
        </w:rPr>
        <w:t xml:space="preserve">, других муниципальных образованиях Российской Федерации, </w:t>
      </w:r>
      <w:r w:rsidR="000E0B5F" w:rsidRPr="00D85E82">
        <w:rPr>
          <w:rFonts w:cs="Times New Roman"/>
          <w:szCs w:val="28"/>
        </w:rPr>
        <w:t xml:space="preserve"> </w:t>
      </w:r>
      <w:r w:rsidR="008057E3" w:rsidRPr="00D85E82">
        <w:rPr>
          <w:rFonts w:cs="Times New Roman"/>
          <w:szCs w:val="28"/>
        </w:rPr>
        <w:t xml:space="preserve">установлено </w:t>
      </w:r>
      <w:r w:rsidR="00A50577" w:rsidRPr="00D85E82">
        <w:rPr>
          <w:rFonts w:cs="Times New Roman"/>
          <w:szCs w:val="28"/>
        </w:rPr>
        <w:t>схожее</w:t>
      </w:r>
      <w:r w:rsidR="008057E3" w:rsidRPr="00D85E82">
        <w:rPr>
          <w:rFonts w:cs="Times New Roman"/>
          <w:szCs w:val="28"/>
        </w:rPr>
        <w:t xml:space="preserve"> правовое регулирование</w:t>
      </w:r>
      <w:r w:rsidR="0009196F" w:rsidRPr="00D85E82">
        <w:rPr>
          <w:rFonts w:cs="Times New Roman"/>
          <w:szCs w:val="28"/>
        </w:rPr>
        <w:t>:</w:t>
      </w:r>
    </w:p>
    <w:p w14:paraId="6770D902" w14:textId="46C1A1E1" w:rsidR="00D81CAC" w:rsidRPr="00D85E82" w:rsidRDefault="00D81CAC" w:rsidP="00D81CAC">
      <w:pPr>
        <w:ind w:firstLine="709"/>
        <w:jc w:val="both"/>
        <w:rPr>
          <w:rFonts w:cs="Times New Roman"/>
          <w:szCs w:val="28"/>
        </w:rPr>
      </w:pPr>
      <w:r w:rsidRPr="00D85E82">
        <w:rPr>
          <w:rFonts w:cs="Times New Roman"/>
          <w:szCs w:val="28"/>
        </w:rPr>
        <w:t xml:space="preserve">- </w:t>
      </w:r>
      <w:r w:rsidR="00967DA4" w:rsidRPr="00D85E82">
        <w:rPr>
          <w:rFonts w:cs="Times New Roman"/>
          <w:szCs w:val="28"/>
        </w:rPr>
        <w:t>постановление администрации города Когалыма от 22.01.2021 № 102                         «О размещении нестационарных торговых объектов на территории города Когалыма»</w:t>
      </w:r>
      <w:r w:rsidRPr="00D85E82">
        <w:rPr>
          <w:rFonts w:cs="Times New Roman"/>
          <w:szCs w:val="28"/>
        </w:rPr>
        <w:t>;</w:t>
      </w:r>
    </w:p>
    <w:p w14:paraId="55730C46" w14:textId="74F9F74A" w:rsidR="00D81CAC" w:rsidRPr="00D85E82" w:rsidRDefault="00D81CAC" w:rsidP="00D81CAC">
      <w:pPr>
        <w:ind w:firstLine="709"/>
        <w:jc w:val="both"/>
        <w:rPr>
          <w:rFonts w:cs="Times New Roman"/>
          <w:szCs w:val="28"/>
        </w:rPr>
      </w:pPr>
      <w:r w:rsidRPr="00D85E82">
        <w:rPr>
          <w:rFonts w:cs="Times New Roman"/>
          <w:szCs w:val="28"/>
        </w:rPr>
        <w:t xml:space="preserve">- </w:t>
      </w:r>
      <w:r w:rsidR="00967DA4" w:rsidRPr="00D85E82">
        <w:rPr>
          <w:rFonts w:cs="Times New Roman"/>
          <w:szCs w:val="28"/>
        </w:rPr>
        <w:t>решение Совета Депутатов города Новосибирска 29.04.2015 № 1336                                 «О положении о нестационарных объектах на территории города Новосибирска».</w:t>
      </w:r>
      <w:r w:rsidRPr="00D85E82">
        <w:rPr>
          <w:rFonts w:cs="Times New Roman"/>
          <w:szCs w:val="28"/>
        </w:rPr>
        <w:t xml:space="preserve"> </w:t>
      </w:r>
    </w:p>
    <w:p w14:paraId="2391F520" w14:textId="77777777" w:rsidR="00D81CAC" w:rsidRPr="00D85E82" w:rsidRDefault="00D81CAC" w:rsidP="00D81CAC">
      <w:pPr>
        <w:ind w:firstLine="709"/>
        <w:jc w:val="both"/>
        <w:rPr>
          <w:rFonts w:cs="Times New Roman"/>
          <w:szCs w:val="28"/>
        </w:rPr>
      </w:pPr>
    </w:p>
    <w:p w14:paraId="59BBD205" w14:textId="4CE565E6" w:rsidR="00975C03" w:rsidRPr="00D85E82" w:rsidRDefault="00B77352" w:rsidP="00A746F9">
      <w:pPr>
        <w:ind w:firstLine="708"/>
        <w:contextualSpacing/>
        <w:jc w:val="both"/>
        <w:rPr>
          <w:rFonts w:cs="Times New Roman"/>
          <w:szCs w:val="28"/>
        </w:rPr>
      </w:pPr>
      <w:r w:rsidRPr="00D85E82">
        <w:rPr>
          <w:rFonts w:cs="Times New Roman"/>
          <w:szCs w:val="28"/>
        </w:rPr>
        <w:t>Исходя из представленных сведений в отчете об ОРВ, потенциальными адресатами правового регулирования являются</w:t>
      </w:r>
      <w:r w:rsidR="00CF7F11" w:rsidRPr="00D85E82">
        <w:rPr>
          <w:rFonts w:cs="Times New Roman"/>
          <w:szCs w:val="28"/>
        </w:rPr>
        <w:t xml:space="preserve"> </w:t>
      </w:r>
      <w:r w:rsidR="00EA0D7A" w:rsidRPr="00D85E82">
        <w:rPr>
          <w:rFonts w:cs="Times New Roman"/>
          <w:szCs w:val="28"/>
        </w:rPr>
        <w:t>ю</w:t>
      </w:r>
      <w:r w:rsidR="00967DA4" w:rsidRPr="00D85E82">
        <w:rPr>
          <w:rFonts w:cs="Times New Roman"/>
          <w:szCs w:val="28"/>
        </w:rPr>
        <w:t>ридические лица, индивидуальные предприниматели</w:t>
      </w:r>
      <w:r w:rsidR="00855812" w:rsidRPr="00D85E82">
        <w:rPr>
          <w:rFonts w:cs="Times New Roman"/>
          <w:szCs w:val="28"/>
        </w:rPr>
        <w:t xml:space="preserve"> </w:t>
      </w:r>
      <w:r w:rsidR="005B0266" w:rsidRPr="00D85E82">
        <w:rPr>
          <w:rFonts w:cs="Times New Roman"/>
          <w:szCs w:val="28"/>
        </w:rPr>
        <w:t xml:space="preserve">– </w:t>
      </w:r>
      <w:r w:rsidR="00EA0D7A" w:rsidRPr="00D85E82">
        <w:rPr>
          <w:rFonts w:cs="Times New Roman"/>
          <w:szCs w:val="28"/>
        </w:rPr>
        <w:t>243 хозяйствующих субъекта</w:t>
      </w:r>
      <w:r w:rsidR="00BA47B1" w:rsidRPr="00D85E82">
        <w:rPr>
          <w:rFonts w:cs="Times New Roman"/>
          <w:szCs w:val="28"/>
        </w:rPr>
        <w:t xml:space="preserve">, </w:t>
      </w:r>
      <w:r w:rsidR="00EA0D7A" w:rsidRPr="00D85E82">
        <w:rPr>
          <w:rFonts w:cs="Times New Roman"/>
          <w:szCs w:val="28"/>
        </w:rPr>
        <w:t>согласно схеме размещения нестационарных торговых объектов</w:t>
      </w:r>
      <w:r w:rsidR="00644239" w:rsidRPr="00D85E82">
        <w:rPr>
          <w:rFonts w:cs="Times New Roman"/>
          <w:szCs w:val="28"/>
        </w:rPr>
        <w:t>.</w:t>
      </w:r>
      <w:r w:rsidR="00A50577" w:rsidRPr="00D85E82">
        <w:rPr>
          <w:rFonts w:cs="Times New Roman"/>
          <w:szCs w:val="28"/>
        </w:rPr>
        <w:t xml:space="preserve"> </w:t>
      </w:r>
    </w:p>
    <w:p w14:paraId="2CDEF582" w14:textId="77777777" w:rsidR="007848E3" w:rsidRPr="00D85E82" w:rsidRDefault="007848E3" w:rsidP="007848E3">
      <w:pPr>
        <w:autoSpaceDE w:val="0"/>
        <w:autoSpaceDN w:val="0"/>
        <w:ind w:firstLine="567"/>
        <w:jc w:val="both"/>
        <w:rPr>
          <w:rFonts w:cs="Times New Roman"/>
          <w:szCs w:val="28"/>
        </w:rPr>
      </w:pPr>
    </w:p>
    <w:p w14:paraId="7DF2DDE9" w14:textId="1C76D8E9" w:rsidR="007848E3" w:rsidRPr="00D85E82" w:rsidRDefault="00EA0D7A" w:rsidP="007848E3">
      <w:pPr>
        <w:autoSpaceDE w:val="0"/>
        <w:autoSpaceDN w:val="0"/>
        <w:ind w:firstLine="567"/>
        <w:jc w:val="both"/>
        <w:rPr>
          <w:rFonts w:cs="Times New Roman"/>
          <w:szCs w:val="28"/>
        </w:rPr>
      </w:pPr>
      <w:r w:rsidRPr="00D85E82">
        <w:rPr>
          <w:rFonts w:cs="Times New Roman"/>
          <w:szCs w:val="28"/>
        </w:rPr>
        <w:t>П</w:t>
      </w:r>
      <w:r w:rsidR="00C47A01" w:rsidRPr="00D85E82">
        <w:rPr>
          <w:rFonts w:cs="Times New Roman"/>
          <w:szCs w:val="28"/>
        </w:rPr>
        <w:t>редлагаемое правовое регулирование не влечет дополнительные расходы (доходы) бюджета.</w:t>
      </w:r>
    </w:p>
    <w:p w14:paraId="24C0EC50" w14:textId="77777777" w:rsidR="00B63D98" w:rsidRPr="00D85E82" w:rsidRDefault="00B63D98" w:rsidP="00F14241">
      <w:pPr>
        <w:ind w:firstLine="709"/>
        <w:jc w:val="both"/>
        <w:rPr>
          <w:rFonts w:eastAsia="Calibri" w:cs="Times New Roman"/>
          <w:color w:val="FF0000"/>
          <w:szCs w:val="28"/>
          <w:lang w:eastAsia="ru-RU"/>
        </w:rPr>
      </w:pPr>
    </w:p>
    <w:p w14:paraId="6D93FB6E" w14:textId="26088E4F" w:rsidR="00EA0D7A" w:rsidRPr="00D85E82" w:rsidRDefault="00EA0D7A" w:rsidP="00EA0D7A">
      <w:pPr>
        <w:ind w:firstLine="709"/>
        <w:jc w:val="both"/>
        <w:rPr>
          <w:rFonts w:eastAsia="Calibri" w:cs="Times New Roman"/>
          <w:szCs w:val="28"/>
        </w:rPr>
      </w:pPr>
      <w:r w:rsidRPr="00D85E82">
        <w:rPr>
          <w:rFonts w:eastAsia="Calibri" w:cs="Times New Roman"/>
          <w:szCs w:val="28"/>
          <w:lang w:eastAsia="ru-RU"/>
        </w:rPr>
        <w:t>Правовым регулированием, устанавливаются обязанности для субъектов предпринимательской деятельности, которые влекут с</w:t>
      </w:r>
      <w:r w:rsidRPr="00D85E82">
        <w:rPr>
          <w:rFonts w:eastAsia="Times New Roman" w:cs="Times New Roman"/>
          <w:szCs w:val="28"/>
          <w:lang w:eastAsia="ru-RU"/>
        </w:rPr>
        <w:t xml:space="preserve">одержательные издержки                        по демонтажу </w:t>
      </w:r>
      <w:r w:rsidRPr="00D85E82">
        <w:rPr>
          <w:rFonts w:eastAsia="Calibri" w:cs="Times New Roman"/>
          <w:szCs w:val="28"/>
          <w:lang w:eastAsia="ru-RU"/>
        </w:rPr>
        <w:t>нестационарных торговых объектов</w:t>
      </w:r>
      <w:r w:rsidRPr="00D85E82">
        <w:rPr>
          <w:rFonts w:eastAsia="Times New Roman" w:cs="Times New Roman"/>
          <w:szCs w:val="28"/>
          <w:lang w:eastAsia="ru-RU"/>
        </w:rPr>
        <w:t xml:space="preserve"> – </w:t>
      </w:r>
      <w:r w:rsidRPr="00D85E82">
        <w:rPr>
          <w:rFonts w:cs="Times New Roman"/>
          <w:szCs w:val="28"/>
        </w:rPr>
        <w:t xml:space="preserve">41 189,84 </w:t>
      </w:r>
      <w:r w:rsidRPr="00D85E82">
        <w:rPr>
          <w:rFonts w:eastAsia="Times New Roman" w:cs="Times New Roman"/>
          <w:szCs w:val="28"/>
          <w:lang w:eastAsia="ru-RU"/>
        </w:rPr>
        <w:t>рублей (</w:t>
      </w:r>
      <w:r w:rsidR="00767D1B">
        <w:rPr>
          <w:rFonts w:eastAsia="Times New Roman" w:cs="Times New Roman"/>
          <w:szCs w:val="28"/>
          <w:lang w:eastAsia="ru-RU"/>
        </w:rPr>
        <w:t>на</w:t>
      </w:r>
      <w:r w:rsidRPr="00D85E82">
        <w:rPr>
          <w:rFonts w:eastAsia="Times New Roman" w:cs="Times New Roman"/>
          <w:szCs w:val="28"/>
          <w:lang w:eastAsia="ru-RU"/>
        </w:rPr>
        <w:t xml:space="preserve"> демонтаж </w:t>
      </w:r>
      <w:r w:rsidR="00767D1B">
        <w:rPr>
          <w:rFonts w:eastAsia="Times New Roman" w:cs="Times New Roman"/>
          <w:szCs w:val="28"/>
          <w:lang w:eastAsia="ru-RU"/>
        </w:rPr>
        <w:t xml:space="preserve">   </w:t>
      </w:r>
      <w:r w:rsidRPr="00D85E82">
        <w:rPr>
          <w:rFonts w:eastAsia="Times New Roman" w:cs="Times New Roman"/>
          <w:szCs w:val="28"/>
          <w:lang w:eastAsia="ru-RU"/>
        </w:rPr>
        <w:t xml:space="preserve">1 объекта). </w:t>
      </w:r>
      <w:r w:rsidRPr="00D85E82">
        <w:rPr>
          <w:rFonts w:eastAsia="Calibri" w:cs="Times New Roman"/>
          <w:szCs w:val="28"/>
        </w:rPr>
        <w:t>Установленные обязанности экономически обоснованы, исходя                                         из представленных в отчете расчетов.</w:t>
      </w:r>
    </w:p>
    <w:p w14:paraId="4BAD3824" w14:textId="1150231B" w:rsidR="00CC7C53" w:rsidRPr="00D85E82" w:rsidRDefault="00CC7C53" w:rsidP="00933DEC">
      <w:pPr>
        <w:ind w:firstLine="709"/>
        <w:jc w:val="both"/>
        <w:rPr>
          <w:rFonts w:eastAsia="Times New Roman" w:cs="Times New Roman"/>
          <w:color w:val="FF0000"/>
          <w:szCs w:val="28"/>
          <w:lang w:eastAsia="ru-RU"/>
        </w:rPr>
      </w:pPr>
    </w:p>
    <w:p w14:paraId="4F4F969E" w14:textId="5FA41529" w:rsidR="00816DE4" w:rsidRPr="00D85E82" w:rsidRDefault="00816DE4" w:rsidP="00F14241">
      <w:pPr>
        <w:ind w:firstLine="709"/>
        <w:jc w:val="both"/>
        <w:rPr>
          <w:rFonts w:eastAsia="Times New Roman" w:cs="Times New Roman"/>
          <w:szCs w:val="28"/>
          <w:lang w:eastAsia="ru-RU"/>
        </w:rPr>
      </w:pPr>
      <w:r w:rsidRPr="00D85E82">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sidRPr="00D85E82">
        <w:rPr>
          <w:rFonts w:eastAsia="Times New Roman" w:cs="Times New Roman"/>
          <w:szCs w:val="28"/>
          <w:lang w:eastAsia="ru-RU"/>
        </w:rPr>
        <w:t xml:space="preserve">                           </w:t>
      </w:r>
      <w:r w:rsidRPr="00D85E82">
        <w:rPr>
          <w:rFonts w:eastAsia="Times New Roman" w:cs="Times New Roman"/>
          <w:szCs w:val="28"/>
          <w:lang w:eastAsia="ru-RU"/>
        </w:rPr>
        <w:t>«</w:t>
      </w:r>
      <w:r w:rsidR="000A52E5" w:rsidRPr="00D85E82">
        <w:rPr>
          <w:rFonts w:eastAsia="Times New Roman" w:cs="Times New Roman"/>
          <w:szCs w:val="28"/>
          <w:u w:val="single"/>
          <w:lang w:eastAsia="ru-RU"/>
        </w:rPr>
        <w:t>2</w:t>
      </w:r>
      <w:r w:rsidR="00EA0D7A" w:rsidRPr="00D85E82">
        <w:rPr>
          <w:rFonts w:eastAsia="Times New Roman" w:cs="Times New Roman"/>
          <w:szCs w:val="28"/>
          <w:u w:val="single"/>
          <w:lang w:eastAsia="ru-RU"/>
        </w:rPr>
        <w:t>8</w:t>
      </w:r>
      <w:r w:rsidRPr="00D85E82">
        <w:rPr>
          <w:rFonts w:eastAsia="Times New Roman" w:cs="Times New Roman"/>
          <w:szCs w:val="28"/>
          <w:lang w:eastAsia="ru-RU"/>
        </w:rPr>
        <w:t>»</w:t>
      </w:r>
      <w:r w:rsidR="00B82793" w:rsidRPr="00D85E82">
        <w:rPr>
          <w:rFonts w:eastAsia="Times New Roman" w:cs="Times New Roman"/>
          <w:szCs w:val="28"/>
          <w:lang w:eastAsia="ru-RU"/>
        </w:rPr>
        <w:t xml:space="preserve"> </w:t>
      </w:r>
      <w:r w:rsidR="00EA0D7A" w:rsidRPr="00D85E82">
        <w:rPr>
          <w:rFonts w:eastAsia="Times New Roman" w:cs="Times New Roman"/>
          <w:szCs w:val="28"/>
          <w:u w:val="single"/>
          <w:lang w:eastAsia="ru-RU"/>
        </w:rPr>
        <w:t>июня</w:t>
      </w:r>
      <w:r w:rsidR="00B82793" w:rsidRPr="00D85E82">
        <w:rPr>
          <w:rFonts w:eastAsia="Times New Roman" w:cs="Times New Roman"/>
          <w:szCs w:val="28"/>
          <w:lang w:eastAsia="ru-RU"/>
        </w:rPr>
        <w:t xml:space="preserve"> </w:t>
      </w:r>
      <w:r w:rsidRPr="00D85E82">
        <w:rPr>
          <w:rFonts w:eastAsia="Times New Roman" w:cs="Times New Roman"/>
          <w:szCs w:val="28"/>
          <w:lang w:eastAsia="ru-RU"/>
        </w:rPr>
        <w:t>20</w:t>
      </w:r>
      <w:r w:rsidR="00DE77AD" w:rsidRPr="00D85E82">
        <w:rPr>
          <w:rFonts w:eastAsia="Times New Roman" w:cs="Times New Roman"/>
          <w:szCs w:val="28"/>
          <w:lang w:eastAsia="ru-RU"/>
        </w:rPr>
        <w:t>2</w:t>
      </w:r>
      <w:r w:rsidR="00B63D98" w:rsidRPr="00D85E82">
        <w:rPr>
          <w:rFonts w:eastAsia="Times New Roman" w:cs="Times New Roman"/>
          <w:szCs w:val="28"/>
          <w:lang w:eastAsia="ru-RU"/>
        </w:rPr>
        <w:t>1</w:t>
      </w:r>
      <w:r w:rsidR="00B82793" w:rsidRPr="00D85E82">
        <w:rPr>
          <w:rFonts w:eastAsia="Times New Roman" w:cs="Times New Roman"/>
          <w:szCs w:val="28"/>
          <w:lang w:eastAsia="ru-RU"/>
        </w:rPr>
        <w:t xml:space="preserve"> </w:t>
      </w:r>
      <w:r w:rsidRPr="00D85E82">
        <w:rPr>
          <w:rFonts w:eastAsia="Times New Roman" w:cs="Times New Roman"/>
          <w:szCs w:val="28"/>
          <w:lang w:eastAsia="ru-RU"/>
        </w:rPr>
        <w:t>года.</w:t>
      </w:r>
    </w:p>
    <w:p w14:paraId="3B520790" w14:textId="6BD834C8" w:rsidR="00D73878" w:rsidRPr="00D85E82" w:rsidRDefault="00D73878" w:rsidP="00F14241">
      <w:pPr>
        <w:ind w:firstLine="709"/>
        <w:contextualSpacing/>
        <w:jc w:val="both"/>
        <w:rPr>
          <w:szCs w:val="28"/>
        </w:rPr>
      </w:pPr>
      <w:r w:rsidRPr="00D85E82">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sidRPr="00D85E82">
        <w:rPr>
          <w:szCs w:val="28"/>
        </w:rPr>
        <w:t xml:space="preserve">                      </w:t>
      </w:r>
      <w:r w:rsidRPr="00D85E82">
        <w:rPr>
          <w:szCs w:val="28"/>
        </w:rPr>
        <w:t xml:space="preserve">об ОРВ проекта муниципального нормативного правового акта </w:t>
      </w:r>
      <w:r w:rsidR="00B63D98" w:rsidRPr="00D85E82">
        <w:rPr>
          <w:szCs w:val="28"/>
        </w:rPr>
        <w:t xml:space="preserve">                                             </w:t>
      </w:r>
      <w:r w:rsidRPr="00D85E82">
        <w:rPr>
          <w:szCs w:val="28"/>
        </w:rPr>
        <w:t>размещена</w:t>
      </w:r>
      <w:r w:rsidR="00B63D98" w:rsidRPr="00D85E82">
        <w:rPr>
          <w:szCs w:val="28"/>
        </w:rPr>
        <w:t xml:space="preserve"> </w:t>
      </w:r>
      <w:r w:rsidRPr="00D85E82">
        <w:rPr>
          <w:szCs w:val="28"/>
        </w:rPr>
        <w:t xml:space="preserve">на портале проектов нормативных правовых актов </w:t>
      </w:r>
      <w:r w:rsidR="00B63D98" w:rsidRPr="00D85E82">
        <w:t>(</w:t>
      </w:r>
      <w:hyperlink r:id="rId9" w:anchor="npa=33703" w:history="1">
        <w:r w:rsidR="00EA0D7A" w:rsidRPr="00D85E82">
          <w:rPr>
            <w:rStyle w:val="afff0"/>
          </w:rPr>
          <w:t>https://regulation.admhmao.ru/projects#npa=33703</w:t>
        </w:r>
      </w:hyperlink>
      <w:r w:rsidR="00B63D98" w:rsidRPr="00D85E82">
        <w:t xml:space="preserve">) (ID проекта </w:t>
      </w:r>
      <w:r w:rsidR="00EA0D7A" w:rsidRPr="00D85E82">
        <w:t>01/16/06-21/00033703</w:t>
      </w:r>
      <w:r w:rsidR="00B63D98" w:rsidRPr="00D85E82">
        <w:t>)</w:t>
      </w:r>
      <w:r w:rsidRPr="00D85E82">
        <w:rPr>
          <w:szCs w:val="28"/>
        </w:rPr>
        <w:t>.</w:t>
      </w:r>
    </w:p>
    <w:p w14:paraId="54F8E2D2" w14:textId="7BE64200" w:rsidR="00D73878" w:rsidRPr="00D85E82" w:rsidRDefault="00D73878" w:rsidP="000D50F3">
      <w:pPr>
        <w:contextualSpacing/>
        <w:jc w:val="both"/>
        <w:rPr>
          <w:szCs w:val="28"/>
        </w:rPr>
      </w:pPr>
      <w:r w:rsidRPr="00D85E82">
        <w:rPr>
          <w:color w:val="FF0000"/>
          <w:szCs w:val="28"/>
        </w:rPr>
        <w:tab/>
      </w:r>
      <w:r w:rsidRPr="00D85E82">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D85E82">
        <w:rPr>
          <w:szCs w:val="28"/>
          <w:lang w:val="en-US"/>
        </w:rPr>
        <w:t>Viber</w:t>
      </w:r>
      <w:r w:rsidRPr="00D85E82">
        <w:rPr>
          <w:szCs w:val="28"/>
        </w:rPr>
        <w:t xml:space="preserve">» </w:t>
      </w:r>
      <w:r w:rsidR="00C834E8" w:rsidRPr="00D85E82">
        <w:rPr>
          <w:szCs w:val="28"/>
        </w:rPr>
        <w:t xml:space="preserve">           </w:t>
      </w:r>
      <w:r w:rsidRPr="00D85E82">
        <w:rPr>
          <w:szCs w:val="28"/>
        </w:rPr>
        <w:t>в групп</w:t>
      </w:r>
      <w:r w:rsidR="008A3DAB" w:rsidRPr="00D85E82">
        <w:rPr>
          <w:szCs w:val="28"/>
        </w:rPr>
        <w:t>ах</w:t>
      </w:r>
      <w:r w:rsidRPr="00D85E82">
        <w:rPr>
          <w:szCs w:val="28"/>
        </w:rPr>
        <w:t xml:space="preserve"> «ОРВ в Сургуте»</w:t>
      </w:r>
      <w:r w:rsidR="00E97B1C" w:rsidRPr="00D85E82">
        <w:rPr>
          <w:szCs w:val="28"/>
        </w:rPr>
        <w:t>, «Инвестируй в Сургут»</w:t>
      </w:r>
      <w:r w:rsidRPr="00D85E82">
        <w:rPr>
          <w:szCs w:val="28"/>
        </w:rPr>
        <w:t>.</w:t>
      </w:r>
    </w:p>
    <w:p w14:paraId="6B37E3C8" w14:textId="75869E56" w:rsidR="00EA0D7A" w:rsidRPr="00D85E82" w:rsidRDefault="00816DE4" w:rsidP="00EA0D7A">
      <w:pPr>
        <w:ind w:firstLine="709"/>
        <w:jc w:val="both"/>
        <w:rPr>
          <w:rFonts w:cs="Times New Roman"/>
          <w:szCs w:val="28"/>
        </w:rPr>
      </w:pPr>
      <w:r w:rsidRPr="00D85E82">
        <w:rPr>
          <w:rFonts w:eastAsia="Times New Roman" w:cs="Times New Roman"/>
          <w:szCs w:val="28"/>
          <w:lang w:eastAsia="ru-RU"/>
        </w:rPr>
        <w:t>Разработчиком проведены публичные консультации по проекту акта</w:t>
      </w:r>
      <w:r w:rsidR="00F14241" w:rsidRPr="00D85E82">
        <w:rPr>
          <w:rFonts w:eastAsia="Times New Roman" w:cs="Times New Roman"/>
          <w:szCs w:val="28"/>
          <w:lang w:eastAsia="ru-RU"/>
        </w:rPr>
        <w:t xml:space="preserve"> </w:t>
      </w:r>
      <w:r w:rsidRPr="00D85E82">
        <w:rPr>
          <w:rFonts w:eastAsia="Times New Roman" w:cs="Times New Roman"/>
          <w:szCs w:val="28"/>
          <w:lang w:eastAsia="ru-RU"/>
        </w:rPr>
        <w:t xml:space="preserve">в период </w:t>
      </w:r>
      <w:r w:rsidR="00C834E8" w:rsidRPr="00D85E82">
        <w:rPr>
          <w:rFonts w:eastAsia="Times New Roman" w:cs="Times New Roman"/>
          <w:szCs w:val="28"/>
          <w:lang w:eastAsia="ru-RU"/>
        </w:rPr>
        <w:t xml:space="preserve">   </w:t>
      </w:r>
      <w:r w:rsidRPr="00D85E82">
        <w:rPr>
          <w:rFonts w:eastAsia="Times New Roman" w:cs="Times New Roman"/>
          <w:szCs w:val="28"/>
          <w:lang w:eastAsia="ru-RU"/>
        </w:rPr>
        <w:t xml:space="preserve">с </w:t>
      </w:r>
      <w:r w:rsidR="00EA0D7A" w:rsidRPr="00D85E82">
        <w:rPr>
          <w:rFonts w:cs="Times New Roman"/>
          <w:szCs w:val="28"/>
          <w:u w:val="single"/>
        </w:rPr>
        <w:t>28» июня 2021</w:t>
      </w:r>
      <w:r w:rsidR="00EA0D7A" w:rsidRPr="00D85E82">
        <w:rPr>
          <w:rFonts w:cs="Times New Roman"/>
          <w:szCs w:val="28"/>
        </w:rPr>
        <w:t xml:space="preserve"> года по </w:t>
      </w:r>
      <w:r w:rsidR="00EA0D7A" w:rsidRPr="00D85E82">
        <w:rPr>
          <w:rFonts w:cs="Times New Roman"/>
          <w:szCs w:val="28"/>
          <w:u w:val="single"/>
        </w:rPr>
        <w:t>«09» июля 2021 года.</w:t>
      </w:r>
    </w:p>
    <w:p w14:paraId="2663B414" w14:textId="77777777" w:rsidR="00696350" w:rsidRPr="00D85E82" w:rsidRDefault="00696350" w:rsidP="00696350">
      <w:pPr>
        <w:ind w:firstLine="567"/>
        <w:jc w:val="both"/>
        <w:rPr>
          <w:rFonts w:eastAsia="Times New Roman"/>
          <w:szCs w:val="24"/>
          <w:lang w:eastAsia="ru-RU"/>
        </w:rPr>
      </w:pPr>
    </w:p>
    <w:p w14:paraId="5A003503" w14:textId="77777777" w:rsidR="00C95F74" w:rsidRPr="00D85E82" w:rsidRDefault="00C95F74" w:rsidP="00F14241">
      <w:pPr>
        <w:ind w:firstLine="709"/>
        <w:jc w:val="both"/>
        <w:rPr>
          <w:rFonts w:eastAsia="Times New Roman"/>
          <w:szCs w:val="24"/>
          <w:lang w:eastAsia="ru-RU"/>
        </w:rPr>
      </w:pPr>
      <w:r w:rsidRPr="00D85E82">
        <w:rPr>
          <w:rFonts w:eastAsia="Times New Roman"/>
          <w:szCs w:val="24"/>
          <w:lang w:eastAsia="ru-RU"/>
        </w:rPr>
        <w:t>Уведомления о проведении публичных консультаций были направлены:</w:t>
      </w:r>
    </w:p>
    <w:p w14:paraId="769EA159"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xml:space="preserve">- Уполномоченному по защите прав предпринимателей в Ханты-Мансийском автономном округе – Югре; </w:t>
      </w:r>
    </w:p>
    <w:p w14:paraId="3EA0CA8B"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Комитету Сургутской торгово-промышленной палаты по развитию                    потребительского рынка;</w:t>
      </w:r>
    </w:p>
    <w:p w14:paraId="39871009"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Общероссийской общественной организации содействия привлечению            инвестиций в Российскую Федерацию «Инвестиционная Россия»;</w:t>
      </w:r>
    </w:p>
    <w:p w14:paraId="0D7F056F"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Региональной ассоциации некоммерческих организаций Ханты-Мансийского автономного округа – Югры;</w:t>
      </w:r>
    </w:p>
    <w:p w14:paraId="5D0036D5"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Союзу «Сургутская торгово-промышленная палата»;</w:t>
      </w:r>
    </w:p>
    <w:p w14:paraId="6C447C77"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Ассоциации негосударственных дошкольно-образовательных учреждений                         и центров времяпрепровождения детей Ханты-Мансийского автономного округа – Югры;</w:t>
      </w:r>
    </w:p>
    <w:p w14:paraId="1A67E16F"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Региональному отделению Общероссийской Общественной Организации малого и среднего предпринимательства «Опора России»;</w:t>
      </w:r>
    </w:p>
    <w:p w14:paraId="1E403113" w14:textId="77777777" w:rsidR="00B94610" w:rsidRPr="00D85E82"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t>- Ассоциации строительных организаций города Сургута и Сургутского района;</w:t>
      </w:r>
    </w:p>
    <w:p w14:paraId="1FA75FE6" w14:textId="77777777" w:rsidR="00B94610" w:rsidRPr="00786911" w:rsidRDefault="00B94610" w:rsidP="00B94610">
      <w:pPr>
        <w:tabs>
          <w:tab w:val="left" w:pos="993"/>
        </w:tabs>
        <w:ind w:firstLine="709"/>
        <w:jc w:val="both"/>
        <w:rPr>
          <w:rFonts w:eastAsia="Times New Roman" w:cs="Times New Roman"/>
          <w:szCs w:val="28"/>
          <w:lang w:eastAsia="ru-RU"/>
        </w:rPr>
      </w:pPr>
      <w:r w:rsidRPr="00D85E82">
        <w:rPr>
          <w:rFonts w:eastAsia="Times New Roman" w:cs="Times New Roman"/>
          <w:szCs w:val="28"/>
          <w:lang w:eastAsia="ru-RU"/>
        </w:rPr>
        <w:lastRenderedPageBreak/>
        <w:t xml:space="preserve">- Некоммерческому партнерству «Энергоэффективность, Энергосбережение, </w:t>
      </w:r>
      <w:r w:rsidRPr="00786911">
        <w:rPr>
          <w:rFonts w:eastAsia="Times New Roman" w:cs="Times New Roman"/>
          <w:szCs w:val="28"/>
          <w:lang w:eastAsia="ru-RU"/>
        </w:rPr>
        <w:t>Энергобезопасность» города Сургута и Сургутского района;</w:t>
      </w:r>
    </w:p>
    <w:p w14:paraId="0F78F08F" w14:textId="7316C4A8" w:rsidR="008A3DAB" w:rsidRPr="00786911" w:rsidRDefault="00B94610" w:rsidP="00B94610">
      <w:pPr>
        <w:tabs>
          <w:tab w:val="left" w:pos="993"/>
        </w:tabs>
        <w:ind w:firstLine="709"/>
        <w:jc w:val="both"/>
      </w:pPr>
      <w:r w:rsidRPr="00786911">
        <w:rPr>
          <w:rFonts w:eastAsia="Times New Roman" w:cs="Times New Roman"/>
          <w:szCs w:val="28"/>
          <w:lang w:eastAsia="ru-RU"/>
        </w:rPr>
        <w:t>- 15-ти хозяйствующим субъектам, осуществляющим деятельность                                                в нестационарных торговых объектах на территории города Сургута (электронная рассылка).</w:t>
      </w:r>
    </w:p>
    <w:p w14:paraId="0AD2AF17" w14:textId="08280424" w:rsidR="002641E1" w:rsidRPr="00786911" w:rsidRDefault="002641E1" w:rsidP="002641E1">
      <w:pPr>
        <w:ind w:firstLine="709"/>
        <w:jc w:val="both"/>
      </w:pPr>
      <w:r w:rsidRPr="00786911">
        <w:t xml:space="preserve">По результатам проведения публичных консультаций поступило </w:t>
      </w:r>
      <w:r w:rsidR="00B94610" w:rsidRPr="00786911">
        <w:t>3</w:t>
      </w:r>
      <w:r w:rsidRPr="00786911">
        <w:t xml:space="preserve"> отзыва,                    в том числе:</w:t>
      </w:r>
    </w:p>
    <w:p w14:paraId="643D9368" w14:textId="72F07BD3" w:rsidR="002641E1" w:rsidRPr="00786911" w:rsidRDefault="002641E1" w:rsidP="002641E1">
      <w:pPr>
        <w:ind w:firstLine="720"/>
        <w:jc w:val="both"/>
        <w:rPr>
          <w:szCs w:val="28"/>
        </w:rPr>
      </w:pPr>
      <w:r w:rsidRPr="00786911">
        <w:t xml:space="preserve">- 1 отзыв от Уполномоченного по защите прав предпринимателей в Ханты-Мансийском автономном округе – Югре, по </w:t>
      </w:r>
      <w:r w:rsidRPr="00786911">
        <w:rPr>
          <w:szCs w:val="28"/>
        </w:rPr>
        <w:t xml:space="preserve">заключенному соглашению                                           о взаимодействии при проведении ОРВ, экспертизы и оценки фактического воздействия, содержащий </w:t>
      </w:r>
      <w:r w:rsidR="00B811A0" w:rsidRPr="00786911">
        <w:rPr>
          <w:szCs w:val="28"/>
        </w:rPr>
        <w:t>4</w:t>
      </w:r>
      <w:r w:rsidRPr="00786911">
        <w:rPr>
          <w:szCs w:val="28"/>
        </w:rPr>
        <w:t xml:space="preserve"> замеч</w:t>
      </w:r>
      <w:r w:rsidR="00B94610" w:rsidRPr="00786911">
        <w:rPr>
          <w:szCs w:val="28"/>
        </w:rPr>
        <w:t xml:space="preserve">ания </w:t>
      </w:r>
      <w:r w:rsidRPr="00786911">
        <w:rPr>
          <w:szCs w:val="28"/>
        </w:rPr>
        <w:t>(предложени</w:t>
      </w:r>
      <w:r w:rsidR="00B94610" w:rsidRPr="00786911">
        <w:rPr>
          <w:szCs w:val="28"/>
        </w:rPr>
        <w:t>я</w:t>
      </w:r>
      <w:r w:rsidRPr="00786911">
        <w:rPr>
          <w:szCs w:val="28"/>
        </w:rPr>
        <w:t xml:space="preserve">), </w:t>
      </w:r>
      <w:r w:rsidR="00B94610" w:rsidRPr="00786911">
        <w:rPr>
          <w:szCs w:val="28"/>
        </w:rPr>
        <w:t>из которых 2 приняты</w:t>
      </w:r>
      <w:r w:rsidR="0099650B" w:rsidRPr="00786911">
        <w:rPr>
          <w:szCs w:val="28"/>
        </w:rPr>
        <w:t>,</w:t>
      </w:r>
      <w:r w:rsidR="00D85E82" w:rsidRPr="00786911">
        <w:rPr>
          <w:szCs w:val="28"/>
        </w:rPr>
        <w:t xml:space="preserve">                             </w:t>
      </w:r>
      <w:r w:rsidR="00B811A0" w:rsidRPr="00786911">
        <w:rPr>
          <w:szCs w:val="28"/>
        </w:rPr>
        <w:t>2 отклонены</w:t>
      </w:r>
      <w:r w:rsidR="0099650B" w:rsidRPr="00786911">
        <w:rPr>
          <w:szCs w:val="28"/>
        </w:rPr>
        <w:t xml:space="preserve"> </w:t>
      </w:r>
      <w:r w:rsidRPr="00786911">
        <w:rPr>
          <w:szCs w:val="28"/>
        </w:rPr>
        <w:t>по обоснованным причинам;</w:t>
      </w:r>
    </w:p>
    <w:p w14:paraId="4F93B948" w14:textId="7199E1BC" w:rsidR="002641E1" w:rsidRPr="00786911" w:rsidRDefault="002641E1" w:rsidP="00B811A0">
      <w:pPr>
        <w:ind w:firstLine="720"/>
        <w:jc w:val="both"/>
        <w:rPr>
          <w:szCs w:val="28"/>
        </w:rPr>
      </w:pPr>
      <w:r w:rsidRPr="00786911">
        <w:rPr>
          <w:szCs w:val="28"/>
        </w:rPr>
        <w:t xml:space="preserve">- </w:t>
      </w:r>
      <w:r w:rsidR="00B94610" w:rsidRPr="00786911">
        <w:rPr>
          <w:szCs w:val="28"/>
        </w:rPr>
        <w:t>2</w:t>
      </w:r>
      <w:r w:rsidRPr="00786911">
        <w:rPr>
          <w:szCs w:val="28"/>
        </w:rPr>
        <w:t xml:space="preserve"> отзыв</w:t>
      </w:r>
      <w:r w:rsidR="00B94610" w:rsidRPr="00786911">
        <w:rPr>
          <w:szCs w:val="28"/>
        </w:rPr>
        <w:t>а</w:t>
      </w:r>
      <w:r w:rsidRPr="00786911">
        <w:rPr>
          <w:szCs w:val="28"/>
        </w:rPr>
        <w:t xml:space="preserve"> </w:t>
      </w:r>
      <w:r w:rsidR="00B811A0" w:rsidRPr="00786911">
        <w:rPr>
          <w:szCs w:val="28"/>
        </w:rPr>
        <w:t xml:space="preserve">от </w:t>
      </w:r>
      <w:r w:rsidR="00B94610" w:rsidRPr="00786911">
        <w:rPr>
          <w:szCs w:val="28"/>
        </w:rPr>
        <w:t xml:space="preserve">Союза «Сургутская торгово-промышленная палата», </w:t>
      </w:r>
      <w:r w:rsidR="00B811A0" w:rsidRPr="00786911">
        <w:rPr>
          <w:szCs w:val="28"/>
        </w:rPr>
        <w:t xml:space="preserve">                                </w:t>
      </w:r>
      <w:r w:rsidR="00B94610" w:rsidRPr="00786911">
        <w:rPr>
          <w:szCs w:val="28"/>
        </w:rPr>
        <w:t>ООО Мясокомбинат «Сургутский» (Прокаева Наталья)</w:t>
      </w:r>
      <w:r w:rsidRPr="00786911">
        <w:t xml:space="preserve"> в электронном виде,                                           с использованием Портала проектов нормативных правовых актов </w:t>
      </w:r>
      <w:r w:rsidR="00B811A0" w:rsidRPr="00786911">
        <w:t>(</w:t>
      </w:r>
      <w:hyperlink r:id="rId10" w:anchor="npa=33703" w:history="1">
        <w:r w:rsidR="00B811A0" w:rsidRPr="00786911">
          <w:rPr>
            <w:rStyle w:val="afff0"/>
            <w:color w:val="auto"/>
          </w:rPr>
          <w:t>https://regulation.admhmao.ru/projects#npa=33703</w:t>
        </w:r>
      </w:hyperlink>
      <w:r w:rsidR="00B811A0" w:rsidRPr="00786911">
        <w:t>) (ID проекта 01/16/06-21/00033703)</w:t>
      </w:r>
      <w:r w:rsidRPr="00786911">
        <w:t xml:space="preserve">, </w:t>
      </w:r>
      <w:r w:rsidR="00B811A0" w:rsidRPr="00786911">
        <w:rPr>
          <w:szCs w:val="28"/>
        </w:rPr>
        <w:t xml:space="preserve">содержащие </w:t>
      </w:r>
      <w:r w:rsidR="0099650B" w:rsidRPr="00786911">
        <w:rPr>
          <w:szCs w:val="28"/>
        </w:rPr>
        <w:t>5</w:t>
      </w:r>
      <w:r w:rsidR="00B811A0" w:rsidRPr="00786911">
        <w:rPr>
          <w:szCs w:val="28"/>
        </w:rPr>
        <w:t xml:space="preserve"> замечани</w:t>
      </w:r>
      <w:r w:rsidR="00D85E82" w:rsidRPr="00786911">
        <w:rPr>
          <w:szCs w:val="28"/>
        </w:rPr>
        <w:t>й</w:t>
      </w:r>
      <w:r w:rsidR="00B811A0" w:rsidRPr="00786911">
        <w:rPr>
          <w:szCs w:val="28"/>
        </w:rPr>
        <w:t xml:space="preserve"> (предложени</w:t>
      </w:r>
      <w:r w:rsidR="00D85E82" w:rsidRPr="00786911">
        <w:rPr>
          <w:szCs w:val="28"/>
        </w:rPr>
        <w:t>й</w:t>
      </w:r>
      <w:r w:rsidR="00B811A0" w:rsidRPr="00786911">
        <w:rPr>
          <w:szCs w:val="28"/>
        </w:rPr>
        <w:t xml:space="preserve">), </w:t>
      </w:r>
      <w:r w:rsidR="00D85E82" w:rsidRPr="00786911">
        <w:rPr>
          <w:szCs w:val="28"/>
        </w:rPr>
        <w:t xml:space="preserve">из которых </w:t>
      </w:r>
      <w:r w:rsidR="00786911" w:rsidRPr="00786911">
        <w:rPr>
          <w:szCs w:val="28"/>
        </w:rPr>
        <w:t>4</w:t>
      </w:r>
      <w:r w:rsidR="00B811A0" w:rsidRPr="00786911">
        <w:rPr>
          <w:szCs w:val="28"/>
        </w:rPr>
        <w:t xml:space="preserve"> приняты, </w:t>
      </w:r>
      <w:r w:rsidR="00786911" w:rsidRPr="00786911">
        <w:rPr>
          <w:szCs w:val="28"/>
        </w:rPr>
        <w:t>1</w:t>
      </w:r>
      <w:r w:rsidR="00B811A0" w:rsidRPr="00786911">
        <w:rPr>
          <w:szCs w:val="28"/>
        </w:rPr>
        <w:t xml:space="preserve"> отклонен</w:t>
      </w:r>
      <w:r w:rsidR="00786911" w:rsidRPr="00786911">
        <w:rPr>
          <w:szCs w:val="28"/>
        </w:rPr>
        <w:t>о</w:t>
      </w:r>
      <w:r w:rsidR="00B811A0" w:rsidRPr="00786911">
        <w:rPr>
          <w:szCs w:val="28"/>
        </w:rPr>
        <w:t xml:space="preserve"> </w:t>
      </w:r>
      <w:r w:rsidR="00896935" w:rsidRPr="00786911">
        <w:rPr>
          <w:szCs w:val="28"/>
        </w:rPr>
        <w:t xml:space="preserve">                              </w:t>
      </w:r>
      <w:r w:rsidR="00B811A0" w:rsidRPr="00786911">
        <w:rPr>
          <w:szCs w:val="28"/>
        </w:rPr>
        <w:t>по обоснованным причинам</w:t>
      </w:r>
      <w:r w:rsidR="00D85E82" w:rsidRPr="00786911">
        <w:rPr>
          <w:szCs w:val="28"/>
        </w:rPr>
        <w:t>.</w:t>
      </w:r>
    </w:p>
    <w:p w14:paraId="5B4C7986" w14:textId="77777777" w:rsidR="002641E1" w:rsidRDefault="002641E1" w:rsidP="002641E1">
      <w:pPr>
        <w:ind w:firstLine="720"/>
        <w:jc w:val="both"/>
        <w:rPr>
          <w:color w:val="FF0000"/>
          <w:szCs w:val="28"/>
        </w:rPr>
      </w:pPr>
    </w:p>
    <w:p w14:paraId="1FDEF62E" w14:textId="77777777" w:rsidR="002641E1" w:rsidRDefault="002641E1" w:rsidP="002641E1">
      <w:pPr>
        <w:ind w:firstLine="720"/>
        <w:jc w:val="both"/>
        <w:rPr>
          <w:rFonts w:cs="Times New Roman"/>
          <w:szCs w:val="28"/>
        </w:rPr>
      </w:pPr>
      <w:r>
        <w:rPr>
          <w:rFonts w:cs="Times New Roman"/>
          <w:szCs w:val="28"/>
        </w:rPr>
        <w:t>Результаты публичных консультаций и позиция разработчика отражены                в таблице результатов публичных консультаций.</w:t>
      </w:r>
    </w:p>
    <w:p w14:paraId="4796F6C9" w14:textId="77777777" w:rsidR="002641E1" w:rsidRDefault="002641E1" w:rsidP="002641E1">
      <w:pPr>
        <w:ind w:firstLine="720"/>
        <w:jc w:val="both"/>
        <w:rPr>
          <w:color w:val="FF0000"/>
          <w:szCs w:val="28"/>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3403"/>
        <w:gridCol w:w="3686"/>
        <w:gridCol w:w="1984"/>
      </w:tblGrid>
      <w:tr w:rsidR="00786911" w:rsidRPr="00216969" w14:paraId="6DB8FE6D" w14:textId="77777777" w:rsidTr="00786911">
        <w:tc>
          <w:tcPr>
            <w:tcW w:w="1842" w:type="dxa"/>
            <w:shd w:val="clear" w:color="auto" w:fill="auto"/>
          </w:tcPr>
          <w:p w14:paraId="3E979D8D"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t xml:space="preserve">Наименование участника </w:t>
            </w:r>
          </w:p>
          <w:p w14:paraId="5983F839"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t xml:space="preserve">публичных </w:t>
            </w:r>
          </w:p>
          <w:p w14:paraId="36D67FEB"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t>консультаций</w:t>
            </w:r>
          </w:p>
        </w:tc>
        <w:tc>
          <w:tcPr>
            <w:tcW w:w="3403" w:type="dxa"/>
            <w:shd w:val="clear" w:color="auto" w:fill="auto"/>
          </w:tcPr>
          <w:p w14:paraId="5DF632B6"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 xml:space="preserve">Содержание </w:t>
            </w:r>
          </w:p>
          <w:p w14:paraId="49044FE0"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замечания и (или) предложения</w:t>
            </w:r>
          </w:p>
        </w:tc>
        <w:tc>
          <w:tcPr>
            <w:tcW w:w="3686" w:type="dxa"/>
            <w:shd w:val="clear" w:color="auto" w:fill="auto"/>
          </w:tcPr>
          <w:p w14:paraId="45792376"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 xml:space="preserve">Позиция разработчика об учете (принятии) или отклонении замечания </w:t>
            </w:r>
            <w:r w:rsidRPr="00C17171">
              <w:rPr>
                <w:rFonts w:eastAsia="Times New Roman" w:cs="Times New Roman"/>
                <w:spacing w:val="-4"/>
                <w:sz w:val="24"/>
                <w:szCs w:val="24"/>
                <w:lang w:eastAsia="ru-RU"/>
              </w:rPr>
              <w:t>и (или) предложения,</w:t>
            </w:r>
            <w:r w:rsidRPr="00C17171">
              <w:rPr>
                <w:rFonts w:eastAsia="Times New Roman" w:cs="Times New Roman"/>
                <w:sz w:val="24"/>
                <w:szCs w:val="24"/>
                <w:lang w:eastAsia="ru-RU"/>
              </w:rPr>
              <w:t xml:space="preserve"> полученного от участника публичных консультаций </w:t>
            </w:r>
          </w:p>
          <w:p w14:paraId="53522C99"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(с обоснованием позиции)</w:t>
            </w:r>
          </w:p>
        </w:tc>
        <w:tc>
          <w:tcPr>
            <w:tcW w:w="1984" w:type="dxa"/>
            <w:shd w:val="clear" w:color="auto" w:fill="auto"/>
          </w:tcPr>
          <w:p w14:paraId="1285D568"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 xml:space="preserve">Принятое решение об учете (принятии) или отклонении замечания и (или) предложения </w:t>
            </w:r>
          </w:p>
          <w:p w14:paraId="3358B8DE" w14:textId="77777777" w:rsidR="00786911" w:rsidRPr="00C17171" w:rsidRDefault="00786911" w:rsidP="00FB4BB3">
            <w:pPr>
              <w:jc w:val="center"/>
              <w:rPr>
                <w:rFonts w:eastAsia="Times New Roman" w:cs="Times New Roman"/>
                <w:sz w:val="24"/>
                <w:szCs w:val="24"/>
                <w:lang w:eastAsia="ru-RU"/>
              </w:rPr>
            </w:pPr>
            <w:r w:rsidRPr="00C17171">
              <w:rPr>
                <w:rFonts w:eastAsia="Times New Roman" w:cs="Times New Roman"/>
                <w:sz w:val="24"/>
                <w:szCs w:val="24"/>
                <w:lang w:eastAsia="ru-RU"/>
              </w:rPr>
              <w:t>(по результатам урегулирования разногласий с участниками публичных консультаций)</w:t>
            </w:r>
          </w:p>
        </w:tc>
      </w:tr>
      <w:tr w:rsidR="00786911" w:rsidRPr="00216969" w14:paraId="10663691" w14:textId="77777777" w:rsidTr="00786911">
        <w:tc>
          <w:tcPr>
            <w:tcW w:w="1842" w:type="dxa"/>
            <w:vMerge w:val="restart"/>
            <w:shd w:val="clear" w:color="auto" w:fill="auto"/>
          </w:tcPr>
          <w:p w14:paraId="6D059D5F" w14:textId="77777777" w:rsidR="00786911" w:rsidRPr="00345D66" w:rsidRDefault="00786911" w:rsidP="00FB4BB3">
            <w:pPr>
              <w:jc w:val="center"/>
              <w:rPr>
                <w:rFonts w:cs="Times New Roman"/>
                <w:sz w:val="24"/>
                <w:szCs w:val="24"/>
              </w:rPr>
            </w:pPr>
            <w:r w:rsidRPr="00345D66">
              <w:rPr>
                <w:rFonts w:cs="Times New Roman"/>
                <w:sz w:val="24"/>
                <w:szCs w:val="24"/>
              </w:rPr>
              <w:t>Союз Сургутская торгово-промышленная палата</w:t>
            </w:r>
          </w:p>
        </w:tc>
        <w:tc>
          <w:tcPr>
            <w:tcW w:w="3403" w:type="dxa"/>
            <w:shd w:val="clear" w:color="auto" w:fill="auto"/>
          </w:tcPr>
          <w:p w14:paraId="0B73366F"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1) Проектом постановления Администрации города Сургута «О внесении изменений в постановление Администрации города от 09.11.2017 № 9589 «О размещении нестационарных торговых объектов на территории города Сургута» конкретизирован порядок направления и вручения уведомления о расторжении договора на размещение нестационарного торгового </w:t>
            </w:r>
            <w:r w:rsidRPr="00786911">
              <w:rPr>
                <w:rFonts w:eastAsia="Times New Roman" w:cs="Times New Roman"/>
                <w:sz w:val="24"/>
                <w:szCs w:val="24"/>
                <w:lang w:eastAsia="ru-RU"/>
              </w:rPr>
              <w:lastRenderedPageBreak/>
              <w:t>объекта (далее – уведомление), а также определен момент получения уведомления адресатом при направлении письма почтовой связью: «В случае направления уведомления о расторжении договора на размещение по почте заказным письмом, уведомление считается полученным по истечении одного месяца со дня отправки заказного письма».</w:t>
            </w:r>
          </w:p>
          <w:p w14:paraId="5DFBE99C"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Согласно части 1 статьи 165.1 Гражданского кодекса Российской Федерации (далее –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Норма части 1 статьи 165.1 ГК РФ является диспозитивной согласно части 2 статьи 165.1 ГК РФ, следовательно, стороны вправе предусмотреть иной момент, с которого уведомление будет считаться доставленным.</w:t>
            </w:r>
          </w:p>
          <w:p w14:paraId="243DE2BC"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Считаем, что определение момента получения уведомления истечением одного месяца со дня отправки заказного письма может привести к нарушению прав и законных интересов субъектов предпринимательской деятельности, заключивших договор на размещение нестационарных торговых объектов, поскольку отправка заказного письма не является гарантией его получения адресатом. После отправки соответствующего уведомления почтой России не </w:t>
            </w:r>
            <w:r w:rsidRPr="00786911">
              <w:rPr>
                <w:rFonts w:eastAsia="Times New Roman" w:cs="Times New Roman"/>
                <w:sz w:val="24"/>
                <w:szCs w:val="24"/>
                <w:lang w:eastAsia="ru-RU"/>
              </w:rPr>
              <w:lastRenderedPageBreak/>
              <w:t>исключается тот факт, что впоследствии оно может быть утеряно не по вине адресата и собственник нестационарного торгового объекта не будет проинформирован о расторжении договора в одностороннем порядке.</w:t>
            </w:r>
          </w:p>
          <w:p w14:paraId="753010B3"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 целях соблюдения законных интересов предпринимателей предлагаем включить в текст проекта следующую формулировку: «В случае направления уведомления о расторжении договора на размещение по почте заказным письмом, уведомление считается доставленным:</w:t>
            </w:r>
          </w:p>
          <w:p w14:paraId="4FFD8B07"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в момент его вручения под подпись хозяйствующему субъекту (его уполномоченному представителю);</w:t>
            </w:r>
          </w:p>
          <w:p w14:paraId="4CCB69E1"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при отказе адресата (его уполномоченного представителя) от его получения;</w:t>
            </w:r>
          </w:p>
          <w:p w14:paraId="32A9AA84"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по истечении установленного срока хранения при невозможности его вручения адресату (его уполномоченному представителю)».</w:t>
            </w:r>
          </w:p>
        </w:tc>
        <w:tc>
          <w:tcPr>
            <w:tcW w:w="3686" w:type="dxa"/>
            <w:shd w:val="clear" w:color="auto" w:fill="auto"/>
          </w:tcPr>
          <w:p w14:paraId="31FF5243" w14:textId="77777777" w:rsidR="00786911" w:rsidRPr="00786911" w:rsidRDefault="00786911" w:rsidP="00FB4BB3">
            <w:pPr>
              <w:jc w:val="both"/>
              <w:rPr>
                <w:rFonts w:eastAsia="Times New Roman" w:cs="Times New Roman"/>
                <w:sz w:val="24"/>
                <w:szCs w:val="24"/>
                <w:u w:val="single"/>
                <w:lang w:eastAsia="ru-RU"/>
              </w:rPr>
            </w:pPr>
            <w:r w:rsidRPr="00786911">
              <w:rPr>
                <w:rFonts w:eastAsia="Times New Roman" w:cs="Times New Roman"/>
                <w:sz w:val="24"/>
                <w:szCs w:val="24"/>
                <w:u w:val="single"/>
                <w:lang w:eastAsia="ru-RU"/>
              </w:rPr>
              <w:lastRenderedPageBreak/>
              <w:t>Принять.</w:t>
            </w:r>
          </w:p>
          <w:p w14:paraId="2B0392AF"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Пункт 1.2.5 проекта изложить в следующей редакции:</w:t>
            </w:r>
          </w:p>
          <w:p w14:paraId="431EFBD8"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«1.2.5. Пункт 19.3 раздела III изложить в следующей редакции:</w:t>
            </w:r>
          </w:p>
          <w:p w14:paraId="16B0771F"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«19.3. В случае досрочного расторжения договора на размещение уполномоченный орган вручает хозяйствующему субъекту уведомление о досрочном расторжении договора на размещение нестационарного торгового объекта.</w:t>
            </w:r>
          </w:p>
          <w:p w14:paraId="0AD69816"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lastRenderedPageBreak/>
              <w:t>Уведомление о расторжении договора на размещение вручается хозяйствующему субъекту лично или направляется по почте заказным письмом с уведомлением о вручении по адресу,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14:paraId="659543D4"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Договор прекращается по истечении 10 рабочих дней с момента получения хозяйствующим субъектом уведомления.</w:t>
            </w:r>
          </w:p>
          <w:p w14:paraId="2A5812EE"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 случае направления уведомления о расторжении договора на размещение по почте заказным письмом, уведомление считается доставленным:</w:t>
            </w:r>
          </w:p>
          <w:p w14:paraId="0FDAF20E"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в момент его вручения под подпись хозяйствующему субъекту (его уполномоченному представителю);</w:t>
            </w:r>
          </w:p>
          <w:p w14:paraId="5D84C266"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при отказе адресата (его уполномоченного представителя) от его получения;</w:t>
            </w:r>
          </w:p>
          <w:p w14:paraId="4922AF8D"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по истечении установленного срока хранения при невозможности его вручения адресату (его уполномоченному представителю)».</w:t>
            </w:r>
          </w:p>
          <w:p w14:paraId="52B58EA9" w14:textId="77777777" w:rsidR="00786911" w:rsidRPr="00786911" w:rsidRDefault="00786911" w:rsidP="00FB4BB3">
            <w:pPr>
              <w:jc w:val="both"/>
              <w:rPr>
                <w:rFonts w:eastAsia="Times New Roman" w:cs="Times New Roman"/>
                <w:sz w:val="24"/>
                <w:szCs w:val="24"/>
                <w:lang w:eastAsia="ru-RU"/>
              </w:rPr>
            </w:pPr>
          </w:p>
        </w:tc>
        <w:tc>
          <w:tcPr>
            <w:tcW w:w="1984" w:type="dxa"/>
            <w:shd w:val="clear" w:color="auto" w:fill="auto"/>
          </w:tcPr>
          <w:p w14:paraId="1A2ECC74"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lastRenderedPageBreak/>
              <w:t>-</w:t>
            </w:r>
          </w:p>
        </w:tc>
      </w:tr>
      <w:tr w:rsidR="00786911" w:rsidRPr="00216969" w14:paraId="1AB3910D" w14:textId="77777777" w:rsidTr="00786911">
        <w:tc>
          <w:tcPr>
            <w:tcW w:w="1842" w:type="dxa"/>
            <w:vMerge/>
            <w:shd w:val="clear" w:color="auto" w:fill="auto"/>
          </w:tcPr>
          <w:p w14:paraId="3C480389" w14:textId="77777777" w:rsidR="00786911" w:rsidRPr="00345D66" w:rsidRDefault="00786911" w:rsidP="00FB4BB3">
            <w:pPr>
              <w:jc w:val="center"/>
              <w:rPr>
                <w:rFonts w:cs="Times New Roman"/>
                <w:sz w:val="24"/>
                <w:szCs w:val="24"/>
              </w:rPr>
            </w:pPr>
          </w:p>
        </w:tc>
        <w:tc>
          <w:tcPr>
            <w:tcW w:w="3403" w:type="dxa"/>
            <w:shd w:val="clear" w:color="auto" w:fill="auto"/>
          </w:tcPr>
          <w:p w14:paraId="31BC74B7"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2) Действующей редакцией постановления Администрации города Сургута от 09.11.2017 № 9589 «О размещении нестационарных торговых объектов на территории города Сургута» предусмотрено, что в случае внесения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направляет уведомление в письменной форме </w:t>
            </w:r>
            <w:r w:rsidRPr="00786911">
              <w:rPr>
                <w:rFonts w:eastAsia="Times New Roman" w:cs="Times New Roman"/>
                <w:sz w:val="24"/>
                <w:szCs w:val="24"/>
                <w:lang w:eastAsia="ru-RU"/>
              </w:rPr>
              <w:lastRenderedPageBreak/>
              <w:t>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по согласованию с хозяйствующим субъектом (п. 16 приложение № 5 к Положению о размещении нестационарных торговых объектов на территории города Сургута).</w:t>
            </w:r>
          </w:p>
          <w:p w14:paraId="25D65112"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договор аренды, договор на размещение расторгается в одностороннем порядке (п. 18 приложение № 5 к Положению о размещении нестационарных торговых объектов на территории города Сургута - действующая редакция).</w:t>
            </w:r>
          </w:p>
          <w:p w14:paraId="29F0E90C"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Проектом нормативного правового акта предусмотрено внесение изменений в пункт 18 приложения № 5 «Порядок заключения договоров на размещение нестационарных торговых объектов без проведения аукционов», однако оно направлено на устранение технических ошибок и не вносит каких-либо существенных изменений в указанный пункт.</w:t>
            </w:r>
          </w:p>
          <w:p w14:paraId="1A292C1B"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Считаем, что положение проекта, а также действующая редакция постановления Администрации о том, </w:t>
            </w:r>
            <w:r w:rsidRPr="00786911">
              <w:rPr>
                <w:rFonts w:eastAsia="Times New Roman" w:cs="Times New Roman"/>
                <w:sz w:val="24"/>
                <w:szCs w:val="24"/>
                <w:u w:val="single"/>
                <w:lang w:eastAsia="ru-RU"/>
              </w:rPr>
              <w:t xml:space="preserve">что неполучение хозяйствующим субъектом вышеуказанного уведомления уполномоченного органа </w:t>
            </w:r>
            <w:r w:rsidRPr="00786911">
              <w:rPr>
                <w:rFonts w:eastAsia="Times New Roman" w:cs="Times New Roman"/>
                <w:sz w:val="24"/>
                <w:szCs w:val="24"/>
                <w:u w:val="single"/>
                <w:lang w:eastAsia="ru-RU"/>
              </w:rPr>
              <w:lastRenderedPageBreak/>
              <w:t>является основанием для расторжения в одностороннем порядке договора аренды, договора на размещение нестационарного торгового</w:t>
            </w:r>
            <w:r w:rsidRPr="00786911">
              <w:rPr>
                <w:rFonts w:eastAsia="Times New Roman" w:cs="Times New Roman"/>
                <w:sz w:val="24"/>
                <w:szCs w:val="24"/>
                <w:lang w:eastAsia="ru-RU"/>
              </w:rPr>
              <w:t xml:space="preserve"> объекта нарушает права и законные интересы субъектов предпринимательской деятельности, поскольку соответствующее уведомление может быть не получено хозяйствующим субъектом не по его вине. </w:t>
            </w:r>
            <w:r w:rsidRPr="00786911">
              <w:rPr>
                <w:rFonts w:eastAsia="Times New Roman" w:cs="Times New Roman"/>
                <w:sz w:val="24"/>
                <w:szCs w:val="24"/>
                <w:u w:val="single"/>
                <w:lang w:eastAsia="ru-RU"/>
              </w:rPr>
              <w:t>С учетом изложенного предлагаем исключить указанное положение из текста проекта</w:t>
            </w:r>
            <w:r w:rsidRPr="00786911">
              <w:rPr>
                <w:rFonts w:eastAsia="Times New Roman" w:cs="Times New Roman"/>
                <w:sz w:val="24"/>
                <w:szCs w:val="24"/>
                <w:lang w:eastAsia="ru-RU"/>
              </w:rPr>
              <w:t>.</w:t>
            </w:r>
          </w:p>
        </w:tc>
        <w:tc>
          <w:tcPr>
            <w:tcW w:w="3686" w:type="dxa"/>
            <w:shd w:val="clear" w:color="auto" w:fill="auto"/>
          </w:tcPr>
          <w:p w14:paraId="388DCADF"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u w:val="single"/>
                <w:lang w:eastAsia="ru-RU"/>
              </w:rPr>
              <w:lastRenderedPageBreak/>
              <w:t>Принять</w:t>
            </w:r>
            <w:r w:rsidRPr="00786911">
              <w:rPr>
                <w:rFonts w:eastAsia="Times New Roman" w:cs="Times New Roman"/>
                <w:sz w:val="24"/>
                <w:szCs w:val="24"/>
                <w:lang w:eastAsia="ru-RU"/>
              </w:rPr>
              <w:t>.</w:t>
            </w:r>
          </w:p>
          <w:p w14:paraId="32AC964B"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Внести изменения в пункт 18 приложения 5 к Положению о размещении нестационарных торговых объектов на территории города Сургута, изложив в следующей редакции:</w:t>
            </w:r>
          </w:p>
          <w:p w14:paraId="220E8773"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«18. В случае отказа хозяйствующего субъекта от всех предложенных уполномоченным органом альтернативных вариантов мест размещения нестационарного торгового объекта, договор аренды муниципального имущества, договор на размещение расторгается в одностороннем порядке. В течение 30-и календарных дней после расторжения договора аренды </w:t>
            </w:r>
            <w:r w:rsidRPr="00786911">
              <w:rPr>
                <w:rFonts w:eastAsia="Times New Roman" w:cs="Times New Roman"/>
                <w:sz w:val="24"/>
                <w:szCs w:val="24"/>
                <w:lang w:eastAsia="ru-RU"/>
              </w:rPr>
              <w:lastRenderedPageBreak/>
              <w:t>муниципального имущества, договора на размещение хозяйствующий субъект обязан за свой счет освободить место, исключенное из схемы размещения.</w:t>
            </w:r>
          </w:p>
        </w:tc>
        <w:tc>
          <w:tcPr>
            <w:tcW w:w="1984" w:type="dxa"/>
            <w:shd w:val="clear" w:color="auto" w:fill="auto"/>
          </w:tcPr>
          <w:p w14:paraId="226F1634" w14:textId="77777777" w:rsidR="00786911" w:rsidRPr="00097EC7" w:rsidRDefault="00786911" w:rsidP="00FB4BB3">
            <w:pPr>
              <w:jc w:val="center"/>
              <w:rPr>
                <w:rFonts w:eastAsia="Times New Roman" w:cs="Times New Roman"/>
                <w:sz w:val="24"/>
                <w:szCs w:val="24"/>
                <w:lang w:eastAsia="ru-RU"/>
              </w:rPr>
            </w:pPr>
            <w:r w:rsidRPr="00786911">
              <w:rPr>
                <w:rFonts w:cs="Times New Roman"/>
                <w:sz w:val="24"/>
                <w:szCs w:val="24"/>
              </w:rPr>
              <w:lastRenderedPageBreak/>
              <w:t>-</w:t>
            </w:r>
          </w:p>
        </w:tc>
      </w:tr>
      <w:tr w:rsidR="00786911" w:rsidRPr="00216969" w14:paraId="32F7F96B" w14:textId="77777777" w:rsidTr="00786911">
        <w:tc>
          <w:tcPr>
            <w:tcW w:w="1842" w:type="dxa"/>
            <w:vMerge/>
            <w:shd w:val="clear" w:color="auto" w:fill="auto"/>
          </w:tcPr>
          <w:p w14:paraId="75D05020" w14:textId="77777777" w:rsidR="00786911" w:rsidRPr="00345D66" w:rsidRDefault="00786911" w:rsidP="00FB4BB3">
            <w:pPr>
              <w:jc w:val="center"/>
              <w:rPr>
                <w:rFonts w:cs="Times New Roman"/>
                <w:sz w:val="24"/>
                <w:szCs w:val="24"/>
              </w:rPr>
            </w:pPr>
          </w:p>
        </w:tc>
        <w:tc>
          <w:tcPr>
            <w:tcW w:w="3403" w:type="dxa"/>
            <w:shd w:val="clear" w:color="auto" w:fill="auto"/>
          </w:tcPr>
          <w:p w14:paraId="539EC280"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3) В соответствии с письмом Министерства промышленности и торговли Российской Федерации от 27.01.2014 № ЕВ-820/08 Минпромторг России считает целесообразным не допускать при формировании и изменении схем размещения нестационарных торговых объектов сокращения количества законно функционирующих объектов. При необходимости использования мест размещения объектов для государственных или муниципальных нужд предусматривать, исходя из принципа «меняется место - сохраняется бизнес», предоставление хозяйствующим субъектам в установленном порядке равноценных компенсационных мест и не допускать сокращения или прекращения торгового бизнеса.</w:t>
            </w:r>
          </w:p>
          <w:p w14:paraId="0C98917A" w14:textId="77777777" w:rsidR="00786911" w:rsidRPr="00786911" w:rsidRDefault="00786911" w:rsidP="00FB4BB3">
            <w:pPr>
              <w:jc w:val="both"/>
              <w:rPr>
                <w:rFonts w:eastAsia="Times New Roman" w:cs="Times New Roman"/>
                <w:sz w:val="24"/>
                <w:szCs w:val="24"/>
                <w:u w:val="single"/>
                <w:lang w:eastAsia="ru-RU"/>
              </w:rPr>
            </w:pPr>
            <w:r w:rsidRPr="00786911">
              <w:rPr>
                <w:rFonts w:eastAsia="Times New Roman" w:cs="Times New Roman"/>
                <w:sz w:val="24"/>
                <w:szCs w:val="24"/>
                <w:lang w:eastAsia="ru-RU"/>
              </w:rPr>
              <w:t xml:space="preserve">Кроме этого, и в действующей редакции постановления Администрации города Сургута и в проекте нормативного правового акта отсутствует срок направления уполномоченным органом уведомления о невозможности </w:t>
            </w:r>
            <w:r w:rsidRPr="00786911">
              <w:rPr>
                <w:rFonts w:eastAsia="Times New Roman" w:cs="Times New Roman"/>
                <w:sz w:val="24"/>
                <w:szCs w:val="24"/>
                <w:lang w:eastAsia="ru-RU"/>
              </w:rPr>
              <w:lastRenderedPageBreak/>
              <w:t>дальнейшего размещения нестационарных торгового объекта, что в конечном итоге может привести к негативным последствиям для хозяйствующего субъекта. В связи с чем, предлагаем указать соответствующий срок - 5 рабочих дней</w:t>
            </w:r>
            <w:r w:rsidRPr="00786911">
              <w:rPr>
                <w:rFonts w:eastAsia="Times New Roman" w:cs="Times New Roman"/>
                <w:sz w:val="24"/>
                <w:szCs w:val="24"/>
                <w:u w:val="single"/>
                <w:lang w:eastAsia="ru-RU"/>
              </w:rPr>
              <w:t>.</w:t>
            </w:r>
          </w:p>
          <w:p w14:paraId="5411BB27"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С учетом изложенного, а также в целях соблюдения законных интересов субъектов предпринимательской деятельности, заключивших договор на размещение нестационарных торговых объектов, предлагаем внести изменение:</w:t>
            </w:r>
          </w:p>
          <w:p w14:paraId="4745AC19" w14:textId="77777777" w:rsidR="00786911" w:rsidRPr="00786911" w:rsidRDefault="00786911" w:rsidP="00FB4BB3">
            <w:pPr>
              <w:jc w:val="both"/>
              <w:rPr>
                <w:rFonts w:eastAsia="Times New Roman" w:cs="Times New Roman"/>
                <w:sz w:val="24"/>
                <w:szCs w:val="24"/>
                <w:u w:val="single"/>
                <w:lang w:eastAsia="ru-RU"/>
              </w:rPr>
            </w:pPr>
            <w:r w:rsidRPr="00786911">
              <w:rPr>
                <w:rFonts w:eastAsia="Times New Roman" w:cs="Times New Roman"/>
                <w:sz w:val="24"/>
                <w:szCs w:val="24"/>
                <w:u w:val="single"/>
                <w:lang w:eastAsia="ru-RU"/>
              </w:rPr>
              <w:t xml:space="preserve">- в пункт 16 приложения № 5, изложив его в следующей редакции: «В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в течение 5 рабочих дней после издания постановления администрации о внесении изменений в схему размещения 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альтернативные варианты (не менее 2 (двух) вариантов) размещения равноценных по месту расположения (с учетом специализации нестационарного торгового объекта), трафику </w:t>
            </w:r>
            <w:r w:rsidRPr="00786911">
              <w:rPr>
                <w:rFonts w:eastAsia="Times New Roman" w:cs="Times New Roman"/>
                <w:sz w:val="24"/>
                <w:szCs w:val="24"/>
                <w:u w:val="single"/>
                <w:lang w:eastAsia="ru-RU"/>
              </w:rPr>
              <w:lastRenderedPageBreak/>
              <w:t>проходимости, плате за размещение и прочим характеристикам, по согласованию с хозяйствующим субъектом».</w:t>
            </w:r>
          </w:p>
          <w:p w14:paraId="56E80842"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в пункт 18 приложения № 5, изложив его в следующей редакции: «В случае отказа хозяйствующего субъекта от всех предложенных уполномоченным органом альтернативных вариантов места размещения нестационарного торгового объекта, договор аренды муниципального имущества, договор на размещение расторгается в одностороннем порядке. В течение 30-и календарных дней после расторжения договора аренды муниципального имущества, договора на размещение хозяйствующий субъект обязан за свой счет освободить место, исключенное из схемы размещения».</w:t>
            </w:r>
          </w:p>
        </w:tc>
        <w:tc>
          <w:tcPr>
            <w:tcW w:w="3686" w:type="dxa"/>
            <w:shd w:val="clear" w:color="auto" w:fill="auto"/>
          </w:tcPr>
          <w:p w14:paraId="1E91A944" w14:textId="77777777" w:rsidR="00786911" w:rsidRPr="00786911" w:rsidRDefault="00786911" w:rsidP="00FB4BB3">
            <w:pPr>
              <w:jc w:val="both"/>
              <w:rPr>
                <w:rFonts w:eastAsia="Times New Roman" w:cs="Times New Roman"/>
                <w:sz w:val="24"/>
                <w:szCs w:val="24"/>
                <w:u w:val="single"/>
                <w:lang w:eastAsia="ru-RU"/>
              </w:rPr>
            </w:pPr>
            <w:r w:rsidRPr="00786911">
              <w:rPr>
                <w:rFonts w:eastAsia="Times New Roman" w:cs="Times New Roman"/>
                <w:sz w:val="24"/>
                <w:szCs w:val="24"/>
                <w:u w:val="single"/>
                <w:lang w:eastAsia="ru-RU"/>
              </w:rPr>
              <w:lastRenderedPageBreak/>
              <w:t>Принять.</w:t>
            </w:r>
          </w:p>
          <w:p w14:paraId="55174EA6"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Внести изменения в пункт 16 приложения 5 к Положению о размещении нестационарных торговых объектов на территории города Сургута, изложив в следующей редакции:</w:t>
            </w:r>
          </w:p>
          <w:p w14:paraId="7A3111F0"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«16. В случае принятия решения о внесении изменений в схему размещения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в течение 5 рабочих дней после издания постановления Администрации города о внесении изменений в схему размещения направляет хозяйствующему субъекту уведомление в письменной форме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альтернативные варианты (не менее двух) размещения нестационарных торговых объектов, равноценных по месту расположения (с учетом специализации нестационарного торгового объекта), трафику проходимости, плате за </w:t>
            </w:r>
            <w:r w:rsidRPr="00786911">
              <w:rPr>
                <w:rFonts w:eastAsia="Times New Roman" w:cs="Times New Roman"/>
                <w:sz w:val="24"/>
                <w:szCs w:val="24"/>
                <w:lang w:eastAsia="ru-RU"/>
              </w:rPr>
              <w:lastRenderedPageBreak/>
              <w:t>размещение и прочим характеристикам, по согласованию с хозяйствующим субъектом».</w:t>
            </w:r>
          </w:p>
          <w:p w14:paraId="478A2A02"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Типовые формы договоров на размещение нестационарного торгового объекта, утвержденные приложениями 4, 5 к постановлению Администрации   города от 09.11.2017 № 9589, предусматривают обязанность уполномоченного органа уведомить хозяйствующего субъекта в течение 5 рабочих дней после издания постановления Администрации города о внесении изменений в схему размещения НТО (пункт 2 раздела </w:t>
            </w:r>
            <w:r w:rsidRPr="00786911">
              <w:rPr>
                <w:rFonts w:eastAsia="Times New Roman" w:cs="Times New Roman"/>
                <w:sz w:val="24"/>
                <w:szCs w:val="24"/>
                <w:lang w:val="en-US" w:eastAsia="ru-RU"/>
              </w:rPr>
              <w:t>II</w:t>
            </w:r>
            <w:r w:rsidRPr="00786911">
              <w:rPr>
                <w:rFonts w:eastAsia="Times New Roman" w:cs="Times New Roman"/>
                <w:sz w:val="24"/>
                <w:szCs w:val="24"/>
                <w:lang w:eastAsia="ru-RU"/>
              </w:rPr>
              <w:t xml:space="preserve"> договора).</w:t>
            </w:r>
          </w:p>
          <w:p w14:paraId="1A7A7874"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Внести изменения в пункт 18 приложения 5 к Положению о размещении нестационарных торговых объектов на территории города Сургута, изложив в следующей редакции:</w:t>
            </w:r>
          </w:p>
          <w:p w14:paraId="676BB8EE"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«18. В случае отказа хозяйствующего субъекта от всех предложенных уполномоченным органом альтернативных вариантов мест размещения нестационарного торгового объекта, договор аренды муниципального имущества, договор на размещение расторгается в одностороннем порядке. В течение 30-и календарных дней после расторжения договора аренды муниципального имущества, договора на размещение хозяйствующий субъект обязан за свой счет освободить место, исключенное из схемы размещения.</w:t>
            </w:r>
          </w:p>
        </w:tc>
        <w:tc>
          <w:tcPr>
            <w:tcW w:w="1984" w:type="dxa"/>
            <w:shd w:val="clear" w:color="auto" w:fill="auto"/>
          </w:tcPr>
          <w:p w14:paraId="2AA2648B" w14:textId="77777777" w:rsidR="00786911" w:rsidRPr="003A5A8B" w:rsidRDefault="00786911" w:rsidP="00FB4BB3">
            <w:pPr>
              <w:jc w:val="center"/>
              <w:rPr>
                <w:rFonts w:eastAsia="Times New Roman" w:cs="Times New Roman"/>
                <w:sz w:val="24"/>
                <w:szCs w:val="24"/>
                <w:lang w:eastAsia="ru-RU"/>
              </w:rPr>
            </w:pPr>
            <w:r w:rsidRPr="003A5A8B">
              <w:rPr>
                <w:rFonts w:eastAsia="Times New Roman" w:cs="Times New Roman"/>
                <w:sz w:val="24"/>
                <w:szCs w:val="24"/>
                <w:lang w:eastAsia="ru-RU"/>
              </w:rPr>
              <w:lastRenderedPageBreak/>
              <w:t>-</w:t>
            </w:r>
          </w:p>
        </w:tc>
      </w:tr>
      <w:tr w:rsidR="00786911" w:rsidRPr="00FB1932" w14:paraId="0183A6E7" w14:textId="77777777" w:rsidTr="00786911">
        <w:tc>
          <w:tcPr>
            <w:tcW w:w="1842" w:type="dxa"/>
            <w:vMerge w:val="restart"/>
            <w:shd w:val="clear" w:color="auto" w:fill="auto"/>
          </w:tcPr>
          <w:p w14:paraId="6E285E4D" w14:textId="77777777" w:rsidR="00786911" w:rsidRPr="00345D66" w:rsidRDefault="00786911" w:rsidP="00FB4BB3">
            <w:pPr>
              <w:jc w:val="center"/>
              <w:rPr>
                <w:rFonts w:cs="Times New Roman"/>
                <w:sz w:val="24"/>
                <w:szCs w:val="24"/>
              </w:rPr>
            </w:pPr>
            <w:r w:rsidRPr="00345D66">
              <w:rPr>
                <w:rFonts w:eastAsia="Times New Roman" w:cs="Times New Roman"/>
                <w:sz w:val="24"/>
                <w:szCs w:val="24"/>
                <w:lang w:eastAsia="ru-RU"/>
              </w:rPr>
              <w:lastRenderedPageBreak/>
              <w:t xml:space="preserve">Уполномоченный по защите прав предпринимателей в Ханты-Мансийском </w:t>
            </w:r>
            <w:r w:rsidRPr="00345D66">
              <w:rPr>
                <w:rFonts w:eastAsia="Times New Roman" w:cs="Times New Roman"/>
                <w:sz w:val="24"/>
                <w:szCs w:val="24"/>
                <w:lang w:eastAsia="ru-RU"/>
              </w:rPr>
              <w:br/>
              <w:t>автономном округе</w:t>
            </w:r>
          </w:p>
        </w:tc>
        <w:tc>
          <w:tcPr>
            <w:tcW w:w="3403" w:type="dxa"/>
            <w:shd w:val="clear" w:color="auto" w:fill="auto"/>
          </w:tcPr>
          <w:p w14:paraId="1DB6A769"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1) </w:t>
            </w:r>
            <w:r w:rsidRPr="00345D66">
              <w:rPr>
                <w:rFonts w:eastAsia="Times New Roman" w:cs="Times New Roman"/>
                <w:sz w:val="24"/>
                <w:szCs w:val="24"/>
                <w:lang w:eastAsia="ru-RU"/>
              </w:rPr>
              <w:t>Подпунктом 1.2.2. пункта 1.2. проекта предлагается установить запрет на размещение нестационарных торговых объектов (далее - НТО) в красных линиях (полосах отвода) автомобильных дорог общего пользования, кроме остановочных павильонов с торговой площадью (автопавильонов). Действующая в настоящее время в качестве исключения из аналогичного запрета предусматривала возможность размещения в красных линиях киосков специализации «Периодическая печать», «Распространение (реализация) лотерейных билетов».</w:t>
            </w:r>
          </w:p>
          <w:p w14:paraId="03412F4E" w14:textId="77777777" w:rsidR="00786911" w:rsidRPr="00345D66" w:rsidRDefault="00786911" w:rsidP="00FB4BB3">
            <w:pPr>
              <w:jc w:val="both"/>
              <w:rPr>
                <w:rFonts w:eastAsia="Times New Roman" w:cs="Times New Roman"/>
                <w:sz w:val="24"/>
                <w:szCs w:val="24"/>
                <w:lang w:eastAsia="ru-RU"/>
              </w:rPr>
            </w:pPr>
            <w:r w:rsidRPr="00345D66">
              <w:rPr>
                <w:rFonts w:eastAsia="Times New Roman" w:cs="Times New Roman"/>
                <w:sz w:val="24"/>
                <w:szCs w:val="24"/>
                <w:lang w:eastAsia="ru-RU"/>
              </w:rPr>
              <w:t xml:space="preserve">Принимая во внимание крайне неблагоприятные последствия для бизнеса вследствие продолжительное время </w:t>
            </w:r>
            <w:r w:rsidRPr="00345D66">
              <w:rPr>
                <w:rFonts w:eastAsia="Times New Roman" w:cs="Times New Roman"/>
                <w:sz w:val="24"/>
                <w:szCs w:val="24"/>
                <w:lang w:eastAsia="ru-RU"/>
              </w:rPr>
              <w:lastRenderedPageBreak/>
              <w:t>действовавших ограничительных мер, предлагаю рассмотреть возможность предоставления права пользователям киосков специализации «Периодическая печать», «Распространение (реализация) лотерейных билетов» их дальнейшей эксплуатации в местах нынешней дислокации до конца текущего года.</w:t>
            </w:r>
          </w:p>
        </w:tc>
        <w:tc>
          <w:tcPr>
            <w:tcW w:w="3686" w:type="dxa"/>
            <w:shd w:val="clear" w:color="auto" w:fill="auto"/>
          </w:tcPr>
          <w:p w14:paraId="76C073BD" w14:textId="77777777" w:rsidR="00786911" w:rsidRDefault="00786911" w:rsidP="00FB4BB3">
            <w:pPr>
              <w:jc w:val="both"/>
              <w:rPr>
                <w:rFonts w:eastAsia="Times New Roman" w:cs="Times New Roman"/>
                <w:sz w:val="24"/>
                <w:szCs w:val="24"/>
                <w:u w:val="single"/>
                <w:lang w:eastAsia="ru-RU"/>
              </w:rPr>
            </w:pPr>
            <w:r>
              <w:rPr>
                <w:rFonts w:eastAsia="Times New Roman" w:cs="Times New Roman"/>
                <w:sz w:val="24"/>
                <w:szCs w:val="24"/>
                <w:u w:val="single"/>
                <w:lang w:eastAsia="ru-RU"/>
              </w:rPr>
              <w:lastRenderedPageBreak/>
              <w:t>Отклонить.</w:t>
            </w:r>
          </w:p>
          <w:p w14:paraId="5025008A" w14:textId="77777777" w:rsidR="00786911"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Для киосков со </w:t>
            </w:r>
            <w:r w:rsidRPr="00345D66">
              <w:rPr>
                <w:rFonts w:eastAsia="Times New Roman" w:cs="Times New Roman"/>
                <w:sz w:val="24"/>
                <w:szCs w:val="24"/>
                <w:lang w:eastAsia="ru-RU"/>
              </w:rPr>
              <w:t>специализаци</w:t>
            </w:r>
            <w:r>
              <w:rPr>
                <w:rFonts w:eastAsia="Times New Roman" w:cs="Times New Roman"/>
                <w:sz w:val="24"/>
                <w:szCs w:val="24"/>
                <w:lang w:eastAsia="ru-RU"/>
              </w:rPr>
              <w:t>ей</w:t>
            </w:r>
            <w:r w:rsidRPr="00345D66">
              <w:rPr>
                <w:rFonts w:eastAsia="Times New Roman" w:cs="Times New Roman"/>
                <w:sz w:val="24"/>
                <w:szCs w:val="24"/>
                <w:lang w:eastAsia="ru-RU"/>
              </w:rPr>
              <w:t xml:space="preserve"> «Периодическая печать», «Распространение (</w:t>
            </w:r>
            <w:r>
              <w:rPr>
                <w:rFonts w:eastAsia="Times New Roman" w:cs="Times New Roman"/>
                <w:sz w:val="24"/>
                <w:szCs w:val="24"/>
                <w:lang w:eastAsia="ru-RU"/>
              </w:rPr>
              <w:t xml:space="preserve">реализация) лотерейных билетов» </w:t>
            </w:r>
            <w:r w:rsidRPr="001F7828">
              <w:rPr>
                <w:rFonts w:eastAsia="Times New Roman" w:cs="Times New Roman"/>
                <w:sz w:val="24"/>
                <w:szCs w:val="24"/>
                <w:lang w:eastAsia="ru-RU"/>
              </w:rPr>
              <w:t xml:space="preserve">возможность размещения </w:t>
            </w:r>
            <w:r>
              <w:rPr>
                <w:rFonts w:eastAsia="Times New Roman" w:cs="Times New Roman"/>
                <w:sz w:val="24"/>
                <w:szCs w:val="24"/>
                <w:lang w:eastAsia="ru-RU"/>
              </w:rPr>
              <w:t>в</w:t>
            </w:r>
            <w:r w:rsidRPr="001F7828">
              <w:rPr>
                <w:rFonts w:eastAsia="Times New Roman" w:cs="Times New Roman"/>
                <w:sz w:val="24"/>
                <w:szCs w:val="24"/>
                <w:lang w:eastAsia="ru-RU"/>
              </w:rPr>
              <w:t xml:space="preserve"> красных линиях (полосах отвода) автомобильных дорог общего пользования</w:t>
            </w:r>
            <w:r>
              <w:rPr>
                <w:rFonts w:eastAsia="Times New Roman" w:cs="Times New Roman"/>
                <w:sz w:val="24"/>
                <w:szCs w:val="24"/>
                <w:lang w:eastAsia="ru-RU"/>
              </w:rPr>
              <w:t xml:space="preserve"> до 31.12.2019 была предусмотрена в качестве исключения с </w:t>
            </w:r>
            <w:r w:rsidRPr="001F7828">
              <w:rPr>
                <w:rFonts w:eastAsia="Times New Roman" w:cs="Times New Roman"/>
                <w:sz w:val="24"/>
                <w:szCs w:val="24"/>
                <w:lang w:eastAsia="ru-RU"/>
              </w:rPr>
              <w:t>учетом переходного периода</w:t>
            </w:r>
            <w:r>
              <w:rPr>
                <w:rFonts w:eastAsia="Times New Roman" w:cs="Times New Roman"/>
                <w:sz w:val="24"/>
                <w:szCs w:val="24"/>
                <w:lang w:eastAsia="ru-RU"/>
              </w:rPr>
              <w:t xml:space="preserve">. Договоры на размещение были заключены сроком до 31.12.2019 по предложению хозяйствующих субъектов. </w:t>
            </w:r>
          </w:p>
          <w:p w14:paraId="369287AC" w14:textId="77777777" w:rsidR="00786911" w:rsidRDefault="00786911" w:rsidP="00FB4BB3">
            <w:pPr>
              <w:jc w:val="both"/>
              <w:rPr>
                <w:rFonts w:eastAsia="Times New Roman" w:cs="Times New Roman"/>
                <w:sz w:val="24"/>
                <w:szCs w:val="24"/>
                <w:lang w:eastAsia="ru-RU"/>
              </w:rPr>
            </w:pPr>
            <w:r>
              <w:rPr>
                <w:rFonts w:eastAsia="Times New Roman" w:cs="Times New Roman"/>
                <w:sz w:val="24"/>
                <w:szCs w:val="24"/>
                <w:lang w:eastAsia="ru-RU"/>
              </w:rPr>
              <w:t>Правовые основания для дальнейшего размещения киосков в границах красных линий отсутствуют.</w:t>
            </w:r>
            <w:r w:rsidRPr="00C17171">
              <w:rPr>
                <w:rFonts w:eastAsia="Times New Roman" w:cs="Times New Roman"/>
                <w:sz w:val="24"/>
                <w:szCs w:val="24"/>
                <w:lang w:eastAsia="ru-RU"/>
              </w:rPr>
              <w:t xml:space="preserve"> В связи с чем, муниципальные земельные участки подлежат освобождению </w:t>
            </w:r>
            <w:r>
              <w:rPr>
                <w:rFonts w:eastAsia="Times New Roman" w:cs="Times New Roman"/>
                <w:sz w:val="24"/>
                <w:szCs w:val="24"/>
                <w:lang w:eastAsia="ru-RU"/>
              </w:rPr>
              <w:t xml:space="preserve">                 </w:t>
            </w:r>
            <w:r w:rsidRPr="00C17171">
              <w:rPr>
                <w:rFonts w:eastAsia="Times New Roman" w:cs="Times New Roman"/>
                <w:sz w:val="24"/>
                <w:szCs w:val="24"/>
                <w:lang w:eastAsia="ru-RU"/>
              </w:rPr>
              <w:t>от размещенных на них объектов.</w:t>
            </w:r>
          </w:p>
          <w:p w14:paraId="2E6BADA6" w14:textId="77777777" w:rsidR="00786911"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По 9 договорам на размещение НТО, прекратившим действие 31.12.2019, места из схемы </w:t>
            </w:r>
            <w:r>
              <w:rPr>
                <w:rFonts w:eastAsia="Times New Roman" w:cs="Times New Roman"/>
                <w:sz w:val="24"/>
                <w:szCs w:val="24"/>
                <w:lang w:eastAsia="ru-RU"/>
              </w:rPr>
              <w:lastRenderedPageBreak/>
              <w:t xml:space="preserve">размещения НТО исключены. Из них 2 объекта перенесены на новые места, с хозяйствующими субъектами заключены договоры на размещение НТО, 3 киоска  демонтированы, по 3 договорам ведутся судебные разбирательства.  </w:t>
            </w:r>
          </w:p>
          <w:p w14:paraId="73F17CD0"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Решениями Арбитражного суда ХМАО-Югры исковые требования А</w:t>
            </w:r>
            <w:r w:rsidRPr="00983907">
              <w:rPr>
                <w:rFonts w:eastAsia="Times New Roman" w:cs="Times New Roman"/>
                <w:sz w:val="24"/>
                <w:szCs w:val="24"/>
                <w:lang w:eastAsia="ru-RU"/>
              </w:rPr>
              <w:t xml:space="preserve">дминистрации города Сургута </w:t>
            </w:r>
            <w:r>
              <w:rPr>
                <w:rFonts w:eastAsia="Times New Roman" w:cs="Times New Roman"/>
                <w:sz w:val="24"/>
                <w:szCs w:val="24"/>
                <w:lang w:eastAsia="ru-RU"/>
              </w:rPr>
              <w:t xml:space="preserve">об обязании </w:t>
            </w:r>
            <w:r w:rsidRPr="00983907">
              <w:rPr>
                <w:rFonts w:eastAsia="Times New Roman" w:cs="Times New Roman"/>
                <w:sz w:val="24"/>
                <w:szCs w:val="24"/>
                <w:lang w:eastAsia="ru-RU"/>
              </w:rPr>
              <w:t>освободить земельны</w:t>
            </w:r>
            <w:r>
              <w:rPr>
                <w:rFonts w:eastAsia="Times New Roman" w:cs="Times New Roman"/>
                <w:sz w:val="24"/>
                <w:szCs w:val="24"/>
                <w:lang w:eastAsia="ru-RU"/>
              </w:rPr>
              <w:t>е</w:t>
            </w:r>
            <w:r w:rsidRPr="00983907">
              <w:rPr>
                <w:rFonts w:eastAsia="Times New Roman" w:cs="Times New Roman"/>
                <w:sz w:val="24"/>
                <w:szCs w:val="24"/>
                <w:lang w:eastAsia="ru-RU"/>
              </w:rPr>
              <w:t xml:space="preserve"> участк</w:t>
            </w:r>
            <w:r>
              <w:rPr>
                <w:rFonts w:eastAsia="Times New Roman" w:cs="Times New Roman"/>
                <w:sz w:val="24"/>
                <w:szCs w:val="24"/>
                <w:lang w:eastAsia="ru-RU"/>
              </w:rPr>
              <w:t>и удовлетворены.</w:t>
            </w:r>
          </w:p>
        </w:tc>
        <w:tc>
          <w:tcPr>
            <w:tcW w:w="1984" w:type="dxa"/>
            <w:shd w:val="clear" w:color="auto" w:fill="auto"/>
          </w:tcPr>
          <w:p w14:paraId="124E2AA8" w14:textId="77777777" w:rsidR="00786911" w:rsidRPr="00FB1932" w:rsidRDefault="00786911" w:rsidP="00FB4BB3">
            <w:pPr>
              <w:jc w:val="both"/>
              <w:rPr>
                <w:rFonts w:cs="Times New Roman"/>
                <w:sz w:val="24"/>
                <w:szCs w:val="24"/>
              </w:rPr>
            </w:pPr>
            <w:r w:rsidRPr="00FB1932">
              <w:rPr>
                <w:rFonts w:cs="Times New Roman"/>
                <w:sz w:val="24"/>
                <w:szCs w:val="24"/>
              </w:rPr>
              <w:lastRenderedPageBreak/>
              <w:t>Отклонить.</w:t>
            </w:r>
          </w:p>
          <w:p w14:paraId="5BC72281" w14:textId="77777777" w:rsidR="00786911" w:rsidRPr="00FB1932" w:rsidRDefault="00786911" w:rsidP="00FB4BB3">
            <w:pPr>
              <w:jc w:val="both"/>
              <w:rPr>
                <w:rFonts w:eastAsia="Times New Roman" w:cs="Times New Roman"/>
                <w:sz w:val="24"/>
                <w:szCs w:val="24"/>
                <w:lang w:eastAsia="ru-RU"/>
              </w:rPr>
            </w:pPr>
            <w:r w:rsidRPr="00FB1932">
              <w:rPr>
                <w:rFonts w:cs="Times New Roman"/>
                <w:sz w:val="24"/>
                <w:szCs w:val="24"/>
              </w:rPr>
              <w:t>Замечание противоречит законодательству (протокол урегулирования разногласий №</w:t>
            </w:r>
            <w:r>
              <w:rPr>
                <w:rFonts w:cs="Times New Roman"/>
                <w:sz w:val="24"/>
                <w:szCs w:val="24"/>
              </w:rPr>
              <w:t xml:space="preserve"> </w:t>
            </w:r>
            <w:r w:rsidRPr="00FB1932">
              <w:rPr>
                <w:rFonts w:cs="Times New Roman"/>
                <w:sz w:val="24"/>
                <w:szCs w:val="24"/>
              </w:rPr>
              <w:t xml:space="preserve">1 от </w:t>
            </w:r>
            <w:r>
              <w:rPr>
                <w:rFonts w:cs="Times New Roman"/>
                <w:sz w:val="24"/>
                <w:szCs w:val="24"/>
              </w:rPr>
              <w:t>26</w:t>
            </w:r>
            <w:r w:rsidRPr="00FB1932">
              <w:rPr>
                <w:rFonts w:cs="Times New Roman"/>
                <w:sz w:val="24"/>
                <w:szCs w:val="24"/>
              </w:rPr>
              <w:t>.0</w:t>
            </w:r>
            <w:r>
              <w:rPr>
                <w:rFonts w:cs="Times New Roman"/>
                <w:sz w:val="24"/>
                <w:szCs w:val="24"/>
              </w:rPr>
              <w:t>7</w:t>
            </w:r>
            <w:r w:rsidRPr="00FB1932">
              <w:rPr>
                <w:rFonts w:cs="Times New Roman"/>
                <w:sz w:val="24"/>
                <w:szCs w:val="24"/>
              </w:rPr>
              <w:t>.2021).</w:t>
            </w:r>
          </w:p>
        </w:tc>
      </w:tr>
      <w:tr w:rsidR="00786911" w:rsidRPr="00216969" w14:paraId="7D278861" w14:textId="77777777" w:rsidTr="00786911">
        <w:tc>
          <w:tcPr>
            <w:tcW w:w="1842" w:type="dxa"/>
            <w:vMerge/>
            <w:shd w:val="clear" w:color="auto" w:fill="auto"/>
          </w:tcPr>
          <w:p w14:paraId="32A69EF2" w14:textId="77777777" w:rsidR="00786911" w:rsidRPr="00345D66" w:rsidRDefault="00786911" w:rsidP="00FB4BB3">
            <w:pPr>
              <w:jc w:val="center"/>
              <w:rPr>
                <w:rFonts w:cs="Times New Roman"/>
                <w:sz w:val="24"/>
                <w:szCs w:val="24"/>
              </w:rPr>
            </w:pPr>
          </w:p>
        </w:tc>
        <w:tc>
          <w:tcPr>
            <w:tcW w:w="3403" w:type="dxa"/>
            <w:shd w:val="clear" w:color="auto" w:fill="auto"/>
          </w:tcPr>
          <w:p w14:paraId="3D2C7824"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2) </w:t>
            </w:r>
            <w:r w:rsidRPr="00345D66">
              <w:rPr>
                <w:rFonts w:eastAsia="Times New Roman" w:cs="Times New Roman"/>
                <w:sz w:val="24"/>
                <w:szCs w:val="24"/>
                <w:lang w:eastAsia="ru-RU"/>
              </w:rPr>
              <w:t>Подпунктом 1.2.3. пункта 1.2. проекта предлагается исключить возможность эксплуатации НТО, площадь которого вследствие каких-либо обстоятельств изменена и не соответствует площади, указанной в схеме размещения НТО. Действующая в настоящее время редакция пункта 18.4 положения учитывает факторы, при которых площадь НТО изменена, в том числе вследствие обстоятельств, независящих от воли пользователя НТО. Предлагаю рассмотреть возможность оставления указанной нормы в действующей редакции.</w:t>
            </w:r>
          </w:p>
        </w:tc>
        <w:tc>
          <w:tcPr>
            <w:tcW w:w="3686" w:type="dxa"/>
            <w:shd w:val="clear" w:color="auto" w:fill="auto"/>
          </w:tcPr>
          <w:p w14:paraId="6E09D454" w14:textId="77777777" w:rsidR="00786911" w:rsidRDefault="00786911" w:rsidP="00FB4BB3">
            <w:pPr>
              <w:jc w:val="both"/>
              <w:rPr>
                <w:rFonts w:eastAsia="Times New Roman" w:cs="Times New Roman"/>
                <w:sz w:val="24"/>
                <w:szCs w:val="24"/>
                <w:u w:val="single"/>
                <w:lang w:eastAsia="ru-RU"/>
              </w:rPr>
            </w:pPr>
            <w:r>
              <w:rPr>
                <w:rFonts w:eastAsia="Times New Roman" w:cs="Times New Roman"/>
                <w:sz w:val="24"/>
                <w:szCs w:val="24"/>
                <w:u w:val="single"/>
                <w:lang w:eastAsia="ru-RU"/>
              </w:rPr>
              <w:t>Отклонить</w:t>
            </w:r>
            <w:r w:rsidRPr="00345D66">
              <w:rPr>
                <w:rFonts w:eastAsia="Times New Roman" w:cs="Times New Roman"/>
                <w:sz w:val="24"/>
                <w:szCs w:val="24"/>
                <w:u w:val="single"/>
                <w:lang w:eastAsia="ru-RU"/>
              </w:rPr>
              <w:t>.</w:t>
            </w:r>
          </w:p>
          <w:p w14:paraId="0A239B8C" w14:textId="77777777" w:rsidR="00786911" w:rsidRDefault="00786911" w:rsidP="00FB4BB3">
            <w:pPr>
              <w:jc w:val="both"/>
              <w:rPr>
                <w:rFonts w:eastAsia="Times New Roman" w:cs="Times New Roman"/>
                <w:sz w:val="24"/>
                <w:szCs w:val="24"/>
                <w:lang w:eastAsia="ru-RU"/>
              </w:rPr>
            </w:pPr>
            <w:r>
              <w:rPr>
                <w:rFonts w:eastAsia="Times New Roman" w:cs="Times New Roman"/>
                <w:sz w:val="24"/>
                <w:szCs w:val="24"/>
                <w:lang w:eastAsia="ru-RU"/>
              </w:rPr>
              <w:t>Данный пункт был предусмотрен на переходный период для приемки в эксплуатацию н</w:t>
            </w:r>
            <w:r w:rsidRPr="00FD7783">
              <w:rPr>
                <w:rFonts w:eastAsia="Times New Roman" w:cs="Times New Roman"/>
                <w:sz w:val="24"/>
                <w:szCs w:val="24"/>
                <w:lang w:eastAsia="ru-RU"/>
              </w:rPr>
              <w:t>естационарны</w:t>
            </w:r>
            <w:r>
              <w:rPr>
                <w:rFonts w:eastAsia="Times New Roman" w:cs="Times New Roman"/>
                <w:sz w:val="24"/>
                <w:szCs w:val="24"/>
                <w:lang w:eastAsia="ru-RU"/>
              </w:rPr>
              <w:t>х</w:t>
            </w:r>
            <w:r w:rsidRPr="00FD7783">
              <w:rPr>
                <w:rFonts w:eastAsia="Times New Roman" w:cs="Times New Roman"/>
                <w:sz w:val="24"/>
                <w:szCs w:val="24"/>
                <w:lang w:eastAsia="ru-RU"/>
              </w:rPr>
              <w:t xml:space="preserve"> торговы</w:t>
            </w:r>
            <w:r>
              <w:rPr>
                <w:rFonts w:eastAsia="Times New Roman" w:cs="Times New Roman"/>
                <w:sz w:val="24"/>
                <w:szCs w:val="24"/>
                <w:lang w:eastAsia="ru-RU"/>
              </w:rPr>
              <w:t>х</w:t>
            </w:r>
            <w:r w:rsidRPr="00FD7783">
              <w:rPr>
                <w:rFonts w:eastAsia="Times New Roman" w:cs="Times New Roman"/>
                <w:sz w:val="24"/>
                <w:szCs w:val="24"/>
                <w:lang w:eastAsia="ru-RU"/>
              </w:rPr>
              <w:t xml:space="preserve"> объект</w:t>
            </w:r>
            <w:r>
              <w:rPr>
                <w:rFonts w:eastAsia="Times New Roman" w:cs="Times New Roman"/>
                <w:sz w:val="24"/>
                <w:szCs w:val="24"/>
                <w:lang w:eastAsia="ru-RU"/>
              </w:rPr>
              <w:t>ов,</w:t>
            </w:r>
            <w:r w:rsidRPr="00FD7783">
              <w:rPr>
                <w:rFonts w:eastAsia="Times New Roman" w:cs="Times New Roman"/>
                <w:sz w:val="24"/>
                <w:szCs w:val="24"/>
                <w:lang w:eastAsia="ru-RU"/>
              </w:rPr>
              <w:t xml:space="preserve"> с которыми заключены договоры на раз</w:t>
            </w:r>
            <w:r>
              <w:rPr>
                <w:rFonts w:eastAsia="Times New Roman" w:cs="Times New Roman"/>
                <w:sz w:val="24"/>
                <w:szCs w:val="24"/>
                <w:lang w:eastAsia="ru-RU"/>
              </w:rPr>
              <w:t>мещение без проведения аукциона, с возможностью увеличения п</w:t>
            </w:r>
            <w:r w:rsidRPr="00215B17">
              <w:rPr>
                <w:rFonts w:eastAsia="Times New Roman" w:cs="Times New Roman"/>
                <w:sz w:val="24"/>
                <w:szCs w:val="24"/>
                <w:lang w:eastAsia="ru-RU"/>
              </w:rPr>
              <w:t>лощад</w:t>
            </w:r>
            <w:r>
              <w:rPr>
                <w:rFonts w:eastAsia="Times New Roman" w:cs="Times New Roman"/>
                <w:sz w:val="24"/>
                <w:szCs w:val="24"/>
                <w:lang w:eastAsia="ru-RU"/>
              </w:rPr>
              <w:t>и</w:t>
            </w:r>
            <w:r w:rsidRPr="00215B17">
              <w:rPr>
                <w:rFonts w:eastAsia="Times New Roman" w:cs="Times New Roman"/>
                <w:sz w:val="24"/>
                <w:szCs w:val="24"/>
                <w:lang w:eastAsia="ru-RU"/>
              </w:rPr>
              <w:t xml:space="preserve"> нестационарного торгового объекта</w:t>
            </w:r>
            <w:r>
              <w:rPr>
                <w:rFonts w:eastAsia="Times New Roman" w:cs="Times New Roman"/>
                <w:sz w:val="24"/>
                <w:szCs w:val="24"/>
                <w:lang w:eastAsia="ru-RU"/>
              </w:rPr>
              <w:t xml:space="preserve"> в пределах площади отведенного земельного участка. </w:t>
            </w:r>
            <w:r w:rsidRPr="00215B17">
              <w:rPr>
                <w:rFonts w:eastAsia="Times New Roman" w:cs="Times New Roman"/>
                <w:sz w:val="24"/>
                <w:szCs w:val="24"/>
                <w:lang w:eastAsia="ru-RU"/>
              </w:rPr>
              <w:t xml:space="preserve"> </w:t>
            </w:r>
          </w:p>
          <w:p w14:paraId="1312F53F"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Право на размещение новых нестационарных торговых объектов предоставляется путем проведения аукциона. Площадь предполагаемого к размещению объекта должна соответствовать аукционной документации и не может превышать площади отведенного земельного участка. </w:t>
            </w:r>
          </w:p>
        </w:tc>
        <w:tc>
          <w:tcPr>
            <w:tcW w:w="1984" w:type="dxa"/>
            <w:shd w:val="clear" w:color="auto" w:fill="auto"/>
          </w:tcPr>
          <w:p w14:paraId="59572BE1" w14:textId="77777777" w:rsidR="00786911" w:rsidRPr="00900FB5" w:rsidRDefault="00786911" w:rsidP="00FB4BB3">
            <w:pPr>
              <w:rPr>
                <w:rFonts w:cs="Times New Roman"/>
                <w:sz w:val="24"/>
                <w:szCs w:val="24"/>
              </w:rPr>
            </w:pPr>
            <w:r w:rsidRPr="00900FB5">
              <w:rPr>
                <w:rFonts w:cs="Times New Roman"/>
                <w:sz w:val="24"/>
                <w:szCs w:val="24"/>
              </w:rPr>
              <w:t>Отклонить.</w:t>
            </w:r>
          </w:p>
          <w:p w14:paraId="003B4736" w14:textId="77777777" w:rsidR="00786911" w:rsidRPr="00345D66" w:rsidRDefault="00786911" w:rsidP="00FB4BB3">
            <w:pPr>
              <w:rPr>
                <w:rFonts w:eastAsia="Times New Roman" w:cs="Times New Roman"/>
                <w:sz w:val="24"/>
                <w:szCs w:val="24"/>
                <w:lang w:eastAsia="ru-RU"/>
              </w:rPr>
            </w:pPr>
            <w:r w:rsidRPr="00900FB5">
              <w:rPr>
                <w:rFonts w:cs="Times New Roman"/>
                <w:sz w:val="24"/>
                <w:szCs w:val="24"/>
              </w:rPr>
              <w:t>(протокол урегулирования разногласий № 1 от 26.07.2021).</w:t>
            </w:r>
          </w:p>
        </w:tc>
      </w:tr>
      <w:tr w:rsidR="00786911" w:rsidRPr="00216969" w14:paraId="02B52E57" w14:textId="77777777" w:rsidTr="00786911">
        <w:tc>
          <w:tcPr>
            <w:tcW w:w="1842" w:type="dxa"/>
            <w:vMerge/>
            <w:shd w:val="clear" w:color="auto" w:fill="auto"/>
          </w:tcPr>
          <w:p w14:paraId="70A7E00E" w14:textId="77777777" w:rsidR="00786911" w:rsidRPr="00345D66" w:rsidRDefault="00786911" w:rsidP="00FB4BB3">
            <w:pPr>
              <w:jc w:val="center"/>
              <w:rPr>
                <w:rFonts w:eastAsia="Times New Roman" w:cs="Times New Roman"/>
                <w:sz w:val="24"/>
                <w:szCs w:val="24"/>
                <w:lang w:eastAsia="ru-RU"/>
              </w:rPr>
            </w:pPr>
          </w:p>
        </w:tc>
        <w:tc>
          <w:tcPr>
            <w:tcW w:w="3403" w:type="dxa"/>
            <w:shd w:val="clear" w:color="auto" w:fill="auto"/>
          </w:tcPr>
          <w:p w14:paraId="734B7A2F"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3) В подпункте 1.2.4 пункта 1.2. проекта предлагаю уточнить обстоятельства для принятия решения о расторжении договора по вновь установленному обстоятельству – в случае выявления соответствующего количества нарушений правил благоустройства города Сургута при эксплуатации конкретного НТО.</w:t>
            </w:r>
          </w:p>
        </w:tc>
        <w:tc>
          <w:tcPr>
            <w:tcW w:w="3686" w:type="dxa"/>
            <w:shd w:val="clear" w:color="auto" w:fill="auto"/>
          </w:tcPr>
          <w:p w14:paraId="319B5C14"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u w:val="single"/>
                <w:lang w:eastAsia="ru-RU"/>
              </w:rPr>
              <w:t>Принять</w:t>
            </w:r>
            <w:r w:rsidRPr="00786911">
              <w:rPr>
                <w:rFonts w:eastAsia="Times New Roman" w:cs="Times New Roman"/>
                <w:sz w:val="24"/>
                <w:szCs w:val="24"/>
                <w:lang w:eastAsia="ru-RU"/>
              </w:rPr>
              <w:t>.</w:t>
            </w:r>
          </w:p>
          <w:p w14:paraId="3028409C"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Подпункт 1.2.4 пункта 1.2 проекта изложить в следующей редакции:</w:t>
            </w:r>
          </w:p>
          <w:p w14:paraId="1343763E"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«1.2.4. Пункт 19.2 раздела III дополнить подпунктом 13 следующего содержания:</w:t>
            </w:r>
          </w:p>
          <w:p w14:paraId="1E1BECA3"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xml:space="preserve">«13) неоднократного (два и более раз) выявления нарушений Правил благоустройства территории города Сургута, утвержденных решением Думы города от 26.12.2017 № 206–VI ДГ, подтвержденных вступившими в законную силу постановлениями административной комиссии </w:t>
            </w:r>
            <w:r w:rsidRPr="00786911">
              <w:rPr>
                <w:rFonts w:eastAsia="Times New Roman" w:cs="Times New Roman"/>
                <w:sz w:val="24"/>
                <w:szCs w:val="24"/>
                <w:lang w:eastAsia="ru-RU"/>
              </w:rPr>
              <w:lastRenderedPageBreak/>
              <w:t>города Сургута о назначении административного наказания, при эксплуатации нестационарного торгового объекта».</w:t>
            </w:r>
          </w:p>
          <w:p w14:paraId="3051E0F6"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Внести соответствующие изменения в подпункты 1.5.3 пункта 1.5 и в подпункт 1.6.1 пункта 1.6 проекта, изложив в следующей редакции:</w:t>
            </w:r>
          </w:p>
          <w:p w14:paraId="50301C9A"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«1.5.3. Пункт 2 раздела V дополнить подпунктом 13 следующего содержания:</w:t>
            </w:r>
          </w:p>
          <w:p w14:paraId="60C6149D"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«13)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 при эксплуатации нестационарного торгового объекта.».</w:t>
            </w:r>
          </w:p>
          <w:p w14:paraId="2A11AE9E"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 «1.6.1. Пункт 2 раздела V дополнить подпунктом 12 следующего содержания:</w:t>
            </w:r>
          </w:p>
          <w:p w14:paraId="0364A63D" w14:textId="77777777" w:rsidR="00786911" w:rsidRPr="00786911" w:rsidRDefault="00786911" w:rsidP="00FB4BB3">
            <w:pPr>
              <w:jc w:val="both"/>
              <w:rPr>
                <w:rFonts w:eastAsia="Times New Roman" w:cs="Times New Roman"/>
                <w:sz w:val="24"/>
                <w:szCs w:val="24"/>
                <w:lang w:eastAsia="ru-RU"/>
              </w:rPr>
            </w:pPr>
            <w:r w:rsidRPr="00786911">
              <w:rPr>
                <w:rFonts w:eastAsia="Times New Roman" w:cs="Times New Roman"/>
                <w:sz w:val="24"/>
                <w:szCs w:val="24"/>
                <w:lang w:eastAsia="ru-RU"/>
              </w:rPr>
              <w:t>«12) неоднократного (два и более раз) выявления нарушений Правил благоустройства территории города Сургута, утвержденных решением Думы города от 26.12.2017 № 206-VIДГ, подтвержденных вступившими в законную силу постановлениями административной комиссии города Сургута о назначении административного наказания, при эксплуатации нестационарного торгового объекта.».</w:t>
            </w:r>
          </w:p>
        </w:tc>
        <w:tc>
          <w:tcPr>
            <w:tcW w:w="1984" w:type="dxa"/>
            <w:shd w:val="clear" w:color="auto" w:fill="auto"/>
          </w:tcPr>
          <w:p w14:paraId="474A2689" w14:textId="77777777" w:rsidR="00786911" w:rsidRPr="00D3150F" w:rsidRDefault="00786911" w:rsidP="00FB4BB3">
            <w:pPr>
              <w:jc w:val="center"/>
              <w:rPr>
                <w:rFonts w:eastAsia="Times New Roman" w:cs="Times New Roman"/>
                <w:sz w:val="24"/>
                <w:szCs w:val="24"/>
                <w:lang w:eastAsia="ru-RU"/>
              </w:rPr>
            </w:pPr>
            <w:r>
              <w:rPr>
                <w:rFonts w:eastAsia="Times New Roman" w:cs="Times New Roman"/>
                <w:sz w:val="24"/>
                <w:szCs w:val="24"/>
                <w:lang w:eastAsia="ru-RU"/>
              </w:rPr>
              <w:lastRenderedPageBreak/>
              <w:t>-</w:t>
            </w:r>
          </w:p>
        </w:tc>
      </w:tr>
      <w:tr w:rsidR="00786911" w:rsidRPr="00216969" w14:paraId="0D541240" w14:textId="77777777" w:rsidTr="00786911">
        <w:tc>
          <w:tcPr>
            <w:tcW w:w="1842" w:type="dxa"/>
            <w:vMerge/>
            <w:shd w:val="clear" w:color="auto" w:fill="auto"/>
          </w:tcPr>
          <w:p w14:paraId="7BBF678A" w14:textId="77777777" w:rsidR="00786911" w:rsidRPr="00345D66" w:rsidRDefault="00786911" w:rsidP="00FB4BB3">
            <w:pPr>
              <w:jc w:val="center"/>
              <w:rPr>
                <w:rFonts w:eastAsia="Times New Roman" w:cs="Times New Roman"/>
                <w:sz w:val="24"/>
                <w:szCs w:val="24"/>
                <w:lang w:eastAsia="ru-RU"/>
              </w:rPr>
            </w:pPr>
          </w:p>
        </w:tc>
        <w:tc>
          <w:tcPr>
            <w:tcW w:w="3403" w:type="dxa"/>
            <w:shd w:val="clear" w:color="auto" w:fill="auto"/>
          </w:tcPr>
          <w:p w14:paraId="78F41237"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 xml:space="preserve">4) </w:t>
            </w:r>
            <w:r w:rsidRPr="00345D66">
              <w:rPr>
                <w:rFonts w:eastAsia="Times New Roman" w:cs="Times New Roman"/>
                <w:sz w:val="24"/>
                <w:szCs w:val="24"/>
                <w:lang w:eastAsia="ru-RU"/>
              </w:rPr>
              <w:t xml:space="preserve">Во избежание ситуаций не получения пользователями НТО соответствующих уведомлений, в порядке вновь вводимого в действие пункта 19.3 положения, предлагаю провести работу по извещению нынешних и потенциальных пользователей НТО о </w:t>
            </w:r>
            <w:r w:rsidRPr="00345D66">
              <w:rPr>
                <w:rFonts w:eastAsia="Times New Roman" w:cs="Times New Roman"/>
                <w:sz w:val="24"/>
                <w:szCs w:val="24"/>
                <w:lang w:eastAsia="ru-RU"/>
              </w:rPr>
              <w:lastRenderedPageBreak/>
              <w:t>необходимости своевременного извещения уполномоченного органа об изменении предпочтительного способа его извещения, в том числе о решении, касающемся расторжения соответствующего договора (со своевременной актуализацией адреса доставки корреспонденции).</w:t>
            </w:r>
          </w:p>
          <w:p w14:paraId="466BCD47" w14:textId="77777777" w:rsidR="00786911" w:rsidRPr="00345D66" w:rsidRDefault="00786911" w:rsidP="00FB4BB3">
            <w:pPr>
              <w:jc w:val="both"/>
              <w:rPr>
                <w:rFonts w:eastAsia="Times New Roman" w:cs="Times New Roman"/>
                <w:sz w:val="24"/>
                <w:szCs w:val="24"/>
                <w:lang w:eastAsia="ru-RU"/>
              </w:rPr>
            </w:pPr>
            <w:r w:rsidRPr="00345D66">
              <w:rPr>
                <w:rFonts w:eastAsia="Times New Roman" w:cs="Times New Roman"/>
                <w:sz w:val="24"/>
                <w:szCs w:val="24"/>
                <w:lang w:eastAsia="ru-RU"/>
              </w:rPr>
              <w:t>Полагаю, что такая мера позволит исключить ситуации, способствующие возникновению спора в отсутствие намеренного уклонения пользователя НТО от получения соответствующей корреспонденции.</w:t>
            </w:r>
          </w:p>
        </w:tc>
        <w:tc>
          <w:tcPr>
            <w:tcW w:w="3686" w:type="dxa"/>
            <w:shd w:val="clear" w:color="auto" w:fill="auto"/>
          </w:tcPr>
          <w:p w14:paraId="30AEFC07" w14:textId="77777777" w:rsidR="00786911" w:rsidRDefault="00786911" w:rsidP="00FB4BB3">
            <w:pPr>
              <w:jc w:val="both"/>
              <w:rPr>
                <w:rFonts w:eastAsia="Times New Roman" w:cs="Times New Roman"/>
                <w:sz w:val="24"/>
                <w:szCs w:val="24"/>
                <w:lang w:eastAsia="ru-RU"/>
              </w:rPr>
            </w:pPr>
            <w:r w:rsidRPr="00E16B1F">
              <w:rPr>
                <w:rFonts w:eastAsia="Times New Roman" w:cs="Times New Roman"/>
                <w:sz w:val="24"/>
                <w:szCs w:val="24"/>
                <w:u w:val="single"/>
                <w:lang w:eastAsia="ru-RU"/>
              </w:rPr>
              <w:lastRenderedPageBreak/>
              <w:t>Принять.</w:t>
            </w:r>
            <w:r>
              <w:rPr>
                <w:rFonts w:eastAsia="Times New Roman" w:cs="Times New Roman"/>
                <w:sz w:val="24"/>
                <w:szCs w:val="24"/>
                <w:lang w:eastAsia="ru-RU"/>
              </w:rPr>
              <w:t xml:space="preserve"> </w:t>
            </w:r>
          </w:p>
          <w:p w14:paraId="44076D36" w14:textId="77777777" w:rsidR="00786911" w:rsidRPr="00E16B1F" w:rsidRDefault="00786911" w:rsidP="00FB4BB3">
            <w:pPr>
              <w:jc w:val="both"/>
              <w:rPr>
                <w:rFonts w:eastAsia="Times New Roman" w:cs="Times New Roman"/>
                <w:sz w:val="24"/>
                <w:szCs w:val="24"/>
                <w:u w:val="single"/>
                <w:lang w:eastAsia="ru-RU"/>
              </w:rPr>
            </w:pPr>
            <w:r>
              <w:rPr>
                <w:rFonts w:eastAsia="Times New Roman" w:cs="Times New Roman"/>
                <w:sz w:val="24"/>
                <w:szCs w:val="24"/>
                <w:lang w:eastAsia="ru-RU"/>
              </w:rPr>
              <w:t xml:space="preserve">С целью исключения спорных ситуаций неполучения уведомлений хозяйствующими субъектами внесены изменения в п. 19.3 Положения о размещении нестационарных торговых объектов на территории города Сургута, который </w:t>
            </w:r>
            <w:r w:rsidRPr="00097EC7">
              <w:rPr>
                <w:rFonts w:eastAsia="Times New Roman" w:cs="Times New Roman"/>
                <w:sz w:val="24"/>
                <w:szCs w:val="24"/>
                <w:lang w:eastAsia="ru-RU"/>
              </w:rPr>
              <w:lastRenderedPageBreak/>
              <w:t>предусматрива</w:t>
            </w:r>
            <w:r>
              <w:rPr>
                <w:rFonts w:eastAsia="Times New Roman" w:cs="Times New Roman"/>
                <w:sz w:val="24"/>
                <w:szCs w:val="24"/>
                <w:lang w:eastAsia="ru-RU"/>
              </w:rPr>
              <w:t>ет</w:t>
            </w:r>
            <w:r w:rsidRPr="00097EC7">
              <w:rPr>
                <w:rFonts w:eastAsia="Times New Roman" w:cs="Times New Roman"/>
                <w:sz w:val="24"/>
                <w:szCs w:val="24"/>
                <w:lang w:eastAsia="ru-RU"/>
              </w:rPr>
              <w:t xml:space="preserve"> альтернативные способы вручения уведомлени</w:t>
            </w:r>
            <w:r>
              <w:rPr>
                <w:rFonts w:eastAsia="Times New Roman" w:cs="Times New Roman"/>
                <w:sz w:val="24"/>
                <w:szCs w:val="24"/>
                <w:lang w:eastAsia="ru-RU"/>
              </w:rPr>
              <w:t>й</w:t>
            </w:r>
            <w:r w:rsidRPr="00097EC7">
              <w:rPr>
                <w:rFonts w:eastAsia="Times New Roman" w:cs="Times New Roman"/>
                <w:sz w:val="24"/>
                <w:szCs w:val="24"/>
                <w:lang w:eastAsia="ru-RU"/>
              </w:rPr>
              <w:t>.</w:t>
            </w:r>
          </w:p>
          <w:p w14:paraId="6BF59432" w14:textId="77777777" w:rsidR="00786911" w:rsidRPr="00345D66" w:rsidRDefault="00786911" w:rsidP="00FB4BB3">
            <w:pPr>
              <w:jc w:val="both"/>
              <w:rPr>
                <w:rFonts w:eastAsia="Times New Roman" w:cs="Times New Roman"/>
                <w:sz w:val="24"/>
                <w:szCs w:val="24"/>
                <w:lang w:eastAsia="ru-RU"/>
              </w:rPr>
            </w:pPr>
            <w:r>
              <w:rPr>
                <w:rFonts w:eastAsia="Times New Roman" w:cs="Times New Roman"/>
                <w:sz w:val="24"/>
                <w:szCs w:val="24"/>
                <w:lang w:eastAsia="ru-RU"/>
              </w:rPr>
              <w:t>Типовыми формами договоров на размещение нестационарного торгового объекта, утверждёнными приложениями 4, 5 к постановлению Администрации   города от 09.11.2017 № 9589, предусмотрена обязанность хозяйствующих субъектов предоставлять письменные уведомления в уполномоченный орган в течение двухнедельного срока  в случаях изменения наименования, юридического адреса, контактных телефонов, а также изменения банковских и иных реквизитов.</w:t>
            </w:r>
          </w:p>
        </w:tc>
        <w:tc>
          <w:tcPr>
            <w:tcW w:w="1984" w:type="dxa"/>
            <w:shd w:val="clear" w:color="auto" w:fill="auto"/>
          </w:tcPr>
          <w:p w14:paraId="47432B5D" w14:textId="77777777" w:rsidR="00786911" w:rsidRPr="00D3150F" w:rsidRDefault="00786911" w:rsidP="00FB4BB3">
            <w:pPr>
              <w:jc w:val="center"/>
              <w:rPr>
                <w:rFonts w:eastAsia="Times New Roman" w:cs="Times New Roman"/>
                <w:sz w:val="24"/>
                <w:szCs w:val="24"/>
                <w:lang w:eastAsia="ru-RU"/>
              </w:rPr>
            </w:pPr>
            <w:r w:rsidRPr="00D3150F">
              <w:rPr>
                <w:rFonts w:eastAsia="Times New Roman" w:cs="Times New Roman"/>
                <w:sz w:val="24"/>
                <w:szCs w:val="24"/>
                <w:lang w:eastAsia="ru-RU"/>
              </w:rPr>
              <w:lastRenderedPageBreak/>
              <w:t>-</w:t>
            </w:r>
          </w:p>
          <w:p w14:paraId="76E36985" w14:textId="77777777" w:rsidR="00786911" w:rsidRPr="00345D66" w:rsidRDefault="00786911" w:rsidP="00FB4BB3">
            <w:pPr>
              <w:rPr>
                <w:rFonts w:eastAsia="Times New Roman" w:cs="Times New Roman"/>
                <w:sz w:val="24"/>
                <w:szCs w:val="24"/>
                <w:u w:val="single"/>
                <w:lang w:eastAsia="ru-RU"/>
              </w:rPr>
            </w:pPr>
          </w:p>
        </w:tc>
      </w:tr>
      <w:tr w:rsidR="00786911" w:rsidRPr="00216969" w14:paraId="540263D3" w14:textId="77777777" w:rsidTr="00786911">
        <w:tc>
          <w:tcPr>
            <w:tcW w:w="1842" w:type="dxa"/>
            <w:vMerge w:val="restart"/>
            <w:shd w:val="clear" w:color="auto" w:fill="auto"/>
          </w:tcPr>
          <w:p w14:paraId="6D4CC956"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t>ООО Мясокомбинат «Сургутский»</w:t>
            </w:r>
          </w:p>
        </w:tc>
        <w:tc>
          <w:tcPr>
            <w:tcW w:w="3403" w:type="dxa"/>
            <w:shd w:val="clear" w:color="auto" w:fill="auto"/>
          </w:tcPr>
          <w:p w14:paraId="35D4C8E7" w14:textId="15361E1E" w:rsidR="00786911" w:rsidRPr="00E16B1F" w:rsidRDefault="00786911" w:rsidP="00786911">
            <w:pPr>
              <w:pStyle w:val="afff5"/>
              <w:numPr>
                <w:ilvl w:val="0"/>
                <w:numId w:val="28"/>
              </w:numPr>
              <w:tabs>
                <w:tab w:val="left" w:pos="326"/>
              </w:tabs>
              <w:ind w:left="42" w:firstLine="0"/>
              <w:jc w:val="both"/>
              <w:rPr>
                <w:rFonts w:ascii="Times New Roman" w:hAnsi="Times New Roman" w:cs="Times New Roman"/>
              </w:rPr>
            </w:pPr>
            <w:r w:rsidRPr="00E16B1F">
              <w:rPr>
                <w:rFonts w:ascii="Times New Roman" w:hAnsi="Times New Roman" w:cs="Times New Roman"/>
              </w:rPr>
              <w:t>Принятие нового регулирования может привести к невозможности осуществления деятельности</w:t>
            </w:r>
          </w:p>
        </w:tc>
        <w:tc>
          <w:tcPr>
            <w:tcW w:w="3686" w:type="dxa"/>
            <w:shd w:val="clear" w:color="auto" w:fill="auto"/>
          </w:tcPr>
          <w:p w14:paraId="3F2C05AF" w14:textId="77777777" w:rsidR="00786911" w:rsidRDefault="00786911" w:rsidP="00FB4BB3">
            <w:pPr>
              <w:tabs>
                <w:tab w:val="left" w:pos="326"/>
              </w:tabs>
              <w:ind w:left="42"/>
              <w:jc w:val="both"/>
              <w:rPr>
                <w:rFonts w:eastAsia="Times New Roman" w:cs="Times New Roman"/>
                <w:sz w:val="24"/>
                <w:szCs w:val="24"/>
                <w:lang w:eastAsia="ru-RU"/>
              </w:rPr>
            </w:pPr>
            <w:r w:rsidRPr="00E16B1F">
              <w:rPr>
                <w:rFonts w:eastAsia="Times New Roman" w:cs="Times New Roman"/>
                <w:sz w:val="24"/>
                <w:szCs w:val="24"/>
                <w:u w:val="single"/>
                <w:lang w:eastAsia="ru-RU"/>
              </w:rPr>
              <w:t>Принять</w:t>
            </w:r>
            <w:r>
              <w:rPr>
                <w:rFonts w:eastAsia="Times New Roman" w:cs="Times New Roman"/>
                <w:sz w:val="24"/>
                <w:szCs w:val="24"/>
                <w:lang w:eastAsia="ru-RU"/>
              </w:rPr>
              <w:t>.</w:t>
            </w:r>
          </w:p>
          <w:p w14:paraId="16E2D428" w14:textId="77777777" w:rsidR="00786911" w:rsidRPr="00E16B1F" w:rsidRDefault="00786911" w:rsidP="00FB4BB3">
            <w:pPr>
              <w:tabs>
                <w:tab w:val="left" w:pos="326"/>
              </w:tabs>
              <w:ind w:left="42"/>
              <w:jc w:val="both"/>
              <w:rPr>
                <w:rFonts w:eastAsia="Times New Roman" w:cs="Times New Roman"/>
                <w:sz w:val="24"/>
                <w:szCs w:val="24"/>
                <w:lang w:eastAsia="ru-RU"/>
              </w:rPr>
            </w:pPr>
            <w:r w:rsidRPr="00E16B1F">
              <w:rPr>
                <w:rFonts w:eastAsia="Times New Roman" w:cs="Times New Roman"/>
                <w:sz w:val="24"/>
                <w:szCs w:val="24"/>
                <w:lang w:eastAsia="ru-RU"/>
              </w:rPr>
              <w:t>Прекращение осуществления предпринимательской деятельности в нестационарном торговом объекте, размещенном на муниципальном земельном участке, возникнет в случае неоднократного (два и более раза) нарушения регионального законодательства (Закон Ханты-Мансийского АО – Югры от 11.06.2010 № 102-оз                                                    «Об административных правонарушениях»).</w:t>
            </w:r>
          </w:p>
        </w:tc>
        <w:tc>
          <w:tcPr>
            <w:tcW w:w="1984" w:type="dxa"/>
            <w:shd w:val="clear" w:color="auto" w:fill="auto"/>
          </w:tcPr>
          <w:p w14:paraId="16F1C43F" w14:textId="77777777" w:rsidR="00786911" w:rsidRPr="00345D66" w:rsidRDefault="00786911" w:rsidP="00FB4BB3">
            <w:pPr>
              <w:jc w:val="center"/>
              <w:rPr>
                <w:rFonts w:eastAsia="Times New Roman" w:cs="Times New Roman"/>
                <w:sz w:val="24"/>
                <w:szCs w:val="24"/>
                <w:lang w:eastAsia="ru-RU"/>
              </w:rPr>
            </w:pPr>
            <w:r w:rsidRPr="00345D66">
              <w:rPr>
                <w:rFonts w:eastAsia="Times New Roman" w:cs="Times New Roman"/>
                <w:sz w:val="24"/>
                <w:szCs w:val="24"/>
                <w:lang w:eastAsia="ru-RU"/>
              </w:rPr>
              <w:t>-</w:t>
            </w:r>
          </w:p>
        </w:tc>
      </w:tr>
      <w:tr w:rsidR="00786911" w:rsidRPr="00216969" w14:paraId="5112FBCA" w14:textId="77777777" w:rsidTr="00786911">
        <w:tc>
          <w:tcPr>
            <w:tcW w:w="1842" w:type="dxa"/>
            <w:vMerge/>
            <w:shd w:val="clear" w:color="auto" w:fill="auto"/>
          </w:tcPr>
          <w:p w14:paraId="7ABC85AB" w14:textId="77777777" w:rsidR="00786911" w:rsidRPr="00345D66" w:rsidRDefault="00786911" w:rsidP="00FB4BB3">
            <w:pPr>
              <w:jc w:val="center"/>
              <w:rPr>
                <w:rFonts w:eastAsia="Times New Roman" w:cs="Times New Roman"/>
                <w:sz w:val="24"/>
                <w:szCs w:val="24"/>
                <w:lang w:eastAsia="ru-RU"/>
              </w:rPr>
            </w:pPr>
          </w:p>
        </w:tc>
        <w:tc>
          <w:tcPr>
            <w:tcW w:w="3403" w:type="dxa"/>
            <w:shd w:val="clear" w:color="auto" w:fill="auto"/>
          </w:tcPr>
          <w:p w14:paraId="2D60E02B" w14:textId="77777777" w:rsidR="00786911" w:rsidRPr="00E16B1F" w:rsidRDefault="00786911" w:rsidP="00786911">
            <w:pPr>
              <w:pStyle w:val="afff5"/>
              <w:numPr>
                <w:ilvl w:val="0"/>
                <w:numId w:val="28"/>
              </w:numPr>
              <w:tabs>
                <w:tab w:val="left" w:pos="326"/>
              </w:tabs>
              <w:ind w:left="42" w:firstLine="0"/>
              <w:jc w:val="both"/>
              <w:rPr>
                <w:rFonts w:ascii="Times New Roman" w:hAnsi="Times New Roman" w:cs="Times New Roman"/>
              </w:rPr>
            </w:pPr>
            <w:r w:rsidRPr="00E16B1F">
              <w:rPr>
                <w:rFonts w:ascii="Times New Roman" w:hAnsi="Times New Roman" w:cs="Times New Roman"/>
              </w:rPr>
              <w:t>Требуется переходный период на 1 год для вступления в силу предлагаемого регулирования.</w:t>
            </w:r>
          </w:p>
        </w:tc>
        <w:tc>
          <w:tcPr>
            <w:tcW w:w="3686" w:type="dxa"/>
            <w:shd w:val="clear" w:color="auto" w:fill="auto"/>
          </w:tcPr>
          <w:p w14:paraId="78848C96" w14:textId="77777777" w:rsidR="00786911" w:rsidRDefault="00786911" w:rsidP="00FB4BB3">
            <w:pPr>
              <w:tabs>
                <w:tab w:val="left" w:pos="326"/>
              </w:tabs>
              <w:ind w:left="42"/>
              <w:jc w:val="both"/>
              <w:rPr>
                <w:rFonts w:eastAsia="Times New Roman" w:cs="Times New Roman"/>
                <w:sz w:val="24"/>
                <w:szCs w:val="24"/>
                <w:lang w:eastAsia="ru-RU"/>
              </w:rPr>
            </w:pPr>
            <w:r w:rsidRPr="00E16B1F">
              <w:rPr>
                <w:rFonts w:eastAsia="Times New Roman" w:cs="Times New Roman"/>
                <w:sz w:val="24"/>
                <w:szCs w:val="24"/>
                <w:u w:val="single"/>
                <w:lang w:eastAsia="ru-RU"/>
              </w:rPr>
              <w:t>Отклонить</w:t>
            </w:r>
            <w:r>
              <w:rPr>
                <w:rFonts w:eastAsia="Times New Roman" w:cs="Times New Roman"/>
                <w:sz w:val="24"/>
                <w:szCs w:val="24"/>
                <w:lang w:eastAsia="ru-RU"/>
              </w:rPr>
              <w:t>.</w:t>
            </w:r>
          </w:p>
          <w:p w14:paraId="101254D3" w14:textId="77777777" w:rsidR="00786911" w:rsidRPr="00E16B1F" w:rsidRDefault="00786911" w:rsidP="00FB4BB3">
            <w:pPr>
              <w:tabs>
                <w:tab w:val="left" w:pos="326"/>
              </w:tabs>
              <w:ind w:left="42"/>
              <w:jc w:val="both"/>
              <w:rPr>
                <w:rFonts w:eastAsia="Times New Roman" w:cs="Times New Roman"/>
                <w:sz w:val="24"/>
                <w:szCs w:val="24"/>
                <w:lang w:eastAsia="ru-RU"/>
              </w:rPr>
            </w:pPr>
            <w:r w:rsidRPr="00E16B1F">
              <w:rPr>
                <w:rFonts w:eastAsia="Times New Roman" w:cs="Times New Roman"/>
                <w:sz w:val="24"/>
                <w:szCs w:val="24"/>
                <w:lang w:eastAsia="ru-RU"/>
              </w:rPr>
              <w:t xml:space="preserve">Вносимые изменения не вводят положения, устанавливающие новые требования </w:t>
            </w:r>
            <w:r>
              <w:rPr>
                <w:rFonts w:eastAsia="Times New Roman" w:cs="Times New Roman"/>
                <w:sz w:val="24"/>
                <w:szCs w:val="24"/>
                <w:lang w:eastAsia="ru-RU"/>
              </w:rPr>
              <w:t>для хозяйствующих субъектов.</w:t>
            </w:r>
          </w:p>
        </w:tc>
        <w:tc>
          <w:tcPr>
            <w:tcW w:w="1984" w:type="dxa"/>
            <w:shd w:val="clear" w:color="auto" w:fill="auto"/>
          </w:tcPr>
          <w:p w14:paraId="2A4CDFB8" w14:textId="77777777" w:rsidR="00786911" w:rsidRDefault="00786911" w:rsidP="00FB4BB3">
            <w:pPr>
              <w:jc w:val="center"/>
              <w:rPr>
                <w:rFonts w:cs="Times New Roman"/>
                <w:sz w:val="24"/>
                <w:szCs w:val="24"/>
              </w:rPr>
            </w:pPr>
            <w:r w:rsidRPr="00097EC7">
              <w:rPr>
                <w:rFonts w:cs="Times New Roman"/>
                <w:sz w:val="24"/>
                <w:szCs w:val="24"/>
              </w:rPr>
              <w:t xml:space="preserve">Замечания сняты </w:t>
            </w:r>
            <w:r>
              <w:rPr>
                <w:rFonts w:cs="Times New Roman"/>
                <w:sz w:val="24"/>
                <w:szCs w:val="24"/>
              </w:rPr>
              <w:t>21.</w:t>
            </w:r>
            <w:r w:rsidRPr="00097EC7">
              <w:rPr>
                <w:rFonts w:cs="Times New Roman"/>
                <w:sz w:val="24"/>
                <w:szCs w:val="24"/>
              </w:rPr>
              <w:t>0</w:t>
            </w:r>
            <w:r>
              <w:rPr>
                <w:rFonts w:cs="Times New Roman"/>
                <w:sz w:val="24"/>
                <w:szCs w:val="24"/>
              </w:rPr>
              <w:t>7</w:t>
            </w:r>
            <w:r w:rsidRPr="00097EC7">
              <w:rPr>
                <w:rFonts w:cs="Times New Roman"/>
                <w:sz w:val="24"/>
                <w:szCs w:val="24"/>
              </w:rPr>
              <w:t>.2021</w:t>
            </w:r>
          </w:p>
          <w:p w14:paraId="622F711B" w14:textId="77777777" w:rsidR="00786911" w:rsidRPr="00345D66" w:rsidRDefault="00786911" w:rsidP="00FB4BB3">
            <w:pPr>
              <w:jc w:val="center"/>
              <w:rPr>
                <w:rFonts w:eastAsia="Times New Roman" w:cs="Times New Roman"/>
                <w:sz w:val="24"/>
                <w:szCs w:val="24"/>
                <w:lang w:eastAsia="ru-RU"/>
              </w:rPr>
            </w:pPr>
            <w:r>
              <w:rPr>
                <w:rFonts w:cs="Times New Roman"/>
                <w:sz w:val="24"/>
                <w:szCs w:val="24"/>
              </w:rPr>
              <w:t>Письмо от 21.07.2021 № 182</w:t>
            </w:r>
          </w:p>
        </w:tc>
      </w:tr>
    </w:tbl>
    <w:p w14:paraId="68CCFB71" w14:textId="5A77E648" w:rsidR="002641E1" w:rsidRPr="00B811A0" w:rsidRDefault="002641E1" w:rsidP="002641E1">
      <w:pPr>
        <w:tabs>
          <w:tab w:val="center" w:pos="8505"/>
          <w:tab w:val="right" w:pos="9923"/>
        </w:tabs>
        <w:autoSpaceDE w:val="0"/>
        <w:autoSpaceDN w:val="0"/>
        <w:ind w:firstLine="567"/>
        <w:jc w:val="both"/>
        <w:rPr>
          <w:rFonts w:eastAsia="Times New Roman" w:cs="Times New Roman"/>
          <w:color w:val="FF0000"/>
          <w:szCs w:val="28"/>
          <w:lang w:eastAsia="ru-RU"/>
        </w:rPr>
      </w:pPr>
      <w:r w:rsidRPr="00EB0176">
        <w:rPr>
          <w:rFonts w:eastAsia="Times New Roman" w:cs="Times New Roman"/>
          <w:szCs w:val="28"/>
          <w:lang w:eastAsia="ru-RU"/>
        </w:rPr>
        <w:t>По результатам рассмотрения замечаний (предложений) в адрес участник</w:t>
      </w:r>
      <w:r w:rsidR="00B811A0" w:rsidRPr="00EB0176">
        <w:rPr>
          <w:rFonts w:eastAsia="Times New Roman" w:cs="Times New Roman"/>
          <w:szCs w:val="28"/>
          <w:lang w:eastAsia="ru-RU"/>
        </w:rPr>
        <w:t>ов</w:t>
      </w:r>
      <w:r w:rsidRPr="00EB0176">
        <w:rPr>
          <w:rFonts w:eastAsia="Times New Roman" w:cs="Times New Roman"/>
          <w:szCs w:val="28"/>
          <w:lang w:eastAsia="ru-RU"/>
        </w:rPr>
        <w:t xml:space="preserve"> публичных консультаций направлен</w:t>
      </w:r>
      <w:r w:rsidR="00B94610" w:rsidRPr="00EB0176">
        <w:rPr>
          <w:rFonts w:eastAsia="Times New Roman" w:cs="Times New Roman"/>
          <w:szCs w:val="28"/>
          <w:lang w:eastAsia="ru-RU"/>
        </w:rPr>
        <w:t>ы</w:t>
      </w:r>
      <w:r w:rsidRPr="00EB0176">
        <w:rPr>
          <w:rFonts w:eastAsia="Times New Roman" w:cs="Times New Roman"/>
          <w:szCs w:val="28"/>
          <w:lang w:eastAsia="ru-RU"/>
        </w:rPr>
        <w:t xml:space="preserve"> письм</w:t>
      </w:r>
      <w:r w:rsidR="00B94610" w:rsidRPr="00EB0176">
        <w:rPr>
          <w:rFonts w:eastAsia="Times New Roman" w:cs="Times New Roman"/>
          <w:szCs w:val="28"/>
          <w:lang w:eastAsia="ru-RU"/>
        </w:rPr>
        <w:t>а</w:t>
      </w:r>
      <w:r w:rsidRPr="00EB0176">
        <w:rPr>
          <w:rFonts w:eastAsia="Times New Roman" w:cs="Times New Roman"/>
          <w:szCs w:val="28"/>
          <w:lang w:eastAsia="ru-RU"/>
        </w:rPr>
        <w:t>-уведомлен</w:t>
      </w:r>
      <w:r w:rsidR="00B94610" w:rsidRPr="00EB0176">
        <w:rPr>
          <w:rFonts w:eastAsia="Times New Roman" w:cs="Times New Roman"/>
          <w:szCs w:val="28"/>
          <w:lang w:eastAsia="ru-RU"/>
        </w:rPr>
        <w:t>ия</w:t>
      </w:r>
      <w:r w:rsidRPr="00EB0176">
        <w:rPr>
          <w:rFonts w:eastAsia="Times New Roman" w:cs="Times New Roman"/>
          <w:szCs w:val="28"/>
          <w:lang w:eastAsia="ru-RU"/>
        </w:rPr>
        <w:t xml:space="preserve"> о результатах принятых решений.</w:t>
      </w:r>
    </w:p>
    <w:p w14:paraId="0C9E5931" w14:textId="0C868BD3" w:rsidR="00EB0176" w:rsidRPr="00786911" w:rsidRDefault="00EB0176" w:rsidP="00786911">
      <w:pPr>
        <w:tabs>
          <w:tab w:val="center" w:pos="8505"/>
          <w:tab w:val="right" w:pos="9923"/>
        </w:tabs>
        <w:autoSpaceDE w:val="0"/>
        <w:autoSpaceDN w:val="0"/>
        <w:ind w:firstLine="709"/>
        <w:jc w:val="both"/>
        <w:rPr>
          <w:rFonts w:eastAsia="Times New Roman" w:cs="Times New Roman"/>
          <w:szCs w:val="28"/>
          <w:lang w:eastAsia="ru-RU"/>
        </w:rPr>
      </w:pPr>
      <w:r w:rsidRPr="00786911">
        <w:rPr>
          <w:rFonts w:eastAsia="Times New Roman" w:cs="Times New Roman"/>
          <w:szCs w:val="28"/>
          <w:lang w:eastAsia="ru-RU"/>
        </w:rPr>
        <w:t>Для выработки единого подхода организована работа по урегулированию разногласий с участник</w:t>
      </w:r>
      <w:r w:rsidR="00786911" w:rsidRPr="00786911">
        <w:rPr>
          <w:rFonts w:eastAsia="Times New Roman" w:cs="Times New Roman"/>
          <w:szCs w:val="28"/>
          <w:lang w:eastAsia="ru-RU"/>
        </w:rPr>
        <w:t>ами</w:t>
      </w:r>
      <w:r w:rsidRPr="00786911">
        <w:rPr>
          <w:rFonts w:eastAsia="Times New Roman" w:cs="Times New Roman"/>
          <w:szCs w:val="28"/>
          <w:lang w:eastAsia="ru-RU"/>
        </w:rPr>
        <w:t xml:space="preserve"> публичных консультаций</w:t>
      </w:r>
      <w:r w:rsidR="00786911" w:rsidRPr="00786911">
        <w:rPr>
          <w:rFonts w:eastAsia="Times New Roman" w:cs="Times New Roman"/>
          <w:szCs w:val="28"/>
          <w:lang w:eastAsia="ru-RU"/>
        </w:rPr>
        <w:t xml:space="preserve">: </w:t>
      </w:r>
      <w:r w:rsidR="00786911" w:rsidRPr="00786911">
        <w:rPr>
          <w:rFonts w:eastAsia="Times New Roman" w:cs="Times New Roman"/>
          <w:szCs w:val="28"/>
          <w:lang w:eastAsia="ru-RU"/>
        </w:rPr>
        <w:t>Уполномоченны</w:t>
      </w:r>
      <w:r w:rsidR="00786911" w:rsidRPr="00786911">
        <w:rPr>
          <w:rFonts w:eastAsia="Times New Roman" w:cs="Times New Roman"/>
          <w:szCs w:val="28"/>
          <w:lang w:eastAsia="ru-RU"/>
        </w:rPr>
        <w:t>м</w:t>
      </w:r>
      <w:r w:rsidR="00786911" w:rsidRPr="00786911">
        <w:rPr>
          <w:rFonts w:eastAsia="Times New Roman" w:cs="Times New Roman"/>
          <w:szCs w:val="28"/>
          <w:lang w:eastAsia="ru-RU"/>
        </w:rPr>
        <w:t xml:space="preserve"> по защите прав предпринимателей в Ханты-Мансийском автономном округе</w:t>
      </w:r>
      <w:r w:rsidR="00786911" w:rsidRPr="00786911">
        <w:rPr>
          <w:rFonts w:eastAsia="Times New Roman" w:cs="Times New Roman"/>
          <w:szCs w:val="28"/>
          <w:lang w:eastAsia="ru-RU"/>
        </w:rPr>
        <w:t xml:space="preserve"> – Югре </w:t>
      </w:r>
      <w:r w:rsidRPr="00786911">
        <w:rPr>
          <w:rFonts w:eastAsia="Times New Roman" w:cs="Times New Roman"/>
          <w:szCs w:val="28"/>
          <w:lang w:eastAsia="ru-RU"/>
        </w:rPr>
        <w:t xml:space="preserve">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w:t>
      </w:r>
      <w:r w:rsidR="00786911" w:rsidRPr="00786911">
        <w:rPr>
          <w:rFonts w:eastAsia="Times New Roman" w:cs="Times New Roman"/>
          <w:szCs w:val="28"/>
          <w:lang w:eastAsia="ru-RU"/>
        </w:rPr>
        <w:t>3</w:t>
      </w:r>
      <w:r w:rsidRPr="00786911">
        <w:rPr>
          <w:rFonts w:eastAsia="Times New Roman" w:cs="Times New Roman"/>
          <w:szCs w:val="28"/>
          <w:lang w:eastAsia="ru-RU"/>
        </w:rPr>
        <w:t xml:space="preserve"> замечани</w:t>
      </w:r>
      <w:r w:rsidR="00786911" w:rsidRPr="00786911">
        <w:rPr>
          <w:rFonts w:eastAsia="Times New Roman" w:cs="Times New Roman"/>
          <w:szCs w:val="28"/>
          <w:lang w:eastAsia="ru-RU"/>
        </w:rPr>
        <w:t>я</w:t>
      </w:r>
      <w:r w:rsidRPr="00786911">
        <w:rPr>
          <w:rFonts w:eastAsia="Times New Roman" w:cs="Times New Roman"/>
          <w:szCs w:val="28"/>
          <w:lang w:eastAsia="ru-RU"/>
        </w:rPr>
        <w:t xml:space="preserve"> (предложени</w:t>
      </w:r>
      <w:r w:rsidR="00786911" w:rsidRPr="00786911">
        <w:rPr>
          <w:rFonts w:eastAsia="Times New Roman" w:cs="Times New Roman"/>
          <w:szCs w:val="28"/>
          <w:lang w:eastAsia="ru-RU"/>
        </w:rPr>
        <w:t>я</w:t>
      </w:r>
      <w:r w:rsidRPr="00786911">
        <w:rPr>
          <w:rFonts w:eastAsia="Times New Roman" w:cs="Times New Roman"/>
          <w:szCs w:val="28"/>
          <w:lang w:eastAsia="ru-RU"/>
        </w:rPr>
        <w:t xml:space="preserve">) </w:t>
      </w:r>
      <w:r w:rsidR="00786911" w:rsidRPr="00786911">
        <w:rPr>
          <w:rFonts w:eastAsia="Times New Roman" w:cs="Times New Roman"/>
          <w:szCs w:val="28"/>
          <w:lang w:eastAsia="ru-RU"/>
        </w:rPr>
        <w:t>отклонены</w:t>
      </w:r>
      <w:r w:rsidRPr="00786911">
        <w:rPr>
          <w:rFonts w:eastAsia="Times New Roman" w:cs="Times New Roman"/>
          <w:szCs w:val="28"/>
          <w:lang w:eastAsia="ru-RU"/>
        </w:rPr>
        <w:t xml:space="preserve"> (протокол № </w:t>
      </w:r>
      <w:r w:rsidR="00786911" w:rsidRPr="00786911">
        <w:rPr>
          <w:rFonts w:eastAsia="Times New Roman" w:cs="Times New Roman"/>
          <w:szCs w:val="28"/>
          <w:lang w:eastAsia="ru-RU"/>
        </w:rPr>
        <w:t>от 26.07.2021 № 1)</w:t>
      </w:r>
      <w:r w:rsidRPr="00786911">
        <w:rPr>
          <w:rFonts w:eastAsia="Times New Roman" w:cs="Times New Roman"/>
          <w:szCs w:val="28"/>
          <w:lang w:eastAsia="ru-RU"/>
        </w:rPr>
        <w:t xml:space="preserve">. </w:t>
      </w:r>
    </w:p>
    <w:p w14:paraId="2837B85F" w14:textId="01AB51A9" w:rsidR="00EB0176" w:rsidRPr="00786911" w:rsidRDefault="00EB0176" w:rsidP="00EB0176">
      <w:pPr>
        <w:tabs>
          <w:tab w:val="center" w:pos="8505"/>
          <w:tab w:val="right" w:pos="9923"/>
        </w:tabs>
        <w:autoSpaceDE w:val="0"/>
        <w:autoSpaceDN w:val="0"/>
        <w:ind w:firstLine="567"/>
        <w:jc w:val="both"/>
        <w:rPr>
          <w:rFonts w:eastAsia="Times New Roman" w:cs="Times New Roman"/>
          <w:szCs w:val="28"/>
          <w:lang w:eastAsia="ru-RU"/>
        </w:rPr>
      </w:pPr>
      <w:r w:rsidRPr="00786911">
        <w:rPr>
          <w:rFonts w:eastAsia="Times New Roman" w:cs="Times New Roman"/>
          <w:szCs w:val="28"/>
          <w:lang w:eastAsia="ru-RU"/>
        </w:rPr>
        <w:t xml:space="preserve">В связи с получением информации от участника публичных консультаций                           </w:t>
      </w:r>
      <w:r w:rsidR="00786911" w:rsidRPr="00786911">
        <w:rPr>
          <w:rFonts w:eastAsia="Times New Roman" w:cs="Times New Roman"/>
          <w:szCs w:val="28"/>
          <w:lang w:eastAsia="ru-RU"/>
        </w:rPr>
        <w:t>ООО Мясокомбинат «Сургутский»</w:t>
      </w:r>
      <w:r w:rsidRPr="00786911">
        <w:rPr>
          <w:rFonts w:eastAsia="Times New Roman" w:cs="Times New Roman"/>
          <w:szCs w:val="28"/>
          <w:lang w:eastAsia="ru-RU"/>
        </w:rPr>
        <w:t xml:space="preserve"> об обоснованности позиции разработчика </w:t>
      </w:r>
      <w:r w:rsidR="00786911">
        <w:rPr>
          <w:rFonts w:eastAsia="Times New Roman" w:cs="Times New Roman"/>
          <w:szCs w:val="28"/>
          <w:lang w:eastAsia="ru-RU"/>
        </w:rPr>
        <w:t xml:space="preserve">                          </w:t>
      </w:r>
      <w:r w:rsidRPr="00786911">
        <w:rPr>
          <w:rFonts w:eastAsia="Times New Roman" w:cs="Times New Roman"/>
          <w:szCs w:val="28"/>
          <w:lang w:eastAsia="ru-RU"/>
        </w:rPr>
        <w:lastRenderedPageBreak/>
        <w:t xml:space="preserve">и снятии замечаний и (или) предложений протокол урегулирования разногласий </w:t>
      </w:r>
      <w:r w:rsidR="00786911">
        <w:rPr>
          <w:rFonts w:eastAsia="Times New Roman" w:cs="Times New Roman"/>
          <w:szCs w:val="28"/>
          <w:lang w:eastAsia="ru-RU"/>
        </w:rPr>
        <w:t xml:space="preserve">                 </w:t>
      </w:r>
      <w:bookmarkStart w:id="3" w:name="_GoBack"/>
      <w:bookmarkEnd w:id="3"/>
      <w:r w:rsidRPr="00786911">
        <w:rPr>
          <w:rFonts w:eastAsia="Times New Roman" w:cs="Times New Roman"/>
          <w:szCs w:val="28"/>
          <w:lang w:eastAsia="ru-RU"/>
        </w:rPr>
        <w:t>не оформлялся</w:t>
      </w:r>
      <w:r w:rsidR="00786911" w:rsidRPr="00786911">
        <w:rPr>
          <w:rFonts w:eastAsia="Times New Roman" w:cs="Times New Roman"/>
          <w:szCs w:val="28"/>
          <w:lang w:eastAsia="ru-RU"/>
        </w:rPr>
        <w:t xml:space="preserve"> (письмо от 21.07.2021 № 182)</w:t>
      </w:r>
      <w:r w:rsidRPr="00786911">
        <w:rPr>
          <w:rFonts w:eastAsia="Times New Roman" w:cs="Times New Roman"/>
          <w:szCs w:val="28"/>
          <w:lang w:eastAsia="ru-RU"/>
        </w:rPr>
        <w:t xml:space="preserve">.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3E5CAEBB" w14:textId="77777777" w:rsidR="004E29F1" w:rsidRDefault="004E29F1" w:rsidP="00B63D98">
      <w:pPr>
        <w:ind w:firstLine="709"/>
        <w:jc w:val="both"/>
        <w:rPr>
          <w:rFonts w:eastAsia="Times New Roman" w:cs="Times New Roman"/>
          <w:szCs w:val="28"/>
          <w:lang w:eastAsia="ru-RU"/>
        </w:rPr>
      </w:pPr>
    </w:p>
    <w:p w14:paraId="7C62A4B3" w14:textId="6858372D" w:rsidR="00596C8B" w:rsidRPr="00AE555D" w:rsidRDefault="00B63D98" w:rsidP="00B63D98">
      <w:pPr>
        <w:ind w:firstLine="709"/>
        <w:jc w:val="both"/>
        <w:rPr>
          <w:rFonts w:eastAsia="Times New Roman" w:cs="Times New Roman"/>
          <w:szCs w:val="28"/>
          <w:lang w:eastAsia="ru-RU"/>
        </w:rPr>
      </w:pPr>
      <w:r w:rsidRPr="00AE555D">
        <w:rPr>
          <w:rFonts w:eastAsia="Times New Roman" w:cs="Times New Roman"/>
          <w:szCs w:val="28"/>
          <w:lang w:eastAsia="ru-RU"/>
        </w:rPr>
        <w:t xml:space="preserve">1. </w:t>
      </w:r>
      <w:r w:rsidR="00816DE4" w:rsidRPr="00AE555D">
        <w:rPr>
          <w:rFonts w:eastAsia="Times New Roman" w:cs="Times New Roman"/>
          <w:szCs w:val="28"/>
          <w:lang w:eastAsia="ru-RU"/>
        </w:rPr>
        <w:t xml:space="preserve">Процедуры ОРВ, предусмотренные порядком </w:t>
      </w:r>
      <w:r w:rsidR="00816DE4" w:rsidRPr="00AE555D">
        <w:rPr>
          <w:rFonts w:eastAsia="Times New Roman" w:cs="Times New Roman"/>
          <w:szCs w:val="28"/>
          <w:u w:val="single"/>
          <w:lang w:eastAsia="ru-RU"/>
        </w:rPr>
        <w:t>соблюдены</w:t>
      </w:r>
      <w:r w:rsidR="00596C8B" w:rsidRPr="00AE555D">
        <w:rPr>
          <w:rFonts w:eastAsia="Times New Roman" w:cs="Times New Roman"/>
          <w:szCs w:val="28"/>
          <w:lang w:eastAsia="ru-RU"/>
        </w:rPr>
        <w:t>.</w:t>
      </w: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74E494A5" w:rsidR="00816DE4"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F76D53">
        <w:rPr>
          <w:rFonts w:eastAsia="Times New Roman" w:cs="Arial"/>
          <w:szCs w:val="28"/>
          <w:u w:val="single"/>
          <w:lang w:eastAsia="ru-RU"/>
        </w:rPr>
        <w:t>соответствует</w:t>
      </w:r>
      <w:r w:rsidR="00B50E62" w:rsidRPr="00EF7D0B">
        <w:rPr>
          <w:rFonts w:eastAsia="Times New Roman" w:cs="Arial"/>
          <w:color w:val="FF0000"/>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67F55375" w14:textId="28F8D421" w:rsidR="00816DE4" w:rsidRPr="00A6597D" w:rsidRDefault="00816DE4" w:rsidP="00F14241">
      <w:pPr>
        <w:ind w:firstLine="709"/>
        <w:jc w:val="both"/>
        <w:rPr>
          <w:rFonts w:eastAsia="Times New Roman" w:cs="Arial"/>
          <w:szCs w:val="28"/>
          <w:u w:val="single"/>
          <w:lang w:eastAsia="ru-RU"/>
        </w:rPr>
      </w:pPr>
      <w:r w:rsidRPr="00A6597D">
        <w:rPr>
          <w:rFonts w:eastAsia="Times New Roman" w:cs="Arial"/>
          <w:szCs w:val="28"/>
          <w:lang w:eastAsia="ru-RU"/>
        </w:rPr>
        <w:t xml:space="preserve">2.2. Информация, содержащаяся в отчете об ОРВ, </w:t>
      </w:r>
      <w:r w:rsidRPr="00C76492">
        <w:rPr>
          <w:rFonts w:eastAsia="Times New Roman" w:cs="Arial"/>
          <w:szCs w:val="28"/>
          <w:u w:val="single"/>
          <w:lang w:eastAsia="ru-RU"/>
        </w:rPr>
        <w:t>достаточна</w:t>
      </w:r>
      <w:r w:rsidR="00B50E62" w:rsidRPr="00C76492">
        <w:rPr>
          <w:rFonts w:eastAsia="Times New Roman" w:cs="Arial"/>
          <w:szCs w:val="28"/>
          <w:u w:val="single"/>
          <w:lang w:eastAsia="ru-RU"/>
        </w:rPr>
        <w:t>.</w:t>
      </w:r>
    </w:p>
    <w:p w14:paraId="75268BC2" w14:textId="6DE9D774"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5C14BC82" w14:textId="27732860" w:rsidR="00FB4286"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00910355" w:rsidRPr="00910355">
        <w:rPr>
          <w:rFonts w:eastAsia="Times New Roman" w:cs="Times New Roman"/>
          <w:szCs w:val="28"/>
          <w:u w:val="single"/>
          <w:lang w:eastAsia="ru-RU"/>
        </w:rPr>
        <w:t xml:space="preserve">не </w:t>
      </w:r>
      <w:r w:rsidRPr="00910355">
        <w:rPr>
          <w:rFonts w:eastAsia="Times New Roman" w:cs="Times New Roman"/>
          <w:szCs w:val="28"/>
          <w:u w:val="single"/>
          <w:lang w:eastAsia="ru-RU"/>
        </w:rPr>
        <w:t>в</w:t>
      </w:r>
      <w:r w:rsidRPr="004E5563">
        <w:rPr>
          <w:rFonts w:eastAsia="Times New Roman" w:cs="Times New Roman"/>
          <w:szCs w:val="28"/>
          <w:u w:val="single"/>
          <w:lang w:eastAsia="ru-RU"/>
        </w:rPr>
        <w:t>ыявлены положения</w:t>
      </w:r>
      <w:r w:rsidRPr="004E5563">
        <w:rPr>
          <w:rFonts w:eastAsia="Times New Roman" w:cs="Times New Roman"/>
          <w:szCs w:val="28"/>
          <w:lang w:eastAsia="ru-RU"/>
        </w:rPr>
        <w:t>,</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74A85BAE" w14:textId="77777777" w:rsidR="00B811A0" w:rsidRDefault="00B811A0" w:rsidP="00670775">
      <w:pPr>
        <w:jc w:val="both"/>
        <w:rPr>
          <w:rFonts w:eastAsia="Times New Roman" w:cs="Times New Roman"/>
          <w:szCs w:val="28"/>
          <w:u w:val="single"/>
          <w:lang w:eastAsia="ru-RU"/>
        </w:rPr>
      </w:pPr>
    </w:p>
    <w:p w14:paraId="76D4543E" w14:textId="1B49AE17" w:rsidR="00670775" w:rsidRDefault="00670775" w:rsidP="00670775">
      <w:pPr>
        <w:jc w:val="both"/>
        <w:rPr>
          <w:rFonts w:eastAsia="Times New Roman" w:cs="Times New Roman"/>
          <w:szCs w:val="28"/>
          <w:lang w:eastAsia="ru-RU"/>
        </w:rPr>
      </w:pPr>
      <w:r>
        <w:rPr>
          <w:rFonts w:eastAsia="Times New Roman" w:cs="Times New Roman"/>
          <w:szCs w:val="28"/>
          <w:u w:val="single"/>
          <w:lang w:eastAsia="ru-RU"/>
        </w:rPr>
        <w:t>Предлагается:</w:t>
      </w:r>
      <w:r>
        <w:rPr>
          <w:rFonts w:eastAsia="Times New Roman" w:cs="Times New Roman"/>
          <w:szCs w:val="28"/>
          <w:lang w:eastAsia="ru-RU"/>
        </w:rPr>
        <w:t xml:space="preserve"> утвердить проект правового акта в представленной редакции.</w:t>
      </w:r>
    </w:p>
    <w:p w14:paraId="713A9A3C" w14:textId="77777777" w:rsidR="00C76492" w:rsidRDefault="00C76492" w:rsidP="00C76492">
      <w:pPr>
        <w:jc w:val="both"/>
        <w:rPr>
          <w:rFonts w:eastAsia="Times New Roman" w:cs="Times New Roman"/>
          <w:szCs w:val="28"/>
          <w:lang w:eastAsia="ru-RU"/>
        </w:rPr>
      </w:pPr>
    </w:p>
    <w:p w14:paraId="4DDA1976" w14:textId="77777777" w:rsidR="00204020" w:rsidRPr="00204020" w:rsidRDefault="00204020" w:rsidP="00204020">
      <w:pPr>
        <w:rPr>
          <w:rFonts w:ascii="&amp;quot" w:hAnsi="&amp;quot"/>
          <w:caps/>
          <w:color w:val="0076B3"/>
          <w:szCs w:val="28"/>
        </w:rPr>
      </w:pPr>
    </w:p>
    <w:p w14:paraId="7ECC5B89" w14:textId="1C7D4654" w:rsidR="00641B69" w:rsidRPr="00A6597D" w:rsidRDefault="00786911" w:rsidP="00204020">
      <w:pPr>
        <w:rPr>
          <w:rFonts w:eastAsia="Times New Roman" w:cs="Times New Roman"/>
          <w:szCs w:val="28"/>
          <w:lang w:eastAsia="ru-RU"/>
        </w:rPr>
      </w:pPr>
      <w:r>
        <w:rPr>
          <w:rFonts w:eastAsia="Times New Roman" w:cs="Times New Roman"/>
          <w:szCs w:val="28"/>
          <w:lang w:eastAsia="ru-RU"/>
        </w:rPr>
        <w:t>И.о. н</w:t>
      </w:r>
      <w:r w:rsidR="00641B69" w:rsidRPr="00A6597D">
        <w:rPr>
          <w:rFonts w:eastAsia="Times New Roman" w:cs="Times New Roman"/>
          <w:szCs w:val="28"/>
          <w:lang w:eastAsia="ru-RU"/>
        </w:rPr>
        <w:t>ачальник</w:t>
      </w:r>
      <w:r>
        <w:rPr>
          <w:rFonts w:eastAsia="Times New Roman" w:cs="Times New Roman"/>
          <w:szCs w:val="28"/>
          <w:lang w:eastAsia="ru-RU"/>
        </w:rPr>
        <w:t>а</w:t>
      </w:r>
      <w:r w:rsidR="00641B69" w:rsidRPr="00A6597D">
        <w:rPr>
          <w:rFonts w:eastAsia="Times New Roman" w:cs="Times New Roman"/>
          <w:szCs w:val="28"/>
          <w:lang w:eastAsia="ru-RU"/>
        </w:rPr>
        <w:t xml:space="preserve"> управления </w:t>
      </w:r>
      <w:r w:rsidR="003B43A5" w:rsidRPr="00A6597D">
        <w:rPr>
          <w:rFonts w:eastAsia="Times New Roman" w:cs="Times New Roman"/>
          <w:szCs w:val="28"/>
          <w:lang w:eastAsia="ru-RU"/>
        </w:rPr>
        <w:t>инвестиций</w:t>
      </w:r>
      <w:r w:rsidR="00A813BF">
        <w:rPr>
          <w:rFonts w:eastAsia="Times New Roman" w:cs="Times New Roman"/>
          <w:szCs w:val="28"/>
          <w:lang w:eastAsia="ru-RU"/>
        </w:rPr>
        <w:t>,</w:t>
      </w:r>
    </w:p>
    <w:p w14:paraId="00E09C39" w14:textId="703AA2AE" w:rsidR="00816DE4" w:rsidRPr="00786911" w:rsidRDefault="003B43A5" w:rsidP="00816DE4">
      <w:pPr>
        <w:jc w:val="both"/>
        <w:rPr>
          <w:rFonts w:eastAsia="Times New Roman" w:cs="Times New Roman"/>
          <w:szCs w:val="28"/>
          <w:lang w:eastAsia="ru-RU"/>
        </w:rPr>
      </w:pPr>
      <w:r w:rsidRPr="00786911">
        <w:rPr>
          <w:rFonts w:eastAsia="Times New Roman" w:cs="Times New Roman"/>
          <w:szCs w:val="28"/>
          <w:lang w:eastAsia="ru-RU"/>
        </w:rPr>
        <w:t>развития предпринимательства</w:t>
      </w:r>
      <w:r w:rsidR="00816DE4" w:rsidRPr="00786911">
        <w:rPr>
          <w:rFonts w:eastAsia="Times New Roman" w:cs="Times New Roman"/>
          <w:szCs w:val="28"/>
          <w:lang w:eastAsia="ru-RU"/>
        </w:rPr>
        <w:t xml:space="preserve"> </w:t>
      </w:r>
      <w:r w:rsidR="00A813BF" w:rsidRPr="00786911">
        <w:rPr>
          <w:rFonts w:eastAsia="Times New Roman" w:cs="Times New Roman"/>
          <w:szCs w:val="28"/>
          <w:lang w:eastAsia="ru-RU"/>
        </w:rPr>
        <w:t>и туризма</w:t>
      </w:r>
      <w:r w:rsidR="00816DE4"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A813BF" w:rsidRPr="00786911">
        <w:rPr>
          <w:rFonts w:eastAsia="Times New Roman" w:cs="Times New Roman"/>
          <w:szCs w:val="28"/>
          <w:lang w:eastAsia="ru-RU"/>
        </w:rPr>
        <w:t xml:space="preserve">        </w:t>
      </w:r>
      <w:r w:rsidR="00F14241" w:rsidRPr="00786911">
        <w:rPr>
          <w:rFonts w:eastAsia="Times New Roman" w:cs="Times New Roman"/>
          <w:szCs w:val="28"/>
          <w:lang w:eastAsia="ru-RU"/>
        </w:rPr>
        <w:t xml:space="preserve">          </w:t>
      </w:r>
      <w:r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977190"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696350" w:rsidRPr="00786911">
        <w:rPr>
          <w:rFonts w:eastAsia="Times New Roman" w:cs="Times New Roman"/>
          <w:szCs w:val="28"/>
          <w:lang w:eastAsia="ru-RU"/>
        </w:rPr>
        <w:t xml:space="preserve">  </w:t>
      </w:r>
      <w:r w:rsidR="00641B69" w:rsidRPr="00786911">
        <w:rPr>
          <w:rFonts w:eastAsia="Times New Roman" w:cs="Times New Roman"/>
          <w:szCs w:val="28"/>
          <w:lang w:eastAsia="ru-RU"/>
        </w:rPr>
        <w:t xml:space="preserve">      </w:t>
      </w:r>
      <w:r w:rsidR="00786911">
        <w:rPr>
          <w:rFonts w:eastAsia="Times New Roman" w:cs="Times New Roman"/>
          <w:szCs w:val="28"/>
          <w:lang w:eastAsia="ru-RU"/>
        </w:rPr>
        <w:t>Е.Л. Яцутко</w:t>
      </w:r>
    </w:p>
    <w:p w14:paraId="43D5D727" w14:textId="77777777" w:rsidR="00816DE4" w:rsidRPr="00786911" w:rsidRDefault="00816DE4" w:rsidP="00816DE4">
      <w:pPr>
        <w:jc w:val="both"/>
        <w:rPr>
          <w:rFonts w:eastAsia="Times New Roman" w:cs="Times New Roman"/>
          <w:color w:val="FF0000"/>
          <w:szCs w:val="28"/>
          <w:lang w:eastAsia="ru-RU"/>
        </w:rPr>
      </w:pPr>
    </w:p>
    <w:p w14:paraId="2BA8F1B4" w14:textId="28D97742" w:rsidR="00090FDE" w:rsidRPr="00DD3760" w:rsidRDefault="00816DE4" w:rsidP="00816DE4">
      <w:pPr>
        <w:jc w:val="both"/>
        <w:rPr>
          <w:rFonts w:eastAsia="Times New Roman" w:cs="Times New Roman"/>
          <w:sz w:val="20"/>
          <w:szCs w:val="20"/>
          <w:lang w:eastAsia="ru-RU"/>
        </w:rPr>
      </w:pPr>
      <w:r w:rsidRPr="00786911">
        <w:rPr>
          <w:rFonts w:eastAsia="Times New Roman" w:cs="Times New Roman"/>
          <w:szCs w:val="28"/>
          <w:lang w:eastAsia="ru-RU"/>
        </w:rPr>
        <w:t>«</w:t>
      </w:r>
      <w:r w:rsidR="00786911" w:rsidRPr="00786911">
        <w:rPr>
          <w:rFonts w:eastAsia="Times New Roman" w:cs="Times New Roman"/>
          <w:szCs w:val="28"/>
          <w:lang w:eastAsia="ru-RU"/>
        </w:rPr>
        <w:t>16</w:t>
      </w:r>
      <w:r w:rsidRPr="00786911">
        <w:rPr>
          <w:rFonts w:eastAsia="Times New Roman" w:cs="Times New Roman"/>
          <w:szCs w:val="28"/>
          <w:lang w:eastAsia="ru-RU"/>
        </w:rPr>
        <w:t>»</w:t>
      </w:r>
      <w:r w:rsidR="00A21AB1" w:rsidRPr="00786911">
        <w:rPr>
          <w:rFonts w:eastAsia="Times New Roman" w:cs="Times New Roman"/>
          <w:szCs w:val="28"/>
          <w:u w:val="single"/>
          <w:lang w:eastAsia="ru-RU"/>
        </w:rPr>
        <w:t xml:space="preserve"> </w:t>
      </w:r>
      <w:r w:rsidR="00786911" w:rsidRPr="00786911">
        <w:rPr>
          <w:rFonts w:eastAsia="Times New Roman" w:cs="Times New Roman"/>
          <w:szCs w:val="28"/>
          <w:u w:val="single"/>
          <w:lang w:eastAsia="ru-RU"/>
        </w:rPr>
        <w:t>августа</w:t>
      </w:r>
      <w:r w:rsidR="00A21AB1" w:rsidRPr="00786911">
        <w:rPr>
          <w:rFonts w:eastAsia="Times New Roman" w:cs="Times New Roman"/>
          <w:szCs w:val="28"/>
          <w:lang w:eastAsia="ru-RU"/>
        </w:rPr>
        <w:t xml:space="preserve"> </w:t>
      </w:r>
      <w:r w:rsidR="00641B69" w:rsidRPr="00786911">
        <w:rPr>
          <w:rFonts w:eastAsia="Times New Roman" w:cs="Times New Roman"/>
          <w:szCs w:val="28"/>
          <w:lang w:eastAsia="ru-RU"/>
        </w:rPr>
        <w:t>20</w:t>
      </w:r>
      <w:r w:rsidR="00B1029A" w:rsidRPr="00786911">
        <w:rPr>
          <w:rFonts w:eastAsia="Times New Roman" w:cs="Times New Roman"/>
          <w:szCs w:val="28"/>
          <w:lang w:eastAsia="ru-RU"/>
        </w:rPr>
        <w:t>2</w:t>
      </w:r>
      <w:r w:rsidR="009C1AE8" w:rsidRPr="00786911">
        <w:rPr>
          <w:rFonts w:eastAsia="Times New Roman" w:cs="Times New Roman"/>
          <w:szCs w:val="28"/>
          <w:lang w:eastAsia="ru-RU"/>
        </w:rPr>
        <w:t>1</w:t>
      </w:r>
      <w:r w:rsidR="0005708C" w:rsidRPr="00786911">
        <w:rPr>
          <w:rFonts w:eastAsia="Times New Roman" w:cs="Times New Roman"/>
          <w:szCs w:val="28"/>
          <w:lang w:eastAsia="ru-RU"/>
        </w:rPr>
        <w:t xml:space="preserve"> </w:t>
      </w:r>
      <w:r w:rsidR="00641B69" w:rsidRPr="00786911">
        <w:rPr>
          <w:rFonts w:eastAsia="Times New Roman" w:cs="Times New Roman"/>
          <w:szCs w:val="28"/>
          <w:lang w:eastAsia="ru-RU"/>
        </w:rPr>
        <w:t>г.</w:t>
      </w:r>
      <w:bookmarkEnd w:id="0"/>
      <w:bookmarkEnd w:id="1"/>
    </w:p>
    <w:p w14:paraId="323AEB90" w14:textId="77777777" w:rsidR="00090FDE" w:rsidRDefault="00090FDE" w:rsidP="00816DE4">
      <w:pPr>
        <w:jc w:val="both"/>
        <w:rPr>
          <w:rFonts w:eastAsia="Times New Roman" w:cs="Times New Roman"/>
          <w:sz w:val="20"/>
          <w:szCs w:val="20"/>
          <w:lang w:eastAsia="ru-RU"/>
        </w:rPr>
      </w:pPr>
    </w:p>
    <w:p w14:paraId="10D9212E" w14:textId="77777777" w:rsidR="00121E89" w:rsidRDefault="00121E89" w:rsidP="00816DE4">
      <w:pPr>
        <w:jc w:val="both"/>
        <w:rPr>
          <w:rFonts w:eastAsia="Times New Roman" w:cs="Times New Roman"/>
          <w:sz w:val="20"/>
          <w:szCs w:val="20"/>
          <w:lang w:eastAsia="ru-RU"/>
        </w:rPr>
      </w:pPr>
    </w:p>
    <w:p w14:paraId="1982F8FC" w14:textId="1CCEE9C1" w:rsidR="00F16701" w:rsidRDefault="00F16701" w:rsidP="00816DE4">
      <w:pPr>
        <w:jc w:val="both"/>
        <w:rPr>
          <w:rFonts w:eastAsia="Times New Roman" w:cs="Times New Roman"/>
          <w:sz w:val="20"/>
          <w:szCs w:val="20"/>
          <w:lang w:eastAsia="ru-RU"/>
        </w:rPr>
      </w:pPr>
    </w:p>
    <w:p w14:paraId="48EA3FA5" w14:textId="5D986F10" w:rsidR="006A329F" w:rsidRDefault="006A329F" w:rsidP="00816DE4">
      <w:pPr>
        <w:jc w:val="both"/>
        <w:rPr>
          <w:rFonts w:eastAsia="Times New Roman" w:cs="Times New Roman"/>
          <w:sz w:val="20"/>
          <w:szCs w:val="20"/>
          <w:lang w:eastAsia="ru-RU"/>
        </w:rPr>
      </w:pPr>
    </w:p>
    <w:p w14:paraId="3BE995A6" w14:textId="0B1EDD2C" w:rsidR="006A329F" w:rsidRDefault="006A329F" w:rsidP="00816DE4">
      <w:pPr>
        <w:jc w:val="both"/>
        <w:rPr>
          <w:rFonts w:eastAsia="Times New Roman" w:cs="Times New Roman"/>
          <w:sz w:val="20"/>
          <w:szCs w:val="20"/>
          <w:lang w:eastAsia="ru-RU"/>
        </w:rPr>
      </w:pPr>
    </w:p>
    <w:p w14:paraId="3A17889F" w14:textId="33E118F9" w:rsidR="006A329F" w:rsidRDefault="006A329F" w:rsidP="00816DE4">
      <w:pPr>
        <w:jc w:val="both"/>
        <w:rPr>
          <w:rFonts w:eastAsia="Times New Roman" w:cs="Times New Roman"/>
          <w:sz w:val="20"/>
          <w:szCs w:val="20"/>
          <w:lang w:eastAsia="ru-RU"/>
        </w:rPr>
      </w:pPr>
    </w:p>
    <w:p w14:paraId="5D87E0CC" w14:textId="40C7D1DE" w:rsidR="006A329F" w:rsidRDefault="006A329F" w:rsidP="00816DE4">
      <w:pPr>
        <w:jc w:val="both"/>
        <w:rPr>
          <w:rFonts w:eastAsia="Times New Roman" w:cs="Times New Roman"/>
          <w:sz w:val="20"/>
          <w:szCs w:val="20"/>
          <w:lang w:eastAsia="ru-RU"/>
        </w:rPr>
      </w:pPr>
    </w:p>
    <w:p w14:paraId="4CCB10BB" w14:textId="254DC308" w:rsidR="006A329F" w:rsidRDefault="006A329F" w:rsidP="00816DE4">
      <w:pPr>
        <w:jc w:val="both"/>
        <w:rPr>
          <w:rFonts w:eastAsia="Times New Roman" w:cs="Times New Roman"/>
          <w:sz w:val="20"/>
          <w:szCs w:val="20"/>
          <w:lang w:eastAsia="ru-RU"/>
        </w:rPr>
      </w:pPr>
    </w:p>
    <w:p w14:paraId="333FCF5E" w14:textId="32030B3D" w:rsidR="006A329F" w:rsidRDefault="006A329F" w:rsidP="00816DE4">
      <w:pPr>
        <w:jc w:val="both"/>
        <w:rPr>
          <w:rFonts w:eastAsia="Times New Roman" w:cs="Times New Roman"/>
          <w:sz w:val="20"/>
          <w:szCs w:val="20"/>
          <w:lang w:eastAsia="ru-RU"/>
        </w:rPr>
      </w:pPr>
    </w:p>
    <w:p w14:paraId="39D2DE94" w14:textId="69B1AF2D" w:rsidR="006A329F" w:rsidRDefault="006A329F" w:rsidP="00816DE4">
      <w:pPr>
        <w:jc w:val="both"/>
        <w:rPr>
          <w:rFonts w:eastAsia="Times New Roman" w:cs="Times New Roman"/>
          <w:sz w:val="20"/>
          <w:szCs w:val="20"/>
          <w:lang w:eastAsia="ru-RU"/>
        </w:rPr>
      </w:pPr>
    </w:p>
    <w:p w14:paraId="012FC0AF" w14:textId="1FFFA9E8" w:rsidR="00BB71DB" w:rsidRDefault="00BB71DB" w:rsidP="00816DE4">
      <w:pPr>
        <w:jc w:val="both"/>
        <w:rPr>
          <w:rFonts w:eastAsia="Times New Roman" w:cs="Times New Roman"/>
          <w:sz w:val="20"/>
          <w:szCs w:val="20"/>
          <w:lang w:eastAsia="ru-RU"/>
        </w:rPr>
      </w:pPr>
    </w:p>
    <w:p w14:paraId="2E25E2D4" w14:textId="77777777" w:rsidR="00BB71DB" w:rsidRDefault="00BB71DB" w:rsidP="00816DE4">
      <w:pPr>
        <w:jc w:val="both"/>
        <w:rPr>
          <w:rFonts w:eastAsia="Times New Roman" w:cs="Times New Roman"/>
          <w:sz w:val="20"/>
          <w:szCs w:val="20"/>
          <w:lang w:eastAsia="ru-RU"/>
        </w:rPr>
      </w:pPr>
    </w:p>
    <w:p w14:paraId="13F49477" w14:textId="77777777" w:rsidR="00670775" w:rsidRDefault="00670775" w:rsidP="00816DE4">
      <w:pPr>
        <w:jc w:val="both"/>
        <w:rPr>
          <w:rFonts w:eastAsia="Times New Roman" w:cs="Times New Roman"/>
          <w:sz w:val="20"/>
          <w:szCs w:val="20"/>
          <w:lang w:eastAsia="ru-RU"/>
        </w:rPr>
      </w:pPr>
    </w:p>
    <w:p w14:paraId="49A074BC" w14:textId="2BAB342E" w:rsidR="00204020" w:rsidRDefault="00204020" w:rsidP="00816DE4">
      <w:pPr>
        <w:jc w:val="both"/>
        <w:rPr>
          <w:rFonts w:eastAsia="Times New Roman" w:cs="Times New Roman"/>
          <w:sz w:val="20"/>
          <w:szCs w:val="20"/>
          <w:lang w:eastAsia="ru-RU"/>
        </w:rPr>
      </w:pPr>
    </w:p>
    <w:p w14:paraId="3669998F" w14:textId="0C34DD2B" w:rsidR="00332DA3" w:rsidRDefault="00332DA3" w:rsidP="00816DE4">
      <w:pPr>
        <w:jc w:val="both"/>
        <w:rPr>
          <w:rFonts w:eastAsia="Times New Roman" w:cs="Times New Roman"/>
          <w:sz w:val="20"/>
          <w:szCs w:val="20"/>
          <w:lang w:eastAsia="ru-RU"/>
        </w:rPr>
      </w:pPr>
    </w:p>
    <w:p w14:paraId="63156268" w14:textId="77777777" w:rsidR="00332DA3" w:rsidRDefault="00332DA3" w:rsidP="00816DE4">
      <w:pPr>
        <w:jc w:val="both"/>
        <w:rPr>
          <w:rFonts w:eastAsia="Times New Roman" w:cs="Times New Roman"/>
          <w:sz w:val="20"/>
          <w:szCs w:val="20"/>
          <w:lang w:eastAsia="ru-RU"/>
        </w:rPr>
      </w:pPr>
    </w:p>
    <w:p w14:paraId="564A4BE2" w14:textId="7B4E11FD" w:rsidR="006A329F" w:rsidRDefault="006A329F" w:rsidP="00816DE4">
      <w:pPr>
        <w:jc w:val="both"/>
        <w:rPr>
          <w:rFonts w:eastAsia="Times New Roman" w:cs="Times New Roman"/>
          <w:sz w:val="20"/>
          <w:szCs w:val="20"/>
          <w:lang w:eastAsia="ru-RU"/>
        </w:rPr>
      </w:pPr>
    </w:p>
    <w:p w14:paraId="7D14FE88" w14:textId="2975AFB4" w:rsidR="006A329F" w:rsidRDefault="006A329F" w:rsidP="00816DE4">
      <w:pPr>
        <w:jc w:val="both"/>
        <w:rPr>
          <w:rFonts w:eastAsia="Times New Roman" w:cs="Times New Roman"/>
          <w:sz w:val="20"/>
          <w:szCs w:val="20"/>
          <w:lang w:eastAsia="ru-RU"/>
        </w:rPr>
      </w:pPr>
    </w:p>
    <w:p w14:paraId="22E24F74" w14:textId="5F0EDE6B" w:rsidR="006A329F" w:rsidRDefault="006A329F" w:rsidP="00816DE4">
      <w:pPr>
        <w:jc w:val="both"/>
        <w:rPr>
          <w:rFonts w:eastAsia="Times New Roman" w:cs="Times New Roman"/>
          <w:sz w:val="20"/>
          <w:szCs w:val="20"/>
          <w:lang w:eastAsia="ru-RU"/>
        </w:rPr>
      </w:pPr>
    </w:p>
    <w:p w14:paraId="5877A16F" w14:textId="0079151E" w:rsidR="006A329F" w:rsidRDefault="006A329F" w:rsidP="00816DE4">
      <w:pPr>
        <w:jc w:val="both"/>
        <w:rPr>
          <w:rFonts w:eastAsia="Times New Roman" w:cs="Times New Roman"/>
          <w:sz w:val="20"/>
          <w:szCs w:val="20"/>
          <w:lang w:eastAsia="ru-RU"/>
        </w:rPr>
      </w:pPr>
    </w:p>
    <w:p w14:paraId="402BC1B1" w14:textId="110A93CF" w:rsidR="006A329F" w:rsidRDefault="00B811A0" w:rsidP="00816DE4">
      <w:pPr>
        <w:jc w:val="both"/>
        <w:rPr>
          <w:rFonts w:eastAsia="Times New Roman" w:cs="Times New Roman"/>
          <w:sz w:val="20"/>
          <w:szCs w:val="20"/>
          <w:lang w:eastAsia="ru-RU"/>
        </w:rPr>
      </w:pPr>
      <w:r>
        <w:rPr>
          <w:rFonts w:eastAsia="Times New Roman" w:cs="Times New Roman"/>
          <w:sz w:val="20"/>
          <w:szCs w:val="20"/>
          <w:lang w:eastAsia="ru-RU"/>
        </w:rPr>
        <w:t xml:space="preserve">Бедарева Елена Юрьевна </w:t>
      </w:r>
    </w:p>
    <w:p w14:paraId="63D14553" w14:textId="46168728" w:rsidR="00B811A0" w:rsidRDefault="00B811A0" w:rsidP="00B811A0">
      <w:pPr>
        <w:jc w:val="both"/>
        <w:rPr>
          <w:rFonts w:eastAsia="Times New Roman" w:cs="Times New Roman"/>
          <w:sz w:val="20"/>
          <w:szCs w:val="20"/>
          <w:lang w:eastAsia="ru-RU"/>
        </w:rPr>
      </w:pPr>
      <w:r w:rsidRPr="005B0266">
        <w:rPr>
          <w:rFonts w:eastAsia="Times New Roman" w:cs="Times New Roman"/>
          <w:sz w:val="20"/>
          <w:szCs w:val="20"/>
          <w:lang w:eastAsia="ru-RU"/>
        </w:rPr>
        <w:t>8(3462)52-2</w:t>
      </w:r>
      <w:r>
        <w:rPr>
          <w:rFonts w:eastAsia="Times New Roman" w:cs="Times New Roman"/>
          <w:sz w:val="20"/>
          <w:szCs w:val="20"/>
          <w:lang w:eastAsia="ru-RU"/>
        </w:rPr>
        <w:t>1</w:t>
      </w:r>
      <w:r w:rsidRPr="005B0266">
        <w:rPr>
          <w:rFonts w:eastAsia="Times New Roman" w:cs="Times New Roman"/>
          <w:sz w:val="20"/>
          <w:szCs w:val="20"/>
          <w:lang w:eastAsia="ru-RU"/>
        </w:rPr>
        <w:t>-</w:t>
      </w:r>
      <w:r>
        <w:rPr>
          <w:rFonts w:eastAsia="Times New Roman" w:cs="Times New Roman"/>
          <w:sz w:val="20"/>
          <w:szCs w:val="20"/>
          <w:lang w:eastAsia="ru-RU"/>
        </w:rPr>
        <w:t>20</w:t>
      </w:r>
    </w:p>
    <w:p w14:paraId="276F8D96" w14:textId="6AA9984B"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1B277AAB"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744671">
      <w:pgSz w:w="11906" w:h="16838" w:code="9"/>
      <w:pgMar w:top="1134" w:right="567" w:bottom="992"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AE2035" w:rsidRDefault="00AE2035" w:rsidP="00920526">
      <w:r>
        <w:separator/>
      </w:r>
    </w:p>
  </w:endnote>
  <w:endnote w:type="continuationSeparator" w:id="0">
    <w:p w14:paraId="2824D58C" w14:textId="77777777" w:rsidR="00AE2035" w:rsidRDefault="00AE2035"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AE2035" w:rsidRDefault="00AE2035" w:rsidP="00920526">
      <w:r>
        <w:separator/>
      </w:r>
    </w:p>
  </w:footnote>
  <w:footnote w:type="continuationSeparator" w:id="0">
    <w:p w14:paraId="38C040B9" w14:textId="77777777" w:rsidR="00AE2035" w:rsidRDefault="00AE2035"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A64B62"/>
    <w:multiLevelType w:val="hybridMultilevel"/>
    <w:tmpl w:val="8BCC7C4C"/>
    <w:lvl w:ilvl="0" w:tplc="BFE661A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1A52BD"/>
    <w:multiLevelType w:val="hybridMultilevel"/>
    <w:tmpl w:val="A48AE3B6"/>
    <w:lvl w:ilvl="0" w:tplc="34AE8840">
      <w:start w:val="1"/>
      <w:numFmt w:val="decimal"/>
      <w:lvlText w:val="%1)"/>
      <w:lvlJc w:val="left"/>
      <w:pPr>
        <w:ind w:left="5322" w:hanging="360"/>
      </w:pPr>
      <w:rPr>
        <w:rFonts w:eastAsiaTheme="minorHAnsi"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6"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6"/>
  </w:num>
  <w:num w:numId="4">
    <w:abstractNumId w:val="16"/>
  </w:num>
  <w:num w:numId="5">
    <w:abstractNumId w:val="9"/>
  </w:num>
  <w:num w:numId="6">
    <w:abstractNumId w:val="21"/>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23"/>
  </w:num>
  <w:num w:numId="12">
    <w:abstractNumId w:val="22"/>
  </w:num>
  <w:num w:numId="13">
    <w:abstractNumId w:val="7"/>
  </w:num>
  <w:num w:numId="14">
    <w:abstractNumId w:val="15"/>
  </w:num>
  <w:num w:numId="15">
    <w:abstractNumId w:val="12"/>
  </w:num>
  <w:num w:numId="16">
    <w:abstractNumId w:val="20"/>
  </w:num>
  <w:num w:numId="17">
    <w:abstractNumId w:val="8"/>
  </w:num>
  <w:num w:numId="18">
    <w:abstractNumId w:val="11"/>
  </w:num>
  <w:num w:numId="19">
    <w:abstractNumId w:val="5"/>
  </w:num>
  <w:num w:numId="20">
    <w:abstractNumId w:val="1"/>
  </w:num>
  <w:num w:numId="21">
    <w:abstractNumId w:val="13"/>
  </w:num>
  <w:num w:numId="22">
    <w:abstractNumId w:val="24"/>
  </w:num>
  <w:num w:numId="23">
    <w:abstractNumId w:val="4"/>
  </w:num>
  <w:num w:numId="24">
    <w:abstractNumId w:val="3"/>
  </w:num>
  <w:num w:numId="25">
    <w:abstractNumId w:val="14"/>
  </w:num>
  <w:num w:numId="26">
    <w:abstractNumId w:val="2"/>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1936"/>
    <w:rsid w:val="00012307"/>
    <w:rsid w:val="00012370"/>
    <w:rsid w:val="00017CF5"/>
    <w:rsid w:val="0002080F"/>
    <w:rsid w:val="0002580B"/>
    <w:rsid w:val="0002757D"/>
    <w:rsid w:val="00032B5B"/>
    <w:rsid w:val="000404E3"/>
    <w:rsid w:val="000428E4"/>
    <w:rsid w:val="00043782"/>
    <w:rsid w:val="00044359"/>
    <w:rsid w:val="00045952"/>
    <w:rsid w:val="00046124"/>
    <w:rsid w:val="0004739B"/>
    <w:rsid w:val="000553A0"/>
    <w:rsid w:val="0005708C"/>
    <w:rsid w:val="00057E2E"/>
    <w:rsid w:val="000618EC"/>
    <w:rsid w:val="0007078A"/>
    <w:rsid w:val="000714ED"/>
    <w:rsid w:val="000733EA"/>
    <w:rsid w:val="00073B0D"/>
    <w:rsid w:val="00076A0A"/>
    <w:rsid w:val="00081136"/>
    <w:rsid w:val="00085C36"/>
    <w:rsid w:val="00090FDE"/>
    <w:rsid w:val="0009196F"/>
    <w:rsid w:val="00094A30"/>
    <w:rsid w:val="00097718"/>
    <w:rsid w:val="000A52E5"/>
    <w:rsid w:val="000A6FB3"/>
    <w:rsid w:val="000A7FC8"/>
    <w:rsid w:val="000B2F72"/>
    <w:rsid w:val="000B6A17"/>
    <w:rsid w:val="000B7ADB"/>
    <w:rsid w:val="000C048D"/>
    <w:rsid w:val="000C272D"/>
    <w:rsid w:val="000C2C75"/>
    <w:rsid w:val="000C4B85"/>
    <w:rsid w:val="000C5A99"/>
    <w:rsid w:val="000C7C4C"/>
    <w:rsid w:val="000C7F0D"/>
    <w:rsid w:val="000D09E0"/>
    <w:rsid w:val="000D2CD9"/>
    <w:rsid w:val="000D469E"/>
    <w:rsid w:val="000D50F3"/>
    <w:rsid w:val="000D596B"/>
    <w:rsid w:val="000E0B5F"/>
    <w:rsid w:val="000E3B26"/>
    <w:rsid w:val="000F5A92"/>
    <w:rsid w:val="000F5F40"/>
    <w:rsid w:val="001036EE"/>
    <w:rsid w:val="001068B8"/>
    <w:rsid w:val="0011098A"/>
    <w:rsid w:val="00112252"/>
    <w:rsid w:val="001172DF"/>
    <w:rsid w:val="00121E89"/>
    <w:rsid w:val="00122DF8"/>
    <w:rsid w:val="00131ED6"/>
    <w:rsid w:val="00133C16"/>
    <w:rsid w:val="00133D15"/>
    <w:rsid w:val="00134BBF"/>
    <w:rsid w:val="00137DB0"/>
    <w:rsid w:val="001463E0"/>
    <w:rsid w:val="001466EA"/>
    <w:rsid w:val="0014699E"/>
    <w:rsid w:val="00155375"/>
    <w:rsid w:val="00157CD7"/>
    <w:rsid w:val="00160177"/>
    <w:rsid w:val="001669D1"/>
    <w:rsid w:val="00166A13"/>
    <w:rsid w:val="001735CF"/>
    <w:rsid w:val="00176654"/>
    <w:rsid w:val="00176AD2"/>
    <w:rsid w:val="0018130C"/>
    <w:rsid w:val="00185BB2"/>
    <w:rsid w:val="00193415"/>
    <w:rsid w:val="001B273A"/>
    <w:rsid w:val="001B4270"/>
    <w:rsid w:val="001B5363"/>
    <w:rsid w:val="001C10E3"/>
    <w:rsid w:val="001C1939"/>
    <w:rsid w:val="001D7315"/>
    <w:rsid w:val="001E21C1"/>
    <w:rsid w:val="001E4A2D"/>
    <w:rsid w:val="001F15B0"/>
    <w:rsid w:val="001F59BD"/>
    <w:rsid w:val="001F7B9D"/>
    <w:rsid w:val="002005C9"/>
    <w:rsid w:val="00201087"/>
    <w:rsid w:val="00202D40"/>
    <w:rsid w:val="00204020"/>
    <w:rsid w:val="0020654D"/>
    <w:rsid w:val="002070C6"/>
    <w:rsid w:val="00210A50"/>
    <w:rsid w:val="002240D5"/>
    <w:rsid w:val="0022504D"/>
    <w:rsid w:val="002336F3"/>
    <w:rsid w:val="00233D31"/>
    <w:rsid w:val="0024488B"/>
    <w:rsid w:val="002474D5"/>
    <w:rsid w:val="00255AF2"/>
    <w:rsid w:val="002572D7"/>
    <w:rsid w:val="00262092"/>
    <w:rsid w:val="002629C1"/>
    <w:rsid w:val="002641E1"/>
    <w:rsid w:val="00270527"/>
    <w:rsid w:val="002708B5"/>
    <w:rsid w:val="002758B9"/>
    <w:rsid w:val="00277692"/>
    <w:rsid w:val="00277F40"/>
    <w:rsid w:val="00281D9B"/>
    <w:rsid w:val="0028212F"/>
    <w:rsid w:val="0028269E"/>
    <w:rsid w:val="00293F50"/>
    <w:rsid w:val="0029571C"/>
    <w:rsid w:val="002A1DF5"/>
    <w:rsid w:val="002A274F"/>
    <w:rsid w:val="002A2913"/>
    <w:rsid w:val="002A3589"/>
    <w:rsid w:val="002B61C6"/>
    <w:rsid w:val="002C1E1C"/>
    <w:rsid w:val="002C59B7"/>
    <w:rsid w:val="002C5FCB"/>
    <w:rsid w:val="002D72C0"/>
    <w:rsid w:val="002E0B3B"/>
    <w:rsid w:val="002E7C35"/>
    <w:rsid w:val="002F172D"/>
    <w:rsid w:val="002F4127"/>
    <w:rsid w:val="002F6ED3"/>
    <w:rsid w:val="002F79DB"/>
    <w:rsid w:val="00300935"/>
    <w:rsid w:val="00301F27"/>
    <w:rsid w:val="0030262F"/>
    <w:rsid w:val="00304ED0"/>
    <w:rsid w:val="0030654C"/>
    <w:rsid w:val="003071A3"/>
    <w:rsid w:val="00310610"/>
    <w:rsid w:val="00314B15"/>
    <w:rsid w:val="00314BD8"/>
    <w:rsid w:val="00315466"/>
    <w:rsid w:val="003161DB"/>
    <w:rsid w:val="00320E00"/>
    <w:rsid w:val="00324A00"/>
    <w:rsid w:val="00332DA3"/>
    <w:rsid w:val="0033682C"/>
    <w:rsid w:val="0033718A"/>
    <w:rsid w:val="00337E21"/>
    <w:rsid w:val="003451B1"/>
    <w:rsid w:val="003521E7"/>
    <w:rsid w:val="00353918"/>
    <w:rsid w:val="00353B6B"/>
    <w:rsid w:val="003559F0"/>
    <w:rsid w:val="003604A4"/>
    <w:rsid w:val="003623C5"/>
    <w:rsid w:val="00362E51"/>
    <w:rsid w:val="00366CB8"/>
    <w:rsid w:val="00373C31"/>
    <w:rsid w:val="00375E4B"/>
    <w:rsid w:val="0037613C"/>
    <w:rsid w:val="00383DC1"/>
    <w:rsid w:val="00384F6F"/>
    <w:rsid w:val="0038628A"/>
    <w:rsid w:val="0039027F"/>
    <w:rsid w:val="00390A9B"/>
    <w:rsid w:val="00391B9F"/>
    <w:rsid w:val="00394E47"/>
    <w:rsid w:val="00397000"/>
    <w:rsid w:val="00397A84"/>
    <w:rsid w:val="003A19A7"/>
    <w:rsid w:val="003A20B3"/>
    <w:rsid w:val="003A389B"/>
    <w:rsid w:val="003A7E00"/>
    <w:rsid w:val="003B0DC0"/>
    <w:rsid w:val="003B1FF7"/>
    <w:rsid w:val="003B43A5"/>
    <w:rsid w:val="003B7FDC"/>
    <w:rsid w:val="003D3A59"/>
    <w:rsid w:val="003D419C"/>
    <w:rsid w:val="003D7626"/>
    <w:rsid w:val="003D78B4"/>
    <w:rsid w:val="003E3C0D"/>
    <w:rsid w:val="003E670D"/>
    <w:rsid w:val="003E6EFA"/>
    <w:rsid w:val="003E7585"/>
    <w:rsid w:val="003F4771"/>
    <w:rsid w:val="003F5BDA"/>
    <w:rsid w:val="003F75D0"/>
    <w:rsid w:val="00401A91"/>
    <w:rsid w:val="00402D14"/>
    <w:rsid w:val="00406BBB"/>
    <w:rsid w:val="0041046E"/>
    <w:rsid w:val="00416409"/>
    <w:rsid w:val="00417EF9"/>
    <w:rsid w:val="00422F12"/>
    <w:rsid w:val="004231BB"/>
    <w:rsid w:val="00430E88"/>
    <w:rsid w:val="0043109E"/>
    <w:rsid w:val="00443C95"/>
    <w:rsid w:val="00447F05"/>
    <w:rsid w:val="00450C2D"/>
    <w:rsid w:val="00453384"/>
    <w:rsid w:val="0045343C"/>
    <w:rsid w:val="00453911"/>
    <w:rsid w:val="00463158"/>
    <w:rsid w:val="00463E34"/>
    <w:rsid w:val="0046439D"/>
    <w:rsid w:val="00467551"/>
    <w:rsid w:val="00467BA2"/>
    <w:rsid w:val="00471104"/>
    <w:rsid w:val="0047165F"/>
    <w:rsid w:val="00474B35"/>
    <w:rsid w:val="0048510F"/>
    <w:rsid w:val="0048537E"/>
    <w:rsid w:val="00490837"/>
    <w:rsid w:val="00493D7B"/>
    <w:rsid w:val="00493F29"/>
    <w:rsid w:val="004972DB"/>
    <w:rsid w:val="004A3B78"/>
    <w:rsid w:val="004A7A98"/>
    <w:rsid w:val="004B72B6"/>
    <w:rsid w:val="004C303E"/>
    <w:rsid w:val="004C44B9"/>
    <w:rsid w:val="004D0781"/>
    <w:rsid w:val="004D4174"/>
    <w:rsid w:val="004D4D5B"/>
    <w:rsid w:val="004D6408"/>
    <w:rsid w:val="004E07FC"/>
    <w:rsid w:val="004E29F1"/>
    <w:rsid w:val="004E33E4"/>
    <w:rsid w:val="004E3B22"/>
    <w:rsid w:val="004E3F41"/>
    <w:rsid w:val="004E5563"/>
    <w:rsid w:val="004E5E62"/>
    <w:rsid w:val="004E7A51"/>
    <w:rsid w:val="004F15E5"/>
    <w:rsid w:val="004F3596"/>
    <w:rsid w:val="004F51A4"/>
    <w:rsid w:val="00502553"/>
    <w:rsid w:val="00503839"/>
    <w:rsid w:val="00504129"/>
    <w:rsid w:val="00504387"/>
    <w:rsid w:val="005108D2"/>
    <w:rsid w:val="00514339"/>
    <w:rsid w:val="00517737"/>
    <w:rsid w:val="00521233"/>
    <w:rsid w:val="00521A4E"/>
    <w:rsid w:val="00522C7F"/>
    <w:rsid w:val="0052403C"/>
    <w:rsid w:val="00526023"/>
    <w:rsid w:val="005324DC"/>
    <w:rsid w:val="0053627E"/>
    <w:rsid w:val="005449D9"/>
    <w:rsid w:val="005464F2"/>
    <w:rsid w:val="0055246F"/>
    <w:rsid w:val="005568C3"/>
    <w:rsid w:val="00560875"/>
    <w:rsid w:val="0056472D"/>
    <w:rsid w:val="00565AC3"/>
    <w:rsid w:val="005663D0"/>
    <w:rsid w:val="00567AE1"/>
    <w:rsid w:val="00571857"/>
    <w:rsid w:val="0057242B"/>
    <w:rsid w:val="005726B3"/>
    <w:rsid w:val="005727E4"/>
    <w:rsid w:val="00573761"/>
    <w:rsid w:val="00574DE5"/>
    <w:rsid w:val="0057557D"/>
    <w:rsid w:val="0058048F"/>
    <w:rsid w:val="00582E0B"/>
    <w:rsid w:val="005847BA"/>
    <w:rsid w:val="005854C2"/>
    <w:rsid w:val="00587848"/>
    <w:rsid w:val="00595CFB"/>
    <w:rsid w:val="00596C8B"/>
    <w:rsid w:val="005A7FDB"/>
    <w:rsid w:val="005B0266"/>
    <w:rsid w:val="005B3A61"/>
    <w:rsid w:val="005B41CD"/>
    <w:rsid w:val="005C5354"/>
    <w:rsid w:val="005C7ABA"/>
    <w:rsid w:val="005D4E16"/>
    <w:rsid w:val="005D5E40"/>
    <w:rsid w:val="005D62DC"/>
    <w:rsid w:val="005E1325"/>
    <w:rsid w:val="005F1E50"/>
    <w:rsid w:val="005F4F8B"/>
    <w:rsid w:val="005F5064"/>
    <w:rsid w:val="00602A10"/>
    <w:rsid w:val="006066B1"/>
    <w:rsid w:val="00606932"/>
    <w:rsid w:val="00610C7D"/>
    <w:rsid w:val="00611701"/>
    <w:rsid w:val="00614E7C"/>
    <w:rsid w:val="006164D9"/>
    <w:rsid w:val="0061689D"/>
    <w:rsid w:val="006319C4"/>
    <w:rsid w:val="00632F51"/>
    <w:rsid w:val="00633E20"/>
    <w:rsid w:val="00640023"/>
    <w:rsid w:val="006404B2"/>
    <w:rsid w:val="00641328"/>
    <w:rsid w:val="00641AEC"/>
    <w:rsid w:val="00641B69"/>
    <w:rsid w:val="00643895"/>
    <w:rsid w:val="00644239"/>
    <w:rsid w:val="00644B78"/>
    <w:rsid w:val="00645B24"/>
    <w:rsid w:val="006529B7"/>
    <w:rsid w:val="00652E20"/>
    <w:rsid w:val="00665646"/>
    <w:rsid w:val="00667203"/>
    <w:rsid w:val="00667405"/>
    <w:rsid w:val="00667A17"/>
    <w:rsid w:val="00670775"/>
    <w:rsid w:val="00677912"/>
    <w:rsid w:val="00686648"/>
    <w:rsid w:val="00696350"/>
    <w:rsid w:val="006972BC"/>
    <w:rsid w:val="006A329F"/>
    <w:rsid w:val="006A3EDA"/>
    <w:rsid w:val="006B424C"/>
    <w:rsid w:val="006C3BD2"/>
    <w:rsid w:val="006C4397"/>
    <w:rsid w:val="006D5B2D"/>
    <w:rsid w:val="006D7CB4"/>
    <w:rsid w:val="006E0BF6"/>
    <w:rsid w:val="006E6339"/>
    <w:rsid w:val="006F1584"/>
    <w:rsid w:val="006F56B7"/>
    <w:rsid w:val="006F7070"/>
    <w:rsid w:val="00700227"/>
    <w:rsid w:val="00700570"/>
    <w:rsid w:val="007006F9"/>
    <w:rsid w:val="00705706"/>
    <w:rsid w:val="00707D54"/>
    <w:rsid w:val="00707FB8"/>
    <w:rsid w:val="00714978"/>
    <w:rsid w:val="007157FB"/>
    <w:rsid w:val="007236FB"/>
    <w:rsid w:val="0072586C"/>
    <w:rsid w:val="007330CC"/>
    <w:rsid w:val="0073727A"/>
    <w:rsid w:val="00744671"/>
    <w:rsid w:val="0074548B"/>
    <w:rsid w:val="00747421"/>
    <w:rsid w:val="007518CE"/>
    <w:rsid w:val="00751F82"/>
    <w:rsid w:val="00752431"/>
    <w:rsid w:val="00760B33"/>
    <w:rsid w:val="0076407C"/>
    <w:rsid w:val="00764BF5"/>
    <w:rsid w:val="00767AE2"/>
    <w:rsid w:val="00767D1B"/>
    <w:rsid w:val="00774EF6"/>
    <w:rsid w:val="007848E3"/>
    <w:rsid w:val="00784AB4"/>
    <w:rsid w:val="00786911"/>
    <w:rsid w:val="00794BBE"/>
    <w:rsid w:val="007A62A6"/>
    <w:rsid w:val="007A71D4"/>
    <w:rsid w:val="007B50E5"/>
    <w:rsid w:val="007C0049"/>
    <w:rsid w:val="007C440D"/>
    <w:rsid w:val="007C7AE2"/>
    <w:rsid w:val="007D18E2"/>
    <w:rsid w:val="007D222F"/>
    <w:rsid w:val="007D5150"/>
    <w:rsid w:val="007D644E"/>
    <w:rsid w:val="007E3C1A"/>
    <w:rsid w:val="007E649C"/>
    <w:rsid w:val="007F0390"/>
    <w:rsid w:val="007F2901"/>
    <w:rsid w:val="007F6496"/>
    <w:rsid w:val="007F679A"/>
    <w:rsid w:val="0080331D"/>
    <w:rsid w:val="008052F1"/>
    <w:rsid w:val="008057E3"/>
    <w:rsid w:val="00813607"/>
    <w:rsid w:val="008146DF"/>
    <w:rsid w:val="00816DE4"/>
    <w:rsid w:val="00822CD0"/>
    <w:rsid w:val="0082529D"/>
    <w:rsid w:val="00826A48"/>
    <w:rsid w:val="00830E4B"/>
    <w:rsid w:val="00830E57"/>
    <w:rsid w:val="00834986"/>
    <w:rsid w:val="008356EC"/>
    <w:rsid w:val="008416AB"/>
    <w:rsid w:val="0084734C"/>
    <w:rsid w:val="008501A7"/>
    <w:rsid w:val="00852774"/>
    <w:rsid w:val="00854045"/>
    <w:rsid w:val="00855812"/>
    <w:rsid w:val="008566DE"/>
    <w:rsid w:val="00865322"/>
    <w:rsid w:val="0088170A"/>
    <w:rsid w:val="00883462"/>
    <w:rsid w:val="00884D97"/>
    <w:rsid w:val="00884DD8"/>
    <w:rsid w:val="0089016E"/>
    <w:rsid w:val="0089241F"/>
    <w:rsid w:val="00892A78"/>
    <w:rsid w:val="0089356C"/>
    <w:rsid w:val="0089361D"/>
    <w:rsid w:val="00896935"/>
    <w:rsid w:val="008A05C8"/>
    <w:rsid w:val="008A3DAB"/>
    <w:rsid w:val="008A63F5"/>
    <w:rsid w:val="008A7588"/>
    <w:rsid w:val="008B1030"/>
    <w:rsid w:val="008B1742"/>
    <w:rsid w:val="008B249D"/>
    <w:rsid w:val="008B2B77"/>
    <w:rsid w:val="008B2E22"/>
    <w:rsid w:val="008B6296"/>
    <w:rsid w:val="008B652E"/>
    <w:rsid w:val="008B799E"/>
    <w:rsid w:val="008C59C7"/>
    <w:rsid w:val="008C6CB1"/>
    <w:rsid w:val="008C6E01"/>
    <w:rsid w:val="008D2A31"/>
    <w:rsid w:val="008D52AA"/>
    <w:rsid w:val="008E2686"/>
    <w:rsid w:val="008E31AD"/>
    <w:rsid w:val="008E705E"/>
    <w:rsid w:val="008F42D4"/>
    <w:rsid w:val="008F716A"/>
    <w:rsid w:val="00904398"/>
    <w:rsid w:val="00907B74"/>
    <w:rsid w:val="009100EC"/>
    <w:rsid w:val="00910355"/>
    <w:rsid w:val="00917688"/>
    <w:rsid w:val="00920526"/>
    <w:rsid w:val="009205C0"/>
    <w:rsid w:val="00920FBE"/>
    <w:rsid w:val="00921ECE"/>
    <w:rsid w:val="00923788"/>
    <w:rsid w:val="009313F6"/>
    <w:rsid w:val="00932A64"/>
    <w:rsid w:val="00933DEC"/>
    <w:rsid w:val="00934B2D"/>
    <w:rsid w:val="00940C97"/>
    <w:rsid w:val="009446F3"/>
    <w:rsid w:val="0094529C"/>
    <w:rsid w:val="00952E9B"/>
    <w:rsid w:val="0095719B"/>
    <w:rsid w:val="00957391"/>
    <w:rsid w:val="009577C3"/>
    <w:rsid w:val="009606A9"/>
    <w:rsid w:val="00963359"/>
    <w:rsid w:val="0096404E"/>
    <w:rsid w:val="00967DA4"/>
    <w:rsid w:val="00973B10"/>
    <w:rsid w:val="00973F16"/>
    <w:rsid w:val="00975C03"/>
    <w:rsid w:val="009769B6"/>
    <w:rsid w:val="00976C82"/>
    <w:rsid w:val="00977190"/>
    <w:rsid w:val="00981E7B"/>
    <w:rsid w:val="00982994"/>
    <w:rsid w:val="009837AF"/>
    <w:rsid w:val="0098613B"/>
    <w:rsid w:val="00992A68"/>
    <w:rsid w:val="00994F2E"/>
    <w:rsid w:val="0099650B"/>
    <w:rsid w:val="009970D1"/>
    <w:rsid w:val="009A0A31"/>
    <w:rsid w:val="009A143B"/>
    <w:rsid w:val="009A1664"/>
    <w:rsid w:val="009B0C68"/>
    <w:rsid w:val="009C1AE8"/>
    <w:rsid w:val="009D579C"/>
    <w:rsid w:val="009D7DAB"/>
    <w:rsid w:val="009E391F"/>
    <w:rsid w:val="009F08C8"/>
    <w:rsid w:val="009F133B"/>
    <w:rsid w:val="009F3E8A"/>
    <w:rsid w:val="009F4726"/>
    <w:rsid w:val="009F7788"/>
    <w:rsid w:val="00A02FA4"/>
    <w:rsid w:val="00A11508"/>
    <w:rsid w:val="00A1495F"/>
    <w:rsid w:val="00A2199D"/>
    <w:rsid w:val="00A21AB1"/>
    <w:rsid w:val="00A23361"/>
    <w:rsid w:val="00A26AA2"/>
    <w:rsid w:val="00A27354"/>
    <w:rsid w:val="00A304FB"/>
    <w:rsid w:val="00A31306"/>
    <w:rsid w:val="00A3359F"/>
    <w:rsid w:val="00A34018"/>
    <w:rsid w:val="00A346A2"/>
    <w:rsid w:val="00A35168"/>
    <w:rsid w:val="00A37C70"/>
    <w:rsid w:val="00A42563"/>
    <w:rsid w:val="00A50577"/>
    <w:rsid w:val="00A529F6"/>
    <w:rsid w:val="00A53894"/>
    <w:rsid w:val="00A54405"/>
    <w:rsid w:val="00A546A8"/>
    <w:rsid w:val="00A6374A"/>
    <w:rsid w:val="00A647DC"/>
    <w:rsid w:val="00A6597D"/>
    <w:rsid w:val="00A668F4"/>
    <w:rsid w:val="00A72CAC"/>
    <w:rsid w:val="00A746F9"/>
    <w:rsid w:val="00A75ACD"/>
    <w:rsid w:val="00A813A3"/>
    <w:rsid w:val="00A813BF"/>
    <w:rsid w:val="00A81EE5"/>
    <w:rsid w:val="00A822E6"/>
    <w:rsid w:val="00A840C1"/>
    <w:rsid w:val="00A9160C"/>
    <w:rsid w:val="00A9253A"/>
    <w:rsid w:val="00A928EA"/>
    <w:rsid w:val="00A963C0"/>
    <w:rsid w:val="00A978C5"/>
    <w:rsid w:val="00AA0656"/>
    <w:rsid w:val="00AA13CC"/>
    <w:rsid w:val="00AA1B43"/>
    <w:rsid w:val="00AA4500"/>
    <w:rsid w:val="00AA5B9E"/>
    <w:rsid w:val="00AA72CE"/>
    <w:rsid w:val="00AB0DD8"/>
    <w:rsid w:val="00AB10C9"/>
    <w:rsid w:val="00AB43B9"/>
    <w:rsid w:val="00AB5AB2"/>
    <w:rsid w:val="00AB7F92"/>
    <w:rsid w:val="00AD2596"/>
    <w:rsid w:val="00AE2035"/>
    <w:rsid w:val="00AE25A0"/>
    <w:rsid w:val="00AE2651"/>
    <w:rsid w:val="00AE49AE"/>
    <w:rsid w:val="00AE555D"/>
    <w:rsid w:val="00AE59E5"/>
    <w:rsid w:val="00AE67E2"/>
    <w:rsid w:val="00AF6C66"/>
    <w:rsid w:val="00B02D31"/>
    <w:rsid w:val="00B03BF4"/>
    <w:rsid w:val="00B1029A"/>
    <w:rsid w:val="00B13A78"/>
    <w:rsid w:val="00B14BBB"/>
    <w:rsid w:val="00B14DBE"/>
    <w:rsid w:val="00B154A6"/>
    <w:rsid w:val="00B203A5"/>
    <w:rsid w:val="00B205C3"/>
    <w:rsid w:val="00B217E5"/>
    <w:rsid w:val="00B23C09"/>
    <w:rsid w:val="00B33456"/>
    <w:rsid w:val="00B37CB9"/>
    <w:rsid w:val="00B40192"/>
    <w:rsid w:val="00B50E62"/>
    <w:rsid w:val="00B541BB"/>
    <w:rsid w:val="00B60DBC"/>
    <w:rsid w:val="00B625A0"/>
    <w:rsid w:val="00B63D98"/>
    <w:rsid w:val="00B704AB"/>
    <w:rsid w:val="00B70A6D"/>
    <w:rsid w:val="00B77352"/>
    <w:rsid w:val="00B811A0"/>
    <w:rsid w:val="00B82793"/>
    <w:rsid w:val="00B82BBE"/>
    <w:rsid w:val="00B836E8"/>
    <w:rsid w:val="00B83E84"/>
    <w:rsid w:val="00B8634A"/>
    <w:rsid w:val="00B90F82"/>
    <w:rsid w:val="00B94610"/>
    <w:rsid w:val="00B95ADA"/>
    <w:rsid w:val="00B97103"/>
    <w:rsid w:val="00BA1036"/>
    <w:rsid w:val="00BA47B1"/>
    <w:rsid w:val="00BA6757"/>
    <w:rsid w:val="00BA7DEE"/>
    <w:rsid w:val="00BB3691"/>
    <w:rsid w:val="00BB71DB"/>
    <w:rsid w:val="00BC132F"/>
    <w:rsid w:val="00BC6EEC"/>
    <w:rsid w:val="00BE274D"/>
    <w:rsid w:val="00BE5786"/>
    <w:rsid w:val="00BF0D8D"/>
    <w:rsid w:val="00BF4AEF"/>
    <w:rsid w:val="00BF7894"/>
    <w:rsid w:val="00C01CF0"/>
    <w:rsid w:val="00C04205"/>
    <w:rsid w:val="00C13203"/>
    <w:rsid w:val="00C15D13"/>
    <w:rsid w:val="00C202D3"/>
    <w:rsid w:val="00C26138"/>
    <w:rsid w:val="00C2760F"/>
    <w:rsid w:val="00C3728C"/>
    <w:rsid w:val="00C37988"/>
    <w:rsid w:val="00C43B98"/>
    <w:rsid w:val="00C4681D"/>
    <w:rsid w:val="00C47A01"/>
    <w:rsid w:val="00C51537"/>
    <w:rsid w:val="00C51DF9"/>
    <w:rsid w:val="00C54FE9"/>
    <w:rsid w:val="00C6188A"/>
    <w:rsid w:val="00C6435A"/>
    <w:rsid w:val="00C64D37"/>
    <w:rsid w:val="00C73369"/>
    <w:rsid w:val="00C73638"/>
    <w:rsid w:val="00C76492"/>
    <w:rsid w:val="00C834E8"/>
    <w:rsid w:val="00C84182"/>
    <w:rsid w:val="00C85291"/>
    <w:rsid w:val="00C92ACE"/>
    <w:rsid w:val="00C95F74"/>
    <w:rsid w:val="00C96A55"/>
    <w:rsid w:val="00CA08BD"/>
    <w:rsid w:val="00CA1B67"/>
    <w:rsid w:val="00CA2EB9"/>
    <w:rsid w:val="00CA6644"/>
    <w:rsid w:val="00CA75DA"/>
    <w:rsid w:val="00CA7E4C"/>
    <w:rsid w:val="00CB1883"/>
    <w:rsid w:val="00CB18EE"/>
    <w:rsid w:val="00CB2B4F"/>
    <w:rsid w:val="00CB680F"/>
    <w:rsid w:val="00CB7F20"/>
    <w:rsid w:val="00CC0491"/>
    <w:rsid w:val="00CC24B0"/>
    <w:rsid w:val="00CC7C53"/>
    <w:rsid w:val="00CD0460"/>
    <w:rsid w:val="00CD1646"/>
    <w:rsid w:val="00CD196B"/>
    <w:rsid w:val="00CD72EF"/>
    <w:rsid w:val="00CD77FA"/>
    <w:rsid w:val="00CE07E3"/>
    <w:rsid w:val="00CE0A17"/>
    <w:rsid w:val="00CE10F9"/>
    <w:rsid w:val="00CE1899"/>
    <w:rsid w:val="00CE1A13"/>
    <w:rsid w:val="00CE6834"/>
    <w:rsid w:val="00CF5CA8"/>
    <w:rsid w:val="00CF7F11"/>
    <w:rsid w:val="00D0374F"/>
    <w:rsid w:val="00D10399"/>
    <w:rsid w:val="00D13B21"/>
    <w:rsid w:val="00D16B9D"/>
    <w:rsid w:val="00D208C5"/>
    <w:rsid w:val="00D218FB"/>
    <w:rsid w:val="00D22A8C"/>
    <w:rsid w:val="00D23440"/>
    <w:rsid w:val="00D24ECA"/>
    <w:rsid w:val="00D25241"/>
    <w:rsid w:val="00D26A52"/>
    <w:rsid w:val="00D27684"/>
    <w:rsid w:val="00D30399"/>
    <w:rsid w:val="00D31150"/>
    <w:rsid w:val="00D410EE"/>
    <w:rsid w:val="00D450BB"/>
    <w:rsid w:val="00D46AEC"/>
    <w:rsid w:val="00D55EBE"/>
    <w:rsid w:val="00D561D0"/>
    <w:rsid w:val="00D567B6"/>
    <w:rsid w:val="00D61A7D"/>
    <w:rsid w:val="00D6514C"/>
    <w:rsid w:val="00D6550C"/>
    <w:rsid w:val="00D73878"/>
    <w:rsid w:val="00D7776A"/>
    <w:rsid w:val="00D80114"/>
    <w:rsid w:val="00D81CAC"/>
    <w:rsid w:val="00D824D5"/>
    <w:rsid w:val="00D85E82"/>
    <w:rsid w:val="00D87F32"/>
    <w:rsid w:val="00D913A4"/>
    <w:rsid w:val="00D93D25"/>
    <w:rsid w:val="00D94111"/>
    <w:rsid w:val="00D94ED0"/>
    <w:rsid w:val="00D95D39"/>
    <w:rsid w:val="00D97F2F"/>
    <w:rsid w:val="00DA0B95"/>
    <w:rsid w:val="00DA1764"/>
    <w:rsid w:val="00DA189B"/>
    <w:rsid w:val="00DA221C"/>
    <w:rsid w:val="00DB28BB"/>
    <w:rsid w:val="00DB34FF"/>
    <w:rsid w:val="00DB659B"/>
    <w:rsid w:val="00DB7B64"/>
    <w:rsid w:val="00DC0F7A"/>
    <w:rsid w:val="00DC48D4"/>
    <w:rsid w:val="00DD011D"/>
    <w:rsid w:val="00DD1949"/>
    <w:rsid w:val="00DD3760"/>
    <w:rsid w:val="00DD3F80"/>
    <w:rsid w:val="00DD4F3D"/>
    <w:rsid w:val="00DD729F"/>
    <w:rsid w:val="00DD7C14"/>
    <w:rsid w:val="00DE024F"/>
    <w:rsid w:val="00DE2B41"/>
    <w:rsid w:val="00DE4C72"/>
    <w:rsid w:val="00DE7065"/>
    <w:rsid w:val="00DE77AD"/>
    <w:rsid w:val="00DF1DF7"/>
    <w:rsid w:val="00DF4131"/>
    <w:rsid w:val="00DF554A"/>
    <w:rsid w:val="00DF7964"/>
    <w:rsid w:val="00E03972"/>
    <w:rsid w:val="00E048D4"/>
    <w:rsid w:val="00E10232"/>
    <w:rsid w:val="00E15253"/>
    <w:rsid w:val="00E16F28"/>
    <w:rsid w:val="00E21226"/>
    <w:rsid w:val="00E231C2"/>
    <w:rsid w:val="00E2559D"/>
    <w:rsid w:val="00E364D5"/>
    <w:rsid w:val="00E43A2A"/>
    <w:rsid w:val="00E45100"/>
    <w:rsid w:val="00E52858"/>
    <w:rsid w:val="00E5641D"/>
    <w:rsid w:val="00E57F64"/>
    <w:rsid w:val="00E61398"/>
    <w:rsid w:val="00E617CA"/>
    <w:rsid w:val="00E80D59"/>
    <w:rsid w:val="00E85FD1"/>
    <w:rsid w:val="00E9122A"/>
    <w:rsid w:val="00E930E7"/>
    <w:rsid w:val="00E9436A"/>
    <w:rsid w:val="00E97B1C"/>
    <w:rsid w:val="00EA0146"/>
    <w:rsid w:val="00EA0D7A"/>
    <w:rsid w:val="00EB0176"/>
    <w:rsid w:val="00EB0C75"/>
    <w:rsid w:val="00EB40FE"/>
    <w:rsid w:val="00EB4E0C"/>
    <w:rsid w:val="00EB7EF4"/>
    <w:rsid w:val="00EC43F7"/>
    <w:rsid w:val="00EC7877"/>
    <w:rsid w:val="00ED077E"/>
    <w:rsid w:val="00ED0DB1"/>
    <w:rsid w:val="00ED32F1"/>
    <w:rsid w:val="00ED36BD"/>
    <w:rsid w:val="00ED563D"/>
    <w:rsid w:val="00EF30CD"/>
    <w:rsid w:val="00EF396F"/>
    <w:rsid w:val="00EF5062"/>
    <w:rsid w:val="00EF7D0B"/>
    <w:rsid w:val="00F002C6"/>
    <w:rsid w:val="00F0172C"/>
    <w:rsid w:val="00F0204D"/>
    <w:rsid w:val="00F03BE4"/>
    <w:rsid w:val="00F05891"/>
    <w:rsid w:val="00F063B0"/>
    <w:rsid w:val="00F0653A"/>
    <w:rsid w:val="00F068BF"/>
    <w:rsid w:val="00F069DF"/>
    <w:rsid w:val="00F073CA"/>
    <w:rsid w:val="00F10D10"/>
    <w:rsid w:val="00F130E6"/>
    <w:rsid w:val="00F14241"/>
    <w:rsid w:val="00F16701"/>
    <w:rsid w:val="00F20E36"/>
    <w:rsid w:val="00F224F1"/>
    <w:rsid w:val="00F3005C"/>
    <w:rsid w:val="00F31984"/>
    <w:rsid w:val="00F31C47"/>
    <w:rsid w:val="00F36634"/>
    <w:rsid w:val="00F45015"/>
    <w:rsid w:val="00F519D8"/>
    <w:rsid w:val="00F5265F"/>
    <w:rsid w:val="00F61FAF"/>
    <w:rsid w:val="00F70B6D"/>
    <w:rsid w:val="00F754FF"/>
    <w:rsid w:val="00F75BB4"/>
    <w:rsid w:val="00F76D53"/>
    <w:rsid w:val="00F76E00"/>
    <w:rsid w:val="00F83A7F"/>
    <w:rsid w:val="00F85855"/>
    <w:rsid w:val="00F87D64"/>
    <w:rsid w:val="00F93E73"/>
    <w:rsid w:val="00F95650"/>
    <w:rsid w:val="00F95F2E"/>
    <w:rsid w:val="00FA452C"/>
    <w:rsid w:val="00FA48AB"/>
    <w:rsid w:val="00FA7C27"/>
    <w:rsid w:val="00FB356C"/>
    <w:rsid w:val="00FB4286"/>
    <w:rsid w:val="00FB6B99"/>
    <w:rsid w:val="00FC5D54"/>
    <w:rsid w:val="00FD220D"/>
    <w:rsid w:val="00FD4437"/>
    <w:rsid w:val="00FD4466"/>
    <w:rsid w:val="00FD5635"/>
    <w:rsid w:val="00FD6AF1"/>
    <w:rsid w:val="00FE1B94"/>
    <w:rsid w:val="00FE402F"/>
    <w:rsid w:val="00FE41B4"/>
    <w:rsid w:val="00FF0D0D"/>
    <w:rsid w:val="00FF1B6B"/>
    <w:rsid w:val="00FF4A3A"/>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link w:val="ConsPlusNormal0"/>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 w:type="character" w:customStyle="1" w:styleId="ConsPlusNormal0">
    <w:name w:val="ConsPlusNormal Знак"/>
    <w:link w:val="ConsPlusNormal"/>
    <w:locked/>
    <w:rsid w:val="00A822E6"/>
    <w:rPr>
      <w:rFonts w:ascii="Calibri" w:eastAsia="Times New Roman" w:hAnsi="Calibri" w:cs="Calibri"/>
      <w:szCs w:val="20"/>
      <w:lang w:eastAsia="ru-RU"/>
    </w:rPr>
  </w:style>
  <w:style w:type="character" w:customStyle="1" w:styleId="-">
    <w:name w:val="Интернет-ссылка"/>
    <w:basedOn w:val="a0"/>
    <w:uiPriority w:val="99"/>
    <w:rsid w:val="005524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190610594">
      <w:bodyDiv w:val="1"/>
      <w:marLeft w:val="0"/>
      <w:marRight w:val="0"/>
      <w:marTop w:val="0"/>
      <w:marBottom w:val="0"/>
      <w:divBdr>
        <w:top w:val="none" w:sz="0" w:space="0" w:color="auto"/>
        <w:left w:val="none" w:sz="0" w:space="0" w:color="auto"/>
        <w:bottom w:val="none" w:sz="0" w:space="0" w:color="auto"/>
        <w:right w:val="none" w:sz="0" w:space="0" w:color="auto"/>
      </w:divBdr>
    </w:div>
    <w:div w:id="408039124">
      <w:bodyDiv w:val="1"/>
      <w:marLeft w:val="0"/>
      <w:marRight w:val="0"/>
      <w:marTop w:val="0"/>
      <w:marBottom w:val="0"/>
      <w:divBdr>
        <w:top w:val="none" w:sz="0" w:space="0" w:color="auto"/>
        <w:left w:val="none" w:sz="0" w:space="0" w:color="auto"/>
        <w:bottom w:val="none" w:sz="0" w:space="0" w:color="auto"/>
        <w:right w:val="none" w:sz="0" w:space="0" w:color="auto"/>
      </w:divBdr>
    </w:div>
    <w:div w:id="472329799">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43891303">
      <w:bodyDiv w:val="1"/>
      <w:marLeft w:val="0"/>
      <w:marRight w:val="0"/>
      <w:marTop w:val="0"/>
      <w:marBottom w:val="0"/>
      <w:divBdr>
        <w:top w:val="none" w:sz="0" w:space="0" w:color="auto"/>
        <w:left w:val="none" w:sz="0" w:space="0" w:color="auto"/>
        <w:bottom w:val="none" w:sz="0" w:space="0" w:color="auto"/>
        <w:right w:val="none" w:sz="0" w:space="0" w:color="auto"/>
      </w:divBdr>
    </w:div>
    <w:div w:id="64501311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777800314">
      <w:bodyDiv w:val="1"/>
      <w:marLeft w:val="0"/>
      <w:marRight w:val="0"/>
      <w:marTop w:val="0"/>
      <w:marBottom w:val="0"/>
      <w:divBdr>
        <w:top w:val="none" w:sz="0" w:space="0" w:color="auto"/>
        <w:left w:val="none" w:sz="0" w:space="0" w:color="auto"/>
        <w:bottom w:val="none" w:sz="0" w:space="0" w:color="auto"/>
        <w:right w:val="none" w:sz="0" w:space="0" w:color="auto"/>
      </w:divBdr>
    </w:div>
    <w:div w:id="793788364">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12137426">
      <w:bodyDiv w:val="1"/>
      <w:marLeft w:val="0"/>
      <w:marRight w:val="0"/>
      <w:marTop w:val="0"/>
      <w:marBottom w:val="0"/>
      <w:divBdr>
        <w:top w:val="none" w:sz="0" w:space="0" w:color="auto"/>
        <w:left w:val="none" w:sz="0" w:space="0" w:color="auto"/>
        <w:bottom w:val="none" w:sz="0" w:space="0" w:color="auto"/>
        <w:right w:val="none" w:sz="0" w:space="0" w:color="auto"/>
      </w:divBdr>
      <w:divsChild>
        <w:div w:id="638658132">
          <w:marLeft w:val="0"/>
          <w:marRight w:val="0"/>
          <w:marTop w:val="225"/>
          <w:marBottom w:val="0"/>
          <w:divBdr>
            <w:top w:val="none" w:sz="0" w:space="0" w:color="auto"/>
            <w:left w:val="none" w:sz="0" w:space="0" w:color="auto"/>
            <w:bottom w:val="none" w:sz="0" w:space="0" w:color="auto"/>
            <w:right w:val="none" w:sz="0" w:space="0" w:color="auto"/>
          </w:divBdr>
        </w:div>
        <w:div w:id="91509126">
          <w:marLeft w:val="0"/>
          <w:marRight w:val="0"/>
          <w:marTop w:val="0"/>
          <w:marBottom w:val="75"/>
          <w:divBdr>
            <w:top w:val="none" w:sz="0" w:space="0" w:color="auto"/>
            <w:left w:val="none" w:sz="0" w:space="0" w:color="auto"/>
            <w:bottom w:val="none" w:sz="0" w:space="0" w:color="auto"/>
            <w:right w:val="none" w:sz="0" w:space="0" w:color="auto"/>
          </w:divBdr>
        </w:div>
      </w:divsChild>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970405512">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279988878">
      <w:bodyDiv w:val="1"/>
      <w:marLeft w:val="0"/>
      <w:marRight w:val="0"/>
      <w:marTop w:val="0"/>
      <w:marBottom w:val="0"/>
      <w:divBdr>
        <w:top w:val="none" w:sz="0" w:space="0" w:color="auto"/>
        <w:left w:val="none" w:sz="0" w:space="0" w:color="auto"/>
        <w:bottom w:val="none" w:sz="0" w:space="0" w:color="auto"/>
        <w:right w:val="none" w:sz="0" w:space="0" w:color="auto"/>
      </w:divBdr>
    </w:div>
    <w:div w:id="133760917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84136564">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790198777">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 w:id="1983148410">
      <w:bodyDiv w:val="1"/>
      <w:marLeft w:val="0"/>
      <w:marRight w:val="0"/>
      <w:marTop w:val="0"/>
      <w:marBottom w:val="0"/>
      <w:divBdr>
        <w:top w:val="none" w:sz="0" w:space="0" w:color="auto"/>
        <w:left w:val="none" w:sz="0" w:space="0" w:color="auto"/>
        <w:bottom w:val="none" w:sz="0" w:space="0" w:color="auto"/>
        <w:right w:val="none" w:sz="0" w:space="0" w:color="auto"/>
      </w:divBdr>
    </w:div>
    <w:div w:id="20268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gulation.admhmao.ru/projects" TargetMode="External"/><Relationship Id="rId4" Type="http://schemas.openxmlformats.org/officeDocument/2006/relationships/settings" Target="settings.xml"/><Relationship Id="rId9" Type="http://schemas.openxmlformats.org/officeDocument/2006/relationships/hyperlink" Target="https://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D16A-3170-494E-B7DF-CD7A7E0E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15</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Бедарева Елена Юрьевна</cp:lastModifiedBy>
  <cp:revision>109</cp:revision>
  <cp:lastPrinted>2020-06-01T06:00:00Z</cp:lastPrinted>
  <dcterms:created xsi:type="dcterms:W3CDTF">2021-04-08T09:09:00Z</dcterms:created>
  <dcterms:modified xsi:type="dcterms:W3CDTF">2021-08-16T09:16:00Z</dcterms:modified>
</cp:coreProperties>
</file>