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CellMar>
          <w:top w:w="60" w:type="dxa"/>
          <w:left w:w="80" w:type="dxa"/>
          <w:bottom w:w="60" w:type="dxa"/>
          <w:right w:w="80" w:type="dxa"/>
        </w:tblCellMar>
      </w:tblPr>
      <w:tblGrid>
        <w:gridCol w:w="5000" w:type="pct"/>
      </w:tblGrid>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tcBorders>
              <w:top w:val="nil"/>
              <w:left w:val="nil"/>
              <w:bottom w:val="nil"/>
              <w:right w:val="nil"/>
            </w:tcBorders>
          </w:tcPr>
          <w:p>
            <w:pPr>
              <w:pStyle w:val="5"/>
            </w:pPr>
            <w:r>
              <w:rPr>
                <w:position w:val="-61"/>
              </w:rPr>
              <w:drawing>
                <wp:inline>
                  <wp:extent cx="3810000" cy="904875"/>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48"/>
              </w:rPr>
              <w:t xml:space="preserve">Закон ХМАО - Югры от 23.12.2016 N 103-оз</w:t>
              <w:br/>
              <w:t xml:space="preserve">(ред. от 29.03.2018)</w:t>
              <w:br/>
              <w:t xml:space="preserve">"Об Общественной палате Ханты-Мансийского автономного округа - Югры"</w:t>
              <w:br/>
              <w:t xml:space="preserve">(принят Думой Ханты-Мансийского автономного округа - Югры 23.12.2016)</w:t>
            </w:r>
          </w:p>
        </w:tc>
      </w:tr>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10.09.2020</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000" w:type="pct"/>
        <w:gridCol w:w="5000" w:type="pct"/>
      </w:tblGrid>
      <w:tr>
        <w:tc>
          <w:tcPr>
            <w:tcW w:w="5103" w:type="dxa"/>
            <w:tcBorders>
              <w:top w:val="nil"/>
              <w:left w:val="nil"/>
              <w:bottom w:val="nil"/>
              <w:right w:val="nil"/>
            </w:tcBorders>
          </w:tcPr>
          <w:p>
            <w:pPr>
              <w:pStyle w:val="0"/>
            </w:pPr>
            <w:r>
              <w:rPr>
                <w:sz w:val="20"/>
              </w:rPr>
              <w:t xml:space="preserve">23 декабря 2016 года</w:t>
            </w:r>
          </w:p>
        </w:tc>
        <w:tc>
          <w:tcPr>
            <w:tcW w:w="5103" w:type="dxa"/>
            <w:tcBorders>
              <w:top w:val="nil"/>
              <w:left w:val="nil"/>
              <w:bottom w:val="nil"/>
              <w:right w:val="nil"/>
            </w:tcBorders>
          </w:tcPr>
          <w:p>
            <w:pPr>
              <w:pStyle w:val="0"/>
              <w:jc w:val="right"/>
            </w:pPr>
            <w:r>
              <w:rPr>
                <w:sz w:val="20"/>
              </w:rPr>
              <w:t xml:space="preserve">N 103-оз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ХАНТЫ-МАНСИЙСКИЙ АВТОНОМНЫЙ ОКРУГ - ЮГРА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ХАНТЫ-МАНСИЙСКОГО АВТОНОМНОГО</w:t>
      </w:r>
    </w:p>
    <w:p>
      <w:pPr>
        <w:pStyle w:val="2"/>
        <w:jc w:val="center"/>
      </w:pPr>
      <w:r>
        <w:rPr>
          <w:sz w:val="20"/>
        </w:rPr>
        <w:t xml:space="preserve">ОКРУГА - ЮГРЫ</w:t>
      </w:r>
    </w:p>
    <w:p>
      <w:pPr>
        <w:pStyle w:val="0"/>
        <w:jc w:val="both"/>
      </w:pPr>
      <w:r>
        <w:rPr>
          <w:sz w:val="20"/>
        </w:rPr>
      </w:r>
    </w:p>
    <w:p>
      <w:pPr>
        <w:pStyle w:val="0"/>
        <w:jc w:val="center"/>
      </w:pPr>
      <w:r>
        <w:rPr>
          <w:sz w:val="20"/>
        </w:rPr>
        <w:t xml:space="preserve">Принят Думой Ханты-Мансийского</w:t>
      </w:r>
    </w:p>
    <w:p>
      <w:pPr>
        <w:pStyle w:val="0"/>
        <w:jc w:val="center"/>
      </w:pPr>
      <w:r>
        <w:rPr>
          <w:sz w:val="20"/>
        </w:rPr>
        <w:t xml:space="preserve">автономного округа - Югры 23 декабря 2016 года</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ХМАО - Югры от 29.03.2018 N 20-оз &quot;О внесении изменений в отдельные законы Ханты-Мансийского автономного округа - Югры&quot; (принят Думой Ханты-Мансийского автономного округа - Югры 29.03.2018) {КонсультантПлюс}">
              <w:r>
                <w:rPr>
                  <w:sz w:val="20"/>
                  <w:color w:val="0000ff"/>
                </w:rPr>
                <w:t xml:space="preserve">Закона</w:t>
              </w:r>
            </w:hyperlink>
            <w:r>
              <w:rPr>
                <w:sz w:val="20"/>
                <w:color w:val="392c69"/>
              </w:rPr>
              <w:t xml:space="preserve"> ХМАО - Югры от 29.03.2018 N 20-оз)</w:t>
            </w: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8" w:tooltip="Федеральный закон от 23.06.2016 N 183-ФЗ (ред. от 05.12.2017)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(далее - Федеральный закон) регулирует отдельные отношения, связанные с формированием и организацией деятельности Общественной палаты Ханты-Мансийского автономного округа - Югры (далее также - Общественная палата).</w:t>
      </w:r>
    </w:p>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обеспечивает взаимодействие граждан Российской Федерации, проживающих на территории Ханты-Мансийского автономного округа - Югры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Ханты-Мансийского автономного округа - Югры (далее - некоммерческие организации), с территориальными органами федеральных органов исполнительной власти, органами государственной власти Ханты-Мансийского автономного округа - Югры (далее также - автономный округ) и органами местного самоуправления, находящимися на территории автономного округа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автономного округа,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автономного округа.</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Ханты-Мансийского автономного округа - Югры" не может быть использовано в наименованиях органов государственной власти автономного округа,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jc w:val="both"/>
      </w:pPr>
      <w:r>
        <w:rPr>
          <w:sz w:val="20"/>
        </w:rPr>
      </w:r>
    </w:p>
    <w:p>
      <w:pPr>
        <w:pStyle w:val="2"/>
        <w:outlineLvl w:val="0"/>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автономного округа и органов местного самоуправления для решения наиболее важных вопросов экономического и социального развития автономного округа,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автономного округа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автономном округе;</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Ханты-Мансийского автономного округа - Югры, общественными советами при Думе Ханты-Мансийского автономного округа - Югры (далее также - Дума автономного округа) и исполнительных органах государственной власти автономного округа;</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автономного округа, общественным советам при Думе автономного округа и исполнительных органах государственной власти автономного округа, некоммерческим организациям, деятельность которых направлена на развитие гражданского общества в автономном округе.</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0" w:tooltip="Федеральный закон от 23.06.2016 N 183-ФЗ (ред. от 05.12.2017)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других федеральных законов, иных нормативных правовых актов Российской Федерации, </w:t>
      </w:r>
      <w:hyperlink w:history="0" r:id="rId11" w:tooltip="&quot;Устав (Основной закон) Ханты-Мансийского автономного округа - Югры&quot; от 26.04.1995 N 4-оз (принят Думой Ханты-Мансийского автономного округа 26.04.1995) (ред. от 27.06.2019) {КонсультантПлюс}">
        <w:r>
          <w:rPr>
            <w:sz w:val="20"/>
            <w:color w:val="0000ff"/>
          </w:rPr>
          <w:t xml:space="preserve">Устава</w:t>
        </w:r>
      </w:hyperlink>
      <w:r>
        <w:rPr>
          <w:sz w:val="20"/>
        </w:rPr>
        <w:t xml:space="preserve"> (Основного закона) Ханты-Мансийского автономного округа - Югры, законов и иных нормативных правовых актов автономного округа.</w:t>
      </w:r>
    </w:p>
    <w:p>
      <w:pPr>
        <w:pStyle w:val="0"/>
        <w:jc w:val="both"/>
      </w:pPr>
      <w:r>
        <w:rPr>
          <w:sz w:val="20"/>
        </w:rPr>
      </w:r>
    </w:p>
    <w:p>
      <w:pPr>
        <w:pStyle w:val="2"/>
        <w:outlineLvl w:val="0"/>
        <w:ind w:firstLine="540"/>
        <w:jc w:val="both"/>
      </w:pPr>
      <w:r>
        <w:rPr>
          <w:sz w:val="20"/>
        </w:rPr>
        <w:t xml:space="preserve">Статья 4. Регламент Общественной палаты Ханты-Мансийского автономного округа - Югры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Ханты-Мансийского автономного округа - Югры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полномочий члена Общественной палаты в соответствии с Федеральным </w:t>
      </w:r>
      <w:hyperlink w:history="0" r:id="rId12" w:tooltip="Федеральный закон от 23.06.2016 N 183-ФЗ (ред. от 05.12.2017)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в случае:</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Общественной палаты;</w:t>
      </w:r>
    </w:p>
    <w:p>
      <w:pPr>
        <w:pStyle w:val="0"/>
        <w:spacing w:before="200" w:line-rule="auto"/>
        <w:ind w:firstLine="540"/>
        <w:jc w:val="both"/>
      </w:pPr>
      <w:r>
        <w:rPr>
          <w:sz w:val="20"/>
        </w:rPr>
        <w:t xml:space="preserve">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грубого нарушения им Кодекса этики членов Общественной палаты Ханты-Мансийского автономного округа - Югры (далее также - Кодекс этики)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смерти члена Общественной палаты;</w:t>
      </w:r>
    </w:p>
    <w:p>
      <w:pPr>
        <w:pStyle w:val="0"/>
        <w:spacing w:before="200" w:line-rule="auto"/>
        <w:ind w:firstLine="540"/>
        <w:jc w:val="both"/>
      </w:pPr>
      <w:r>
        <w:rPr>
          <w:sz w:val="20"/>
        </w:rPr>
        <w:t xml:space="preserve">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выявления обстоятельств, не совместимых в соответствии с </w:t>
      </w:r>
      <w:hyperlink w:history="0" w:anchor="P73" w:tooltip="2. Членами Общественной палаты в соответствии с Федеральным законом не могут быть:">
        <w:r>
          <w:rPr>
            <w:sz w:val="20"/>
            <w:color w:val="0000ff"/>
          </w:rPr>
          <w:t xml:space="preserve">пунктом 2 статьи 6</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80"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пунктом 4 статьи 6</w:t>
        </w:r>
      </w:hyperlink>
      <w:r>
        <w:rPr>
          <w:sz w:val="20"/>
        </w:rPr>
        <w:t xml:space="preserve"> настоящего Закона;</w:t>
      </w:r>
    </w:p>
    <w:p>
      <w:pPr>
        <w:pStyle w:val="0"/>
        <w:spacing w:before="200" w:line-rule="auto"/>
        <w:ind w:firstLine="540"/>
        <w:jc w:val="both"/>
      </w:pPr>
      <w:r>
        <w:rPr>
          <w:sz w:val="20"/>
        </w:rPr>
        <w:t xml:space="preserve">7) порядок приостановления полномочий члена Общественной палаты в соответствии с Федеральным </w:t>
      </w:r>
      <w:hyperlink w:history="0" r:id="rId13" w:tooltip="Федеральный закон от 23.06.2016 N 183-ФЗ (ред. от 05.12.2017)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в случае:</w:t>
      </w:r>
    </w:p>
    <w:p>
      <w:pPr>
        <w:pStyle w:val="0"/>
        <w:spacing w:before="200" w:line-rule="auto"/>
        <w:ind w:firstLine="540"/>
        <w:jc w:val="both"/>
      </w:pPr>
      <w:r>
        <w:rPr>
          <w:sz w:val="20"/>
        </w:rPr>
        <w:t xml:space="preserve">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spacing w:before="200" w:line-rule="auto"/>
        <w:ind w:firstLine="540"/>
        <w:jc w:val="both"/>
      </w:pPr>
      <w:r>
        <w:rPr>
          <w:sz w:val="20"/>
        </w:rPr>
        <w:t xml:space="preserve">8) порядок деятельности аппарата Общественной палаты;</w:t>
      </w:r>
    </w:p>
    <w:p>
      <w:pPr>
        <w:pStyle w:val="0"/>
        <w:spacing w:before="200" w:line-rule="auto"/>
        <w:ind w:firstLine="540"/>
        <w:jc w:val="both"/>
      </w:pPr>
      <w:r>
        <w:rPr>
          <w:sz w:val="20"/>
        </w:rPr>
        <w:t xml:space="preserve">9) формы и порядок принятия решений Общественной палаты;</w:t>
      </w:r>
    </w:p>
    <w:p>
      <w:pPr>
        <w:pStyle w:val="0"/>
        <w:spacing w:before="200" w:line-rule="auto"/>
        <w:ind w:firstLine="540"/>
        <w:jc w:val="both"/>
      </w:pPr>
      <w:r>
        <w:rPr>
          <w:sz w:val="20"/>
        </w:rPr>
        <w:t xml:space="preserve">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11)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5. Кодекс этики членов Общественной палаты Ханты-Мансийского автономного округа - Югры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0"/>
        <w:ind w:firstLine="540"/>
        <w:jc w:val="both"/>
      </w:pPr>
      <w:r>
        <w:rPr>
          <w:sz w:val="20"/>
        </w:rPr>
        <w:t xml:space="preserve">Статья 6.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73" w:name="P73"/>
    <w:bookmarkEnd w:id="73"/>
    <w:p>
      <w:pPr>
        <w:pStyle w:val="0"/>
        <w:spacing w:before="200" w:line-rule="auto"/>
        <w:ind w:firstLine="540"/>
        <w:jc w:val="both"/>
      </w:pPr>
      <w:r>
        <w:rPr>
          <w:sz w:val="20"/>
        </w:rPr>
        <w:t xml:space="preserve">2. Членами Общественной палаты в соответствии с Федеральным </w:t>
      </w:r>
      <w:hyperlink w:history="0" r:id="rId14" w:tooltip="Федеральный закон от 23.06.2016 N 183-ФЗ (ред. от 05.12.2017)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не могут быть:</w:t>
      </w:r>
    </w:p>
    <w:p>
      <w:pPr>
        <w:pStyle w:val="0"/>
        <w:spacing w:before="200" w:line-rule="auto"/>
        <w:ind w:firstLine="540"/>
        <w:jc w:val="both"/>
      </w:pPr>
      <w:r>
        <w:rPr>
          <w:sz w:val="20"/>
        </w:rPr>
        <w:t xml:space="preserve">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r:id="rId15" w:tooltip="Федеральный закон от 23.06.2016 N 183-ФЗ (ред. от 05.12.2017)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 4 части 1 статьи 10</w:t>
        </w:r>
      </w:hyperlink>
      <w:r>
        <w:rPr>
          <w:sz w:val="20"/>
        </w:rPr>
        <w:t xml:space="preserve"> Федерального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80" w:name="P80"/>
    <w:bookmarkEnd w:id="80"/>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Члены Общественной палаты принимают личное участие в заседаниях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8.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9.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10. Образец и описание удостоверения члена Общественной палаты утверждаются Регламентом Общественной палаты.</w:t>
      </w:r>
    </w:p>
    <w:p>
      <w:pPr>
        <w:pStyle w:val="0"/>
        <w:spacing w:before="200" w:line-rule="auto"/>
        <w:ind w:firstLine="540"/>
        <w:jc w:val="both"/>
      </w:pPr>
      <w:r>
        <w:rPr>
          <w:sz w:val="20"/>
        </w:rPr>
        <w:t xml:space="preserve">11. Отзыв члена Общественной палаты не допускается.</w:t>
      </w:r>
    </w:p>
    <w:p>
      <w:pPr>
        <w:pStyle w:val="0"/>
        <w:jc w:val="both"/>
      </w:pPr>
      <w:r>
        <w:rPr>
          <w:sz w:val="20"/>
        </w:rPr>
      </w:r>
    </w:p>
    <w:p>
      <w:pPr>
        <w:pStyle w:val="2"/>
        <w:outlineLvl w:val="0"/>
        <w:ind w:firstLine="540"/>
        <w:jc w:val="both"/>
      </w:pPr>
      <w:r>
        <w:rPr>
          <w:sz w:val="20"/>
        </w:rPr>
        <w:t xml:space="preserve">Статья 7. Состав и порядок формирования Общественной палаты</w:t>
      </w:r>
    </w:p>
    <w:p>
      <w:pPr>
        <w:pStyle w:val="0"/>
        <w:jc w:val="both"/>
      </w:pPr>
      <w:r>
        <w:rPr>
          <w:sz w:val="20"/>
        </w:rPr>
      </w:r>
    </w:p>
    <w:bookmarkStart w:id="91" w:name="P91"/>
    <w:bookmarkEnd w:id="91"/>
    <w:p>
      <w:pPr>
        <w:pStyle w:val="0"/>
        <w:ind w:firstLine="540"/>
        <w:jc w:val="both"/>
      </w:pPr>
      <w:r>
        <w:rPr>
          <w:sz w:val="20"/>
        </w:rPr>
        <w:t xml:space="preserve">1. Общественная палата формируется из числа граждан Российской Федерации, проживающих на территории автономного округа, в количестве сорока пяти человек.</w:t>
      </w:r>
    </w:p>
    <w:bookmarkStart w:id="92" w:name="P92"/>
    <w:bookmarkEnd w:id="92"/>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bookmarkStart w:id="93" w:name="P93"/>
    <w:bookmarkEnd w:id="93"/>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16" w:tooltip="Федеральный закон от 04.04.2005 N 32-ФЗ (ред. от 05.12.2017)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bookmarkStart w:id="95" w:name="P95"/>
    <w:bookmarkEnd w:id="95"/>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w:t>
      </w:r>
    </w:p>
    <w:p>
      <w:pPr>
        <w:pStyle w:val="0"/>
        <w:spacing w:before="200" w:line-rule="auto"/>
        <w:ind w:firstLine="540"/>
        <w:jc w:val="both"/>
      </w:pPr>
      <w:r>
        <w:rPr>
          <w:sz w:val="20"/>
        </w:rPr>
        <w:t xml:space="preserve">6. Общественная палата является правомочной, если в ее состав вошло более трех четвертых установленного </w:t>
      </w:r>
      <w:hyperlink w:history="0" w:anchor="P91" w:tooltip="1. Общественная палата формируется из числа граждан Российской Федерации, проживающих на территории автономного округа, в количестве сорока пяти человек.">
        <w:r>
          <w:rPr>
            <w:sz w:val="20"/>
            <w:color w:val="0000ff"/>
          </w:rPr>
          <w:t xml:space="preserve">пунктом 1</w:t>
        </w:r>
      </w:hyperlink>
      <w:r>
        <w:rPr>
          <w:sz w:val="20"/>
        </w:rPr>
        <w:t xml:space="preserve">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8. Дума автономного округа не позднее чем за три месяца до истечения срока полномочий членов Общественной палаты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настоящей статьей, и определяет срок приема предложений по кандидатурам от общественных объединений и иных некоммерческих организаций не менее 20 и не более 30 дней со дня начала процедуры формирования нового состава Общественной палаты.</w:t>
      </w:r>
    </w:p>
    <w:p>
      <w:pPr>
        <w:pStyle w:val="0"/>
        <w:spacing w:before="200" w:line-rule="auto"/>
        <w:ind w:firstLine="540"/>
        <w:jc w:val="both"/>
      </w:pPr>
      <w:r>
        <w:rPr>
          <w:sz w:val="20"/>
        </w:rPr>
        <w:t xml:space="preserve">9. День размещения на официальном сайте Думы автономного округа в информационно-телекоммуникационной сети "Интернет" информации о начале процедуры формирования нового состава Общественной палаты считается днем начала процедуры формирования нового состава Общественной палаты.</w:t>
      </w:r>
    </w:p>
    <w:bookmarkStart w:id="100" w:name="P100"/>
    <w:bookmarkEnd w:id="100"/>
    <w:p>
      <w:pPr>
        <w:pStyle w:val="0"/>
        <w:spacing w:before="200" w:line-rule="auto"/>
        <w:ind w:firstLine="540"/>
        <w:jc w:val="both"/>
      </w:pPr>
      <w:r>
        <w:rPr>
          <w:sz w:val="20"/>
        </w:rPr>
        <w:t xml:space="preserve">10. 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структурных подразделений общероссийских и межрегиональных общественных объединений.</w:t>
      </w:r>
    </w:p>
    <w:bookmarkStart w:id="101" w:name="P101"/>
    <w:bookmarkEnd w:id="101"/>
    <w:p>
      <w:pPr>
        <w:pStyle w:val="0"/>
        <w:spacing w:before="200" w:line-rule="auto"/>
        <w:ind w:firstLine="540"/>
        <w:jc w:val="both"/>
      </w:pPr>
      <w:r>
        <w:rPr>
          <w:sz w:val="20"/>
        </w:rPr>
        <w:t xml:space="preserve">11.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w:t>
      </w:r>
      <w:hyperlink w:history="0" r:id="rId17" w:tooltip="Постановление Думы ХМАО - Югры от 16.06.2016 N 2171 (ред. от 09.07.2020) &quot;О Регламенте Думы Ханты-Мансийского автономного округа - Югры&quot; {КонсультантПлюс}">
        <w:r>
          <w:rPr>
            <w:sz w:val="20"/>
            <w:color w:val="0000ff"/>
          </w:rPr>
          <w:t xml:space="preserve">Регламентом</w:t>
        </w:r>
      </w:hyperlink>
      <w:r>
        <w:rPr>
          <w:sz w:val="20"/>
        </w:rPr>
        <w:t xml:space="preserve">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направляются в Думу автономного округа и рассматриваются в порядке, установленном </w:t>
      </w:r>
      <w:hyperlink w:history="0" r:id="rId18" w:tooltip="Постановление Думы ХМАО - Югры от 16.06.2016 N 2171 (ред. от 09.07.2020) &quot;О Регламенте Думы Ханты-Мансийского автономного округа - Югры&quot; {КонсультантПлюс}">
        <w:r>
          <w:rPr>
            <w:sz w:val="20"/>
            <w:color w:val="0000ff"/>
          </w:rPr>
          <w:t xml:space="preserve">Регламентом</w:t>
        </w:r>
      </w:hyperlink>
      <w:r>
        <w:rPr>
          <w:sz w:val="20"/>
        </w:rPr>
        <w:t xml:space="preserve"> Думы Ханты-Мансийского автономного округа - Югры.</w:t>
      </w:r>
    </w:p>
    <w:p>
      <w:pPr>
        <w:pStyle w:val="0"/>
        <w:spacing w:before="200" w:line-rule="auto"/>
        <w:ind w:firstLine="540"/>
        <w:jc w:val="both"/>
      </w:pPr>
      <w:r>
        <w:rPr>
          <w:sz w:val="20"/>
        </w:rPr>
        <w:t xml:space="preserve">12. Члены Общественной палаты, утвержденные в соответствии с </w:t>
      </w:r>
      <w:hyperlink w:history="0" w:anchor="P100" w:tooltip="10. 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
        <w:r>
          <w:rPr>
            <w:sz w:val="20"/>
            <w:color w:val="0000ff"/>
          </w:rPr>
          <w:t xml:space="preserve">пунктами 10</w:t>
        </w:r>
      </w:hyperlink>
      <w:r>
        <w:rPr>
          <w:sz w:val="20"/>
        </w:rPr>
        <w:t xml:space="preserve"> и </w:t>
      </w:r>
      <w:hyperlink w:history="0" w:anchor="P101" w:tooltip="11.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Регламентом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на...">
        <w:r>
          <w:rPr>
            <w:sz w:val="20"/>
            <w:color w:val="0000ff"/>
          </w:rPr>
          <w:t xml:space="preserve">11</w:t>
        </w:r>
      </w:hyperlink>
      <w:r>
        <w:rPr>
          <w:sz w:val="20"/>
        </w:rPr>
        <w:t xml:space="preserve"> настоящей статьи, определяют состав остальной одной трети членов Общественной палаты не позднее 80 дней со дня начала процедуры формирования нового состава Общественной палаты из числа кандидатур, представленных местными общественными объединениями, зарегистрированными на территории автономного округа. Предложения по кандидатурам в члены нового состава Общественной палаты направляются в Общественную палату. Не позднее 60 дней со дня начала процедуры формирования нового состава Общественной палаты из числа членов нового состава Общественной палаты, утвержденных в соответствии с </w:t>
      </w:r>
      <w:hyperlink w:history="0" w:anchor="P100" w:tooltip="10. Губернатор Ханты-Мансийского автономного округа - Югры по результатам проведения консультаций с общественными объединениями, объединениями некоммерческих организаций, научными объединениями, образовательными организациями высшего образования, творческими союзами, представителями деловых кругов, религиозных конфессий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
        <w:r>
          <w:rPr>
            <w:sz w:val="20"/>
            <w:color w:val="0000ff"/>
          </w:rPr>
          <w:t xml:space="preserve">пунктами 10</w:t>
        </w:r>
      </w:hyperlink>
      <w:r>
        <w:rPr>
          <w:sz w:val="20"/>
        </w:rPr>
        <w:t xml:space="preserve"> и </w:t>
      </w:r>
      <w:hyperlink w:history="0" w:anchor="P101" w:tooltip="11. Дума автономного округа в срок не позднее 50 дней со дня начала процедуры формирования нового состава Общественной палаты утверждает пятнадцать членов Общественной палаты по представлению зарегистрированных в автономном округе некоммерческих организаций, в том числе региональных общественных объединений, в порядке, установленном Регламентом Думы Ханты-Мансийского автономного округа - Югры. Предложения по кандидатурам в члены нового состава Общественной палаты, назначаемым Думой автономного округа, на...">
        <w:r>
          <w:rPr>
            <w:sz w:val="20"/>
            <w:color w:val="0000ff"/>
          </w:rPr>
          <w:t xml:space="preserve">11</w:t>
        </w:r>
      </w:hyperlink>
      <w:r>
        <w:rPr>
          <w:sz w:val="20"/>
        </w:rPr>
        <w:t xml:space="preserve"> настоящей статьи, формируется рабочая группа для рассмотрения указанных предложений по кандидатам.</w:t>
      </w:r>
    </w:p>
    <w:bookmarkStart w:id="103" w:name="P103"/>
    <w:bookmarkEnd w:id="103"/>
    <w:p>
      <w:pPr>
        <w:pStyle w:val="0"/>
        <w:spacing w:before="200" w:line-rule="auto"/>
        <w:ind w:firstLine="540"/>
        <w:jc w:val="both"/>
      </w:pPr>
      <w:r>
        <w:rPr>
          <w:sz w:val="20"/>
        </w:rPr>
        <w:t xml:space="preserve">13. Одновременно с предложением по кандидатуре в члены нового состава Общественной палаты представляются:</w:t>
      </w:r>
    </w:p>
    <w:p>
      <w:pPr>
        <w:pStyle w:val="0"/>
        <w:spacing w:before="200" w:line-rule="auto"/>
        <w:ind w:firstLine="540"/>
        <w:jc w:val="both"/>
      </w:pPr>
      <w:r>
        <w:rPr>
          <w:sz w:val="20"/>
        </w:rPr>
        <w:t xml:space="preserve">1) информация о деятельности местного общественного объединения, зарегистрированного на территории автономного округа, подтверждающая соответствие требованиям, установленным </w:t>
      </w:r>
      <w:hyperlink w:history="0" w:anchor="P92" w:tooltip="2. Правом на выдвижение кандидатов в члены Общественной палаты обладают некоммерческие организации.">
        <w:r>
          <w:rPr>
            <w:sz w:val="20"/>
            <w:color w:val="0000ff"/>
          </w:rPr>
          <w:t xml:space="preserve">пунктами 2</w:t>
        </w:r>
      </w:hyperlink>
      <w:r>
        <w:rPr>
          <w:sz w:val="20"/>
        </w:rPr>
        <w:t xml:space="preserve">, </w:t>
      </w:r>
      <w:hyperlink w:history="0" w:anchor="P93" w:tooltip="3. К выдвижению кандидатов в члены Общественной палаты не допускаются некоммерческие организации, которые в соответствии с Федеральным законом &quot;Об Общественной палате Российской Федерации&quot; не могут выдвигать кандидатов в члены Общественной палаты Российской Федерации.">
        <w:r>
          <w:rPr>
            <w:sz w:val="20"/>
            <w:color w:val="0000ff"/>
          </w:rPr>
          <w:t xml:space="preserve">3</w:t>
        </w:r>
      </w:hyperlink>
      <w:r>
        <w:rPr>
          <w:sz w:val="20"/>
        </w:rPr>
        <w:t xml:space="preserve"> и </w:t>
      </w:r>
      <w:hyperlink w:history="0" w:anchor="P95" w:tooltip="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
        <w:r>
          <w:rPr>
            <w:sz w:val="20"/>
            <w:color w:val="0000ff"/>
          </w:rPr>
          <w:t xml:space="preserve">5</w:t>
        </w:r>
      </w:hyperlink>
      <w:r>
        <w:rPr>
          <w:sz w:val="20"/>
        </w:rPr>
        <w:t xml:space="preserve"> настоящей статьи;</w:t>
      </w:r>
    </w:p>
    <w:p>
      <w:pPr>
        <w:pStyle w:val="0"/>
        <w:spacing w:before="200" w:line-rule="auto"/>
        <w:ind w:firstLine="540"/>
        <w:jc w:val="both"/>
      </w:pPr>
      <w:r>
        <w:rPr>
          <w:sz w:val="20"/>
        </w:rPr>
        <w:t xml:space="preserve">2) решение (постановление, выписка из протокола заседания, собрания, конференции, съезда) местного общественного объединения, зарегистрированного на территории автономного округа, о выдвижении кандидата в новый состав Общественной палаты;</w:t>
      </w:r>
    </w:p>
    <w:p>
      <w:pPr>
        <w:pStyle w:val="0"/>
        <w:spacing w:before="200" w:line-rule="auto"/>
        <w:ind w:firstLine="540"/>
        <w:jc w:val="both"/>
      </w:pPr>
      <w:r>
        <w:rPr>
          <w:sz w:val="20"/>
        </w:rPr>
        <w:t xml:space="preserve">3) основные сведения биографического характера о кандидате (фамилия, имя, отчество, дата рождения, гражданство, сведения о судимости, адрес места жительства, основное место работы или службы);</w:t>
      </w:r>
    </w:p>
    <w:p>
      <w:pPr>
        <w:pStyle w:val="0"/>
        <w:spacing w:before="200" w:line-rule="auto"/>
        <w:ind w:firstLine="540"/>
        <w:jc w:val="both"/>
      </w:pPr>
      <w:r>
        <w:rPr>
          <w:sz w:val="20"/>
        </w:rPr>
        <w:t xml:space="preserve">4) заявление кандидата о его согласии быть членом Общественной палаты.</w:t>
      </w:r>
    </w:p>
    <w:p>
      <w:pPr>
        <w:pStyle w:val="0"/>
        <w:spacing w:before="200" w:line-rule="auto"/>
        <w:ind w:firstLine="540"/>
        <w:jc w:val="both"/>
      </w:pPr>
      <w:r>
        <w:rPr>
          <w:sz w:val="20"/>
        </w:rPr>
        <w:t xml:space="preserve">14. Несоблюдение требований, установленных </w:t>
      </w:r>
      <w:hyperlink w:history="0" w:anchor="P92" w:tooltip="2. Правом на выдвижение кандидатов в члены Общественной палаты обладают некоммерческие организации.">
        <w:r>
          <w:rPr>
            <w:sz w:val="20"/>
            <w:color w:val="0000ff"/>
          </w:rPr>
          <w:t xml:space="preserve">пунктами 2</w:t>
        </w:r>
      </w:hyperlink>
      <w:r>
        <w:rPr>
          <w:sz w:val="20"/>
        </w:rPr>
        <w:t xml:space="preserve"> - </w:t>
      </w:r>
      <w:hyperlink w:history="0" w:anchor="P95" w:tooltip="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автономного округа.">
        <w:r>
          <w:rPr>
            <w:sz w:val="20"/>
            <w:color w:val="0000ff"/>
          </w:rPr>
          <w:t xml:space="preserve">5</w:t>
        </w:r>
      </w:hyperlink>
      <w:r>
        <w:rPr>
          <w:sz w:val="20"/>
        </w:rPr>
        <w:t xml:space="preserve"> настоящей статьи, является основанием для возвращения документов, указанных в </w:t>
      </w:r>
      <w:hyperlink w:history="0" w:anchor="P103" w:tooltip="13. Одновременно с предложением по кандидатуре в члены нового состава Общественной палаты представляются:">
        <w:r>
          <w:rPr>
            <w:sz w:val="20"/>
            <w:color w:val="0000ff"/>
          </w:rPr>
          <w:t xml:space="preserve">пункте 13</w:t>
        </w:r>
      </w:hyperlink>
      <w:r>
        <w:rPr>
          <w:sz w:val="20"/>
        </w:rPr>
        <w:t xml:space="preserve"> настоящей статьи, в местное общественное объединение, зарегистрированное на территории автономного округа.</w:t>
      </w:r>
    </w:p>
    <w:p>
      <w:pPr>
        <w:pStyle w:val="0"/>
        <w:jc w:val="both"/>
      </w:pPr>
      <w:r>
        <w:rPr>
          <w:sz w:val="20"/>
        </w:rPr>
      </w:r>
    </w:p>
    <w:p>
      <w:pPr>
        <w:pStyle w:val="2"/>
        <w:outlineLvl w:val="0"/>
        <w:ind w:firstLine="540"/>
        <w:jc w:val="both"/>
      </w:pPr>
      <w:r>
        <w:rPr>
          <w:sz w:val="20"/>
        </w:rPr>
        <w:t xml:space="preserve">Статья 8.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18" w:name="P118"/>
    <w:bookmarkEnd w:id="118"/>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20" w:name="P120"/>
    <w:bookmarkEnd w:id="120"/>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18" w:tooltip="2) избрание председателя Общественной палаты и заместителя (заместителей) председателя Общественной палаты;">
        <w:r>
          <w:rPr>
            <w:sz w:val="20"/>
            <w:color w:val="0000ff"/>
          </w:rPr>
          <w:t xml:space="preserve">подпунктах 2</w:t>
        </w:r>
      </w:hyperlink>
      <w:r>
        <w:rPr>
          <w:sz w:val="20"/>
        </w:rPr>
        <w:t xml:space="preserve"> - </w:t>
      </w:r>
      <w:hyperlink w:history="0" w:anchor="P120" w:tooltip="4) избрание председателей комиссий Общественной палаты и их заместителей.">
        <w:r>
          <w:rPr>
            <w:sz w:val="20"/>
            <w:color w:val="0000ff"/>
          </w:rPr>
          <w:t xml:space="preserve">4 пункта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исполнительный орган государственной власти автономного округа, в ведении которого находится аппарат Общественной палаты, предложение по кандидатуре на должность руководителя аппарата Общественной палаты не менее чем за два месяца до истечения срока полномочий действующего руководителя;</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автономного округа,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автономного округа;</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автономного округа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автономного округа и Регламентом Общественной палаты.</w:t>
      </w:r>
    </w:p>
    <w:p>
      <w:pPr>
        <w:pStyle w:val="0"/>
        <w:spacing w:before="200" w:line-rule="auto"/>
        <w:ind w:firstLine="540"/>
        <w:jc w:val="both"/>
      </w:pPr>
      <w:r>
        <w:rPr>
          <w:sz w:val="20"/>
        </w:rPr>
        <w:t xml:space="preserve">9. Для изучения и подготовки к рассмотрению вопросов и выработки рекомендаций по основным направлениям деятельности Общественной палаты ее органами могут создаваться рабочие группы Общественной палаты.</w:t>
      </w:r>
    </w:p>
    <w:p>
      <w:pPr>
        <w:pStyle w:val="0"/>
        <w:spacing w:before="200" w:line-rule="auto"/>
        <w:ind w:firstLine="540"/>
        <w:jc w:val="both"/>
      </w:pPr>
      <w:r>
        <w:rPr>
          <w:sz w:val="20"/>
        </w:rPr>
        <w:t xml:space="preserve">10. В состав комиссий Общественной палаты входят члены Общественной палаты.</w:t>
      </w:r>
    </w:p>
    <w:p>
      <w:pPr>
        <w:pStyle w:val="0"/>
        <w:spacing w:before="200" w:line-rule="auto"/>
        <w:ind w:firstLine="540"/>
        <w:jc w:val="both"/>
      </w:pPr>
      <w:r>
        <w:rPr>
          <w:sz w:val="20"/>
        </w:rPr>
        <w:t xml:space="preserve">В состав рабочих групп Общественной палаты могут входить члены Общественной палаты, представители некоммерческих организаций, иные граждане.</w:t>
      </w:r>
    </w:p>
    <w:p>
      <w:pPr>
        <w:pStyle w:val="0"/>
        <w:spacing w:before="200" w:line-rule="auto"/>
        <w:ind w:firstLine="540"/>
        <w:jc w:val="both"/>
      </w:pPr>
      <w:r>
        <w:rPr>
          <w:sz w:val="20"/>
        </w:rPr>
        <w:t xml:space="preserve">11. Полномочия председателя Общественной палаты могут быть прекращены досрочно по его письменному заявлению без прекращения членства в Общественной палате.</w:t>
      </w:r>
    </w:p>
    <w:p>
      <w:pPr>
        <w:pStyle w:val="0"/>
        <w:spacing w:before="200" w:line-rule="auto"/>
        <w:ind w:firstLine="540"/>
        <w:jc w:val="both"/>
      </w:pPr>
      <w:r>
        <w:rPr>
          <w:sz w:val="20"/>
        </w:rPr>
        <w:t xml:space="preserve">Новый председатель Общественной палаты избирается с соблюдением положений настоящего Закона на очередном заседании Общественной палаты после досрочного прекращения полномочий предыдущего председателя Общественной палаты.</w:t>
      </w:r>
    </w:p>
    <w:p>
      <w:pPr>
        <w:pStyle w:val="0"/>
        <w:jc w:val="both"/>
      </w:pPr>
      <w:r>
        <w:rPr>
          <w:sz w:val="20"/>
        </w:rPr>
      </w:r>
    </w:p>
    <w:p>
      <w:pPr>
        <w:pStyle w:val="2"/>
        <w:outlineLvl w:val="0"/>
        <w:ind w:firstLine="540"/>
        <w:jc w:val="both"/>
      </w:pPr>
      <w:r>
        <w:rPr>
          <w:sz w:val="20"/>
        </w:rPr>
        <w:t xml:space="preserve">Статья 9.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Ханты-Мансийского автономного округа - Югры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w:t>
      </w:r>
      <w:hyperlink w:history="0" w:anchor="P91" w:tooltip="1. Общественная палата формируется из числа граждан Российской Федерации, проживающих на территории автономного округа, в количестве сорока пяти человек.">
        <w:r>
          <w:rPr>
            <w:sz w:val="20"/>
            <w:color w:val="0000ff"/>
          </w:rPr>
          <w:t xml:space="preserve">пунктом 1 статьи 7</w:t>
        </w:r>
      </w:hyperlink>
      <w:r>
        <w:rPr>
          <w:sz w:val="20"/>
        </w:rPr>
        <w:t xml:space="preserve"> настоящего Закона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Вопросы организации деятельности Общественной палаты в части, не урегулированной федеральными законами и настоящим Законом, определяются Регламентом Общественной палаты.</w:t>
      </w:r>
    </w:p>
    <w:p>
      <w:pPr>
        <w:pStyle w:val="0"/>
        <w:spacing w:before="200" w:line-rule="auto"/>
        <w:ind w:firstLine="540"/>
        <w:jc w:val="both"/>
      </w:pPr>
      <w:r>
        <w:rPr>
          <w:sz w:val="20"/>
        </w:rPr>
        <w:t xml:space="preserve">7. Общественная палата обладает правами, установленными </w:t>
      </w:r>
      <w:hyperlink w:history="0" r:id="rId19" w:tooltip="Федеральный закон от 23.06.2016 N 183-ФЗ (ред. от 05.12.2017)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11</w:t>
        </w:r>
      </w:hyperlink>
      <w:r>
        <w:rPr>
          <w:sz w:val="20"/>
        </w:rPr>
        <w:t xml:space="preserve"> Федерального закона, иными федеральными законами и законами автономного округа.</w:t>
      </w:r>
    </w:p>
    <w:p>
      <w:pPr>
        <w:pStyle w:val="0"/>
        <w:spacing w:before="200" w:line-rule="auto"/>
        <w:ind w:firstLine="540"/>
        <w:jc w:val="both"/>
      </w:pPr>
      <w:r>
        <w:rPr>
          <w:sz w:val="20"/>
        </w:rPr>
        <w:t xml:space="preserve">8.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(п. 8 введен </w:t>
      </w:r>
      <w:hyperlink w:history="0" r:id="rId20" w:tooltip="Закон ХМАО - Югры от 29.03.2018 N 20-оз &quot;О внесении изменений в отдельные законы Ханты-Мансийского автономного округа - Югры&quot; (принят Думой Ханты-Мансийского автономного округа - Югры 29.03.2018) {КонсультантПлюс}">
        <w:r>
          <w:rPr>
            <w:sz w:val="20"/>
            <w:color w:val="0000ff"/>
          </w:rPr>
          <w:t xml:space="preserve">Законом</w:t>
        </w:r>
      </w:hyperlink>
      <w:r>
        <w:rPr>
          <w:sz w:val="20"/>
        </w:rPr>
        <w:t xml:space="preserve"> ХМАО - Югры от 29.03.2018 N 20-оз)</w:t>
      </w:r>
    </w:p>
    <w:p>
      <w:pPr>
        <w:pStyle w:val="0"/>
        <w:jc w:val="both"/>
      </w:pPr>
      <w:r>
        <w:rPr>
          <w:sz w:val="20"/>
        </w:rPr>
      </w:r>
    </w:p>
    <w:p>
      <w:pPr>
        <w:pStyle w:val="2"/>
        <w:outlineLvl w:val="0"/>
        <w:ind w:firstLine="540"/>
        <w:jc w:val="both"/>
      </w:pPr>
      <w:r>
        <w:rPr>
          <w:sz w:val="20"/>
        </w:rPr>
        <w:t xml:space="preserve">Статья 10.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автономного округа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21" w:tooltip="Федеральный закон от 23.06.2016 N 183-ФЗ (ред. от 05.12.2017)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настоящим Законом, иными нормативными правовыми актами автономного округа, Регламентом Общественной палаты.</w:t>
      </w:r>
    </w:p>
    <w:p>
      <w:pPr>
        <w:pStyle w:val="0"/>
        <w:jc w:val="both"/>
      </w:pPr>
      <w:r>
        <w:rPr>
          <w:sz w:val="20"/>
        </w:rPr>
      </w:r>
    </w:p>
    <w:p>
      <w:pPr>
        <w:pStyle w:val="2"/>
        <w:outlineLvl w:val="0"/>
        <w:ind w:firstLine="540"/>
        <w:jc w:val="both"/>
      </w:pPr>
      <w:r>
        <w:rPr>
          <w:sz w:val="20"/>
        </w:rPr>
        <w:t xml:space="preserve">Статья 11. Ежегодный доклад (информация) Общественной палаты</w:t>
      </w:r>
    </w:p>
    <w:p>
      <w:pPr>
        <w:pStyle w:val="0"/>
        <w:jc w:val="both"/>
      </w:pPr>
      <w:r>
        <w:rPr>
          <w:sz w:val="20"/>
        </w:rPr>
      </w:r>
    </w:p>
    <w:p>
      <w:pPr>
        <w:pStyle w:val="0"/>
        <w:ind w:firstLine="540"/>
        <w:jc w:val="both"/>
      </w:pPr>
      <w:r>
        <w:rPr>
          <w:sz w:val="20"/>
        </w:rPr>
        <w:t xml:space="preserve">1. Ежегодный доклад (информация) Общественной палаты подлежит обязательному рассмотрению Думой автономного округа и Губернатором Ханты-Мансийского автономного округа - Югры.</w:t>
      </w:r>
    </w:p>
    <w:p>
      <w:pPr>
        <w:pStyle w:val="0"/>
        <w:spacing w:before="200" w:line-rule="auto"/>
        <w:ind w:firstLine="540"/>
        <w:jc w:val="both"/>
      </w:pPr>
      <w:r>
        <w:rPr>
          <w:sz w:val="20"/>
        </w:rPr>
        <w:t xml:space="preserve">2. Ежегодный доклад (информация) Общественной палаты учитывается органами государственной власти автономного округа при подготовке документов стратегического планирования в Ханты-Мансийском автономном округе - Югре.</w:t>
      </w:r>
    </w:p>
    <w:p>
      <w:pPr>
        <w:pStyle w:val="0"/>
        <w:spacing w:before="200" w:line-rule="auto"/>
        <w:ind w:firstLine="540"/>
        <w:jc w:val="both"/>
      </w:pPr>
      <w:r>
        <w:rPr>
          <w:sz w:val="20"/>
        </w:rPr>
        <w:t xml:space="preserve">3. Ежегодный доклад (информация) Общественной палаты публикуется аппаратом Общественной палаты на официальном сайте Общественной палаты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12.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автономного округа, имеющим печать с изображением герба Ханты-Мансийского автономного округа - Югры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Ханты-Мансийского автономного округа - Югры по представлению Совета Общественной палаты.</w:t>
      </w:r>
    </w:p>
    <w:p>
      <w:pPr>
        <w:pStyle w:val="0"/>
        <w:jc w:val="both"/>
      </w:pPr>
      <w:r>
        <w:rPr>
          <w:sz w:val="20"/>
        </w:rPr>
      </w:r>
    </w:p>
    <w:p>
      <w:pPr>
        <w:pStyle w:val="2"/>
        <w:outlineLvl w:val="0"/>
        <w:ind w:firstLine="540"/>
        <w:jc w:val="both"/>
      </w:pPr>
      <w:r>
        <w:rPr>
          <w:sz w:val="20"/>
        </w:rPr>
        <w:t xml:space="preserve">Статья 13.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автономного округа.</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бюджета автономного округа.</w:t>
      </w:r>
    </w:p>
    <w:p>
      <w:pPr>
        <w:pStyle w:val="0"/>
        <w:jc w:val="both"/>
      </w:pPr>
      <w:r>
        <w:rPr>
          <w:sz w:val="20"/>
        </w:rPr>
      </w:r>
    </w:p>
    <w:p>
      <w:pPr>
        <w:pStyle w:val="2"/>
        <w:outlineLvl w:val="0"/>
        <w:ind w:firstLine="540"/>
        <w:jc w:val="both"/>
      </w:pPr>
      <w:r>
        <w:rPr>
          <w:sz w:val="20"/>
        </w:rPr>
        <w:t xml:space="preserve">Статья 14. Гарантии деятельности членов Общественной палаты</w:t>
      </w:r>
    </w:p>
    <w:p>
      <w:pPr>
        <w:pStyle w:val="0"/>
        <w:jc w:val="both"/>
      </w:pPr>
      <w:r>
        <w:rPr>
          <w:sz w:val="20"/>
        </w:rPr>
      </w:r>
    </w:p>
    <w:p>
      <w:pPr>
        <w:pStyle w:val="0"/>
        <w:ind w:firstLine="540"/>
        <w:jc w:val="both"/>
      </w:pPr>
      <w:r>
        <w:rPr>
          <w:sz w:val="20"/>
        </w:rPr>
        <w:t xml:space="preserve">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предусматривающих выезд из населенного пункта, в котором он постоянно проживает, в иные населенные пункты Российской Федерации (далее - компенсация расходов).</w:t>
      </w:r>
    </w:p>
    <w:p>
      <w:pPr>
        <w:pStyle w:val="0"/>
        <w:spacing w:before="200" w:line-rule="auto"/>
        <w:ind w:firstLine="540"/>
        <w:jc w:val="both"/>
      </w:pPr>
      <w:r>
        <w:rPr>
          <w:sz w:val="20"/>
        </w:rPr>
        <w:t xml:space="preserve">Поездка члена Общественной палаты, в связи с которой предоставляется компенсация расходов, подлежит предварительному согласованию в письменной форме с руководителем аппарата Общественной палаты, а в случае выезда за пределы автономного округа - также с руководителем исполнительного органа государственной власти автономного округа, в ведении которого находится аппарат Общественной палаты.</w:t>
      </w:r>
    </w:p>
    <w:p>
      <w:pPr>
        <w:pStyle w:val="0"/>
        <w:spacing w:before="200" w:line-rule="auto"/>
        <w:ind w:firstLine="540"/>
        <w:jc w:val="both"/>
      </w:pPr>
      <w:r>
        <w:rPr>
          <w:sz w:val="20"/>
        </w:rPr>
        <w:t xml:space="preserve">2. Компенсация расходов осуществляется аппаратом Общественной палаты в соответствии с установленным Правительством Ханты-Мансийского автономного округа - Югры порядком возмещения расходов, связанных со служебными командировками, руководителям государственных учреждений автономного округа.</w:t>
      </w:r>
    </w:p>
    <w:p>
      <w:pPr>
        <w:pStyle w:val="0"/>
        <w:spacing w:before="200" w:line-rule="auto"/>
        <w:ind w:firstLine="540"/>
        <w:jc w:val="both"/>
      </w:pPr>
      <w:r>
        <w:rPr>
          <w:sz w:val="20"/>
        </w:rPr>
        <w:t xml:space="preserve">3. Компенсация расходов осуществляется за счет средств бюджета автономного округа, предусмотренных на обеспечение деятельности Общественной палаты.</w:t>
      </w:r>
    </w:p>
    <w:p>
      <w:pPr>
        <w:pStyle w:val="0"/>
        <w:jc w:val="both"/>
      </w:pPr>
      <w:r>
        <w:rPr>
          <w:sz w:val="20"/>
        </w:rPr>
      </w:r>
    </w:p>
    <w:p>
      <w:pPr>
        <w:pStyle w:val="2"/>
        <w:outlineLvl w:val="0"/>
        <w:ind w:firstLine="540"/>
        <w:jc w:val="both"/>
      </w:pPr>
      <w:r>
        <w:rPr>
          <w:sz w:val="20"/>
        </w:rPr>
        <w:t xml:space="preserve">Статья 15.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2017 года.</w:t>
      </w:r>
    </w:p>
    <w:p>
      <w:pPr>
        <w:pStyle w:val="0"/>
        <w:spacing w:before="200" w:line-rule="auto"/>
        <w:ind w:firstLine="540"/>
        <w:jc w:val="both"/>
      </w:pPr>
      <w:r>
        <w:rPr>
          <w:sz w:val="20"/>
        </w:rPr>
        <w:t xml:space="preserve">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spacing w:before="200" w:line-rule="auto"/>
        <w:ind w:firstLine="540"/>
        <w:jc w:val="both"/>
      </w:pPr>
      <w:r>
        <w:rPr>
          <w:sz w:val="20"/>
        </w:rPr>
        <w:t xml:space="preserve">3. Со дня первого заседания Общественной палаты, сформированной в соответствии с настоящим Законом, признать утратившими силу:</w:t>
      </w:r>
    </w:p>
    <w:p>
      <w:pPr>
        <w:pStyle w:val="0"/>
        <w:spacing w:before="200" w:line-rule="auto"/>
        <w:ind w:firstLine="540"/>
        <w:jc w:val="both"/>
      </w:pPr>
      <w:r>
        <w:rPr>
          <w:sz w:val="20"/>
        </w:rPr>
        <w:t xml:space="preserve">1) </w:t>
      </w:r>
      <w:hyperlink w:history="0" r:id="rId22" w:tooltip="Закон ХМАО - Югры от 26.02.2006 N 33-оз (ред. от 29.03.2018) &quot;Об Общественной палате Ханты-Мансийского автономного округа - Югры&quot; (принят Думой Ханты-Мансийского автономного округа - Югры 10.02.2006)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26 февраля 2006 года N 33-оз "Об Общественной палате Ханты-Мансийского автономного округа - Югры" (Собрание законодательства Ханты-Мансийского автономного округа - Югры, 2006, N 2, ст. 82);</w:t>
      </w:r>
    </w:p>
    <w:p>
      <w:pPr>
        <w:pStyle w:val="0"/>
        <w:spacing w:before="200" w:line-rule="auto"/>
        <w:ind w:firstLine="540"/>
        <w:jc w:val="both"/>
      </w:pPr>
      <w:r>
        <w:rPr>
          <w:sz w:val="20"/>
        </w:rPr>
        <w:t xml:space="preserve">2) </w:t>
      </w:r>
      <w:hyperlink w:history="0" r:id="rId23" w:tooltip="Закон ХМАО - Югры от 21.07.2008 N 60-оз &quot;О внесении изменений в Закон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10.07.2008)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21 июля 2008 года N 60-оз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2008, N 7 (с.), ст. 1106);</w:t>
      </w:r>
    </w:p>
    <w:p>
      <w:pPr>
        <w:pStyle w:val="0"/>
        <w:spacing w:before="200" w:line-rule="auto"/>
        <w:ind w:firstLine="540"/>
        <w:jc w:val="both"/>
      </w:pPr>
      <w:r>
        <w:rPr>
          <w:sz w:val="20"/>
        </w:rPr>
        <w:t xml:space="preserve">3) </w:t>
      </w:r>
      <w:hyperlink w:history="0" r:id="rId24" w:tooltip="Закон ХМАО - Югры от 30.03.2009 N 19-оз (ред. от 25.06.2015) &quot;О внесении изменений в отдельные Законы Ханты-Мансийского автономного округа - Югры в связи с принятием Федерального закона &quot;О противодействии коррупции&quot; (принят Думой Ханты-Мансийского автономного округа - Югры 20.03.2009) ------------ Недействующая редакция {КонсультантПлюс}">
        <w:r>
          <w:rPr>
            <w:sz w:val="20"/>
            <w:color w:val="0000ff"/>
          </w:rPr>
          <w:t xml:space="preserve">статью 6</w:t>
        </w:r>
      </w:hyperlink>
      <w:r>
        <w:rPr>
          <w:sz w:val="20"/>
        </w:rPr>
        <w:t xml:space="preserve"> Закона Ханты-Мансийского автономного округа - Югры от 30 марта 2009 года N 19-оз "О внесении изменений в отдельные законы Ханты-Мансийского автономного округа - Югры в связи с принятием Федерального закона "О противодействии коррупции" (Собрание законодательства Ханты-Мансийского автономного округа - Югры, 2009, N 3 (ч. 2), ст. 166);</w:t>
      </w:r>
    </w:p>
    <w:p>
      <w:pPr>
        <w:pStyle w:val="0"/>
        <w:spacing w:before="200" w:line-rule="auto"/>
        <w:ind w:firstLine="540"/>
        <w:jc w:val="both"/>
      </w:pPr>
      <w:r>
        <w:rPr>
          <w:sz w:val="20"/>
        </w:rPr>
        <w:t xml:space="preserve">4) </w:t>
      </w:r>
      <w:hyperlink w:history="0" r:id="rId25" w:tooltip="Закон ХМАО - Югры от 28.10.2011 N 103-оз &quot;О внесении изменений в Закон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28.10.2011)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28 октября 2011 года N 103-оз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2011, N 10 (ч. 2), ст. 1007);</w:t>
      </w:r>
    </w:p>
    <w:p>
      <w:pPr>
        <w:pStyle w:val="0"/>
        <w:spacing w:before="200" w:line-rule="auto"/>
        <w:ind w:firstLine="540"/>
        <w:jc w:val="both"/>
      </w:pPr>
      <w:r>
        <w:rPr>
          <w:sz w:val="20"/>
        </w:rPr>
        <w:t xml:space="preserve">5) </w:t>
      </w:r>
      <w:hyperlink w:history="0" r:id="rId26" w:tooltip="Закон ХМАО - Югры от 05.04.2013 N 22-оз &quot;О внесении изменений в Закон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04.04.2013)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5 апреля 2013 года N 22-оз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(ч. 1), ст. 326);</w:t>
      </w:r>
    </w:p>
    <w:p>
      <w:pPr>
        <w:pStyle w:val="0"/>
        <w:spacing w:before="200" w:line-rule="auto"/>
        <w:ind w:firstLine="540"/>
        <w:jc w:val="both"/>
      </w:pPr>
      <w:r>
        <w:rPr>
          <w:sz w:val="20"/>
        </w:rPr>
        <w:t xml:space="preserve">6) </w:t>
      </w:r>
      <w:hyperlink w:history="0" r:id="rId27" w:tooltip="Закон ХМАО - Югры от 23.04.2013 N 42-оз &quot;О внесении изменений в Закон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23.04.2013)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23 апреля 2013 года N 42-оз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2013, N 4 (с.), ст. 437);</w:t>
      </w:r>
    </w:p>
    <w:p>
      <w:pPr>
        <w:pStyle w:val="0"/>
        <w:spacing w:before="200" w:line-rule="auto"/>
        <w:ind w:firstLine="540"/>
        <w:jc w:val="both"/>
      </w:pPr>
      <w:r>
        <w:rPr>
          <w:sz w:val="20"/>
        </w:rPr>
        <w:t xml:space="preserve">7) </w:t>
      </w:r>
      <w:hyperlink w:history="0" r:id="rId28" w:tooltip="Закон ХМАО - Югры от 17.10.2014 N 85-оз &quot;О внесении изменений в Закон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14.10.2014)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17 октября 2014 года N 85-оз "О внесении изменений в Закон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2014, N 10 (с.), ст. 1185);</w:t>
      </w:r>
    </w:p>
    <w:p>
      <w:pPr>
        <w:pStyle w:val="0"/>
        <w:spacing w:before="200" w:line-rule="auto"/>
        <w:ind w:firstLine="540"/>
        <w:jc w:val="both"/>
      </w:pPr>
      <w:r>
        <w:rPr>
          <w:sz w:val="20"/>
        </w:rPr>
        <w:t xml:space="preserve">8) </w:t>
      </w:r>
      <w:hyperlink w:history="0" r:id="rId29" w:tooltip="Закон ХМАО - Югры от 25.06.2015 N 59-оз (ред. от 09.12.2015) &quot;О внесении изменений в отдельные Законы Ханты-Мансийского автономного округа - Югры&quot; (принят Думой Ханты-Мансийского автономного округа - Югры 25.06.2015) ------------ Недействующая редакция {КонсультантПлюс}">
        <w:r>
          <w:rPr>
            <w:sz w:val="20"/>
            <w:color w:val="0000ff"/>
          </w:rPr>
          <w:t xml:space="preserve">статью 1</w:t>
        </w:r>
      </w:hyperlink>
      <w:r>
        <w:rPr>
          <w:sz w:val="20"/>
        </w:rPr>
        <w:t xml:space="preserve"> Закона Ханты-Мансийского автономного округа - Югры от 25 июня 2015 года N 59-оз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2015, N 6 (ч. 2), ст. 509);</w:t>
      </w:r>
    </w:p>
    <w:p>
      <w:pPr>
        <w:pStyle w:val="0"/>
        <w:spacing w:before="200" w:line-rule="auto"/>
        <w:ind w:firstLine="540"/>
        <w:jc w:val="both"/>
      </w:pPr>
      <w:r>
        <w:rPr>
          <w:sz w:val="20"/>
        </w:rPr>
        <w:t xml:space="preserve">9) </w:t>
      </w:r>
      <w:hyperlink w:history="0" r:id="rId30" w:tooltip="Закон ХМАО - Югры от 25.02.2016 N 21-оз &quot;О внесении изменения в статью 6 Закона Ханты-Мансийского автономного округа - Югры &quot;Об Общественной палате Ханты-Мансийского автономного округа - Югры&quot; (принят Думой Ханты-Мансийского автономного округа - Югры 25.02.2016) ------------ Утратил силу или отменен {КонсультантПлюс}">
        <w:r>
          <w:rPr>
            <w:sz w:val="20"/>
            <w:color w:val="0000ff"/>
          </w:rPr>
          <w:t xml:space="preserve">Закон</w:t>
        </w:r>
      </w:hyperlink>
      <w:r>
        <w:rPr>
          <w:sz w:val="20"/>
        </w:rPr>
        <w:t xml:space="preserve"> Ханты-Мансийского автономного округа - Югры от 25 февраля 2016 года N 21-оз "О внесении изменения в статью 6 Закона Ханты-Мансийского автономного округа - Югры "Об Общественной палате Ханты-Мансийского автономного округа - Югры" (Собрание законодательства Ханты-Мансийского автономного округа - Югры, 2016, N 2 (ч. 2, т. 1), ст. 137).</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pPr>
      <w:r>
        <w:rPr>
          <w:sz w:val="20"/>
        </w:rPr>
        <w:t xml:space="preserve">г. Ханты-Мансийск</w:t>
      </w:r>
    </w:p>
    <w:p>
      <w:pPr>
        <w:pStyle w:val="0"/>
        <w:spacing w:before="200" w:line-rule="auto"/>
      </w:pPr>
      <w:r>
        <w:rPr>
          <w:sz w:val="20"/>
        </w:rPr>
        <w:t xml:space="preserve">23 декабря 2016 года</w:t>
      </w:r>
    </w:p>
    <w:p>
      <w:pPr>
        <w:pStyle w:val="0"/>
        <w:spacing w:before="200" w:line-rule="auto"/>
      </w:pPr>
      <w:r>
        <w:rPr>
          <w:sz w:val="20"/>
        </w:rPr>
        <w:t xml:space="preserve">N 103-оз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odd" r:id="rId5"/>
      <w:headerReference w:type="first" r:id="rId5"/>
      <w:footerReference w:type="odd"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ХМАО - Югры от 23.12.2016 N 103-оз</w:t>
            <w:br/>
            <w:t>(ред. от 29.03.2018)</w:t>
            <w:br/>
            <w:t>"Об Общественной палате Ханты-Мансийского автономного окру...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10.09.2020</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www.consultant.ru" TargetMode = "External"/>
	<Relationship Id="rId4" Type="http://purl.oclc.org/ooxml/officeDocument/relationships/hyperlink" Target="http://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8BC99ACA43B7A8A41CE7006B59A4C2631619553C4C014F684226B695CA7131A4B3D50458AEA60991D824B9DA93EC95541B034FCE5E8AF8E16C5752ADV91AH" TargetMode = "External"/>
	<Relationship Id="rId8" Type="http://purl.oclc.org/ooxml/officeDocument/relationships/hyperlink" Target="consultantplus://offline/ref=8BC99ACA43B7A8A41CE71E664FC8956C121A0F324E04443E1A74B0C2952137F1F395020DEDE20492D92FED8BDEB2CC045F4842C64096F8EAV712H" TargetMode = "External"/>
	<Relationship Id="rId9" Type="http://purl.oclc.org/ooxml/officeDocument/relationships/hyperlink" Target="consultantplus://offline/ref=8BC99ACA43B7A8A41CE71E664FC8956C121A0C344650133C4B21BEC79D716DE1E5DC0E0CF3E20D8EDA24BBVD1AH" TargetMode = "External"/>
	<Relationship Id="rId10" Type="http://purl.oclc.org/ooxml/officeDocument/relationships/hyperlink" Target="consultantplus://offline/ref=8BC99ACA43B7A8A41CE71E664FC8956C121A0F324E04443E1A74B0C2952137F1F395020DEDE20492D92FED8BDEB2CC045F4842C64096F8EAV712H" TargetMode = "External"/>
	<Relationship Id="rId11" Type="http://purl.oclc.org/ooxml/officeDocument/relationships/hyperlink" Target="consultantplus://offline/ref=8BC99ACA43B7A8A41CE7006B59A4C2631619553C4C0F4B6B4423B695CA7131A4B3D50458BCA6519DD924A7DA93F9C3055DV516H" TargetMode = "External"/>
	<Relationship Id="rId12" Type="http://purl.oclc.org/ooxml/officeDocument/relationships/hyperlink" Target="consultantplus://offline/ref=8BC99ACA43B7A8A41CE71E664FC8956C121A0F324E04443E1A74B0C2952137F1E1955A01ECE21A90D13ABBDA98VE17H" TargetMode = "External"/>
	<Relationship Id="rId13" Type="http://purl.oclc.org/ooxml/officeDocument/relationships/hyperlink" Target="consultantplus://offline/ref=8BC99ACA43B7A8A41CE71E664FC8956C121A0F324E04443E1A74B0C2952137F1E1955A01ECE21A90D13ABBDA98VE17H" TargetMode = "External"/>
	<Relationship Id="rId14" Type="http://purl.oclc.org/ooxml/officeDocument/relationships/hyperlink" Target="consultantplus://offline/ref=8BC99ACA43B7A8A41CE71E664FC8956C121A0F324E04443E1A74B0C2952137F1E1955A01ECE21A90D13ABBDA98VE17H" TargetMode = "External"/>
	<Relationship Id="rId15" Type="http://purl.oclc.org/ooxml/officeDocument/relationships/hyperlink" Target="consultantplus://offline/ref=8BC99ACA43B7A8A41CE71E664FC8956C121A0F324E04443E1A74B0C2952137F1F395020DEDE20591DB2FED8BDEB2CC045F4842C64096F8EAV712H" TargetMode = "External"/>
	<Relationship Id="rId16" Type="http://purl.oclc.org/ooxml/officeDocument/relationships/hyperlink" Target="consultantplus://offline/ref=8BC99ACA43B7A8A41CE71E664FC8956C121A0F324E07443E1A74B0C2952137F1E1955A01ECE21A90D13ABBDA98VE17H" TargetMode = "External"/>
	<Relationship Id="rId17" Type="http://purl.oclc.org/ooxml/officeDocument/relationships/hyperlink" Target="consultantplus://offline/ref=8BC99ACA43B7A8A41CE7006B59A4C2631619553C4F074A6B4223B695CA7131A4B3D50458AEA60991D824B9D89EEC95541B034FCE5E8AF8E16C5752ADV91AH" TargetMode = "External"/>
	<Relationship Id="rId18" Type="http://purl.oclc.org/ooxml/officeDocument/relationships/hyperlink" Target="consultantplus://offline/ref=8BC99ACA43B7A8A41CE7006B59A4C2631619553C4F074A6B4223B695CA7131A4B3D50458AEA60991D824B9D89EEC95541B034FCE5E8AF8E16C5752ADV91AH" TargetMode = "External"/>
	<Relationship Id="rId19" Type="http://purl.oclc.org/ooxml/officeDocument/relationships/hyperlink" Target="consultantplus://offline/ref=8BC99ACA43B7A8A41CE71E664FC8956C121A0F324E04443E1A74B0C2952137F1F395020DEDE20592DA2FED8BDEB2CC045F4842C64096F8EAV712H" TargetMode = "External"/>
	<Relationship Id="rId20" Type="http://purl.oclc.org/ooxml/officeDocument/relationships/hyperlink" Target="consultantplus://offline/ref=8BC99ACA43B7A8A41CE7006B59A4C2631619553C4C014F684226B695CA7131A4B3D50458AEA60991D824B9DA93EC95541B034FCE5E8AF8E16C5752ADV91AH" TargetMode = "External"/>
	<Relationship Id="rId21" Type="http://purl.oclc.org/ooxml/officeDocument/relationships/hyperlink" Target="consultantplus://offline/ref=8BC99ACA43B7A8A41CE71E664FC8956C121A0F324E04443E1A74B0C2952137F1E1955A01ECE21A90D13ABBDA98VE17H" TargetMode = "External"/>
	<Relationship Id="rId22" Type="http://purl.oclc.org/ooxml/officeDocument/relationships/hyperlink" Target="consultantplus://offline/ref=8BC99ACA43B7A8A41CE7006B59A4C2631619553C4C014F694023B695CA7131A4B3D50458BCA6519DD924A7DA93F9C3055DV516H" TargetMode = "External"/>
	<Relationship Id="rId23" Type="http://purl.oclc.org/ooxml/officeDocument/relationships/hyperlink" Target="consultantplus://offline/ref=8BC99ACA43B7A8A41CE7006B59A4C2631619553C49034669442BEB9FC2283DA6B4DA5B5DA9B70991D83AB9D384E5C107V51FH" TargetMode = "External"/>
	<Relationship Id="rId24" Type="http://purl.oclc.org/ooxml/officeDocument/relationships/hyperlink" Target="consultantplus://offline/ref=8BC99ACA43B7A8A41CE7006B59A4C2631619553C4C074A6D4325B695CA7131A4B3D50458AEA60991D824B9DF9AEC95541B034FCE5E8AF8E16C5752ADV91AH" TargetMode = "External"/>
	<Relationship Id="rId25" Type="http://purl.oclc.org/ooxml/officeDocument/relationships/hyperlink" Target="consultantplus://offline/ref=8BC99ACA43B7A8A41CE7006B59A4C2631619553C4A024C69402BEB9FC2283DA6B4DA5B5DA9B70991D83AB9D384E5C107V51FH" TargetMode = "External"/>
	<Relationship Id="rId26" Type="http://purl.oclc.org/ooxml/officeDocument/relationships/hyperlink" Target="consultantplus://offline/ref=8BC99ACA43B7A8A41CE7006B59A4C2631619553C450146694F2BEB9FC2283DA6B4DA5B5DA9B70991D83AB9D384E5C107V51FH" TargetMode = "External"/>
	<Relationship Id="rId27" Type="http://purl.oclc.org/ooxml/officeDocument/relationships/hyperlink" Target="consultantplus://offline/ref=8BC99ACA43B7A8A41CE7006B59A4C2631619553C450E4B6D462BEB9FC2283DA6B4DA5B5DA9B70991D83AB9D384E5C107V51FH" TargetMode = "External"/>
	<Relationship Id="rId28" Type="http://purl.oclc.org/ooxml/officeDocument/relationships/hyperlink" Target="consultantplus://offline/ref=8BC99ACA43B7A8A41CE7006B59A4C2631619553C4C064B6E4E20B695CA7131A4B3D50458BCA6519DD924A7DA93F9C3055DV516H" TargetMode = "External"/>
	<Relationship Id="rId29" Type="http://purl.oclc.org/ooxml/officeDocument/relationships/hyperlink" Target="consultantplus://offline/ref=8BC99ACA43B7A8A41CE7006B59A4C2631619553C4C044C6E4628B695CA7131A4B3D50458AEA60991D824B9DA9DEC95541B034FCE5E8AF8E16C5752ADV91AH" TargetMode = "External"/>
	<Relationship Id="rId30" Type="http://purl.oclc.org/ooxml/officeDocument/relationships/hyperlink" Target="consultantplus://offline/ref=8BC99ACA43B7A8A41CE7006B59A4C2631619553C4C04486B4E20B695CA7131A4B3D50458BCA6519DD924A7DA93F9C3055DV516H"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4020.00.28</Application>
  <Company>КонсультантПлюс Версия 4020.00.28</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23.12.2016 N 103-оз
(ред. от 29.03.2018)
"Об Общественной палате Ханты-Мансийского автономного округа - Югры"
(принят Думой Ханты-Мансийского автономного округа - Югры 23.12.2016)</dc:title>
  <dcterms:created xsi:type="dcterms:W3CDTF">2020-09-10T07:53:21Z</dcterms:created>
</cp:coreProperties>
</file>