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AB" w:rsidRDefault="00AF24A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F24AB" w:rsidRDefault="00AF24AB" w:rsidP="00656C1A">
      <w:pPr>
        <w:spacing w:line="120" w:lineRule="atLeast"/>
        <w:jc w:val="center"/>
        <w:rPr>
          <w:sz w:val="24"/>
          <w:szCs w:val="24"/>
        </w:rPr>
      </w:pPr>
    </w:p>
    <w:p w:rsidR="00AF24AB" w:rsidRPr="00852378" w:rsidRDefault="00AF24AB" w:rsidP="00656C1A">
      <w:pPr>
        <w:spacing w:line="120" w:lineRule="atLeast"/>
        <w:jc w:val="center"/>
        <w:rPr>
          <w:sz w:val="10"/>
          <w:szCs w:val="10"/>
        </w:rPr>
      </w:pPr>
    </w:p>
    <w:p w:rsidR="00AF24AB" w:rsidRDefault="00AF24AB" w:rsidP="00656C1A">
      <w:pPr>
        <w:spacing w:line="120" w:lineRule="atLeast"/>
        <w:jc w:val="center"/>
        <w:rPr>
          <w:sz w:val="10"/>
          <w:szCs w:val="24"/>
        </w:rPr>
      </w:pPr>
    </w:p>
    <w:p w:rsidR="00AF24AB" w:rsidRPr="005541F0" w:rsidRDefault="00AF24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24AB" w:rsidRDefault="00AF24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24AB" w:rsidRPr="005541F0" w:rsidRDefault="00AF24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24AB" w:rsidRPr="005649E4" w:rsidRDefault="00AF24AB" w:rsidP="00656C1A">
      <w:pPr>
        <w:spacing w:line="120" w:lineRule="atLeast"/>
        <w:jc w:val="center"/>
        <w:rPr>
          <w:sz w:val="18"/>
          <w:szCs w:val="24"/>
        </w:rPr>
      </w:pPr>
    </w:p>
    <w:p w:rsidR="00AF24AB" w:rsidRPr="00656C1A" w:rsidRDefault="00AF24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24AB" w:rsidRPr="005541F0" w:rsidRDefault="00AF24AB" w:rsidP="00656C1A">
      <w:pPr>
        <w:spacing w:line="120" w:lineRule="atLeast"/>
        <w:jc w:val="center"/>
        <w:rPr>
          <w:sz w:val="18"/>
          <w:szCs w:val="24"/>
        </w:rPr>
      </w:pPr>
    </w:p>
    <w:p w:rsidR="00AF24AB" w:rsidRPr="005541F0" w:rsidRDefault="00AF24AB" w:rsidP="00656C1A">
      <w:pPr>
        <w:spacing w:line="120" w:lineRule="atLeast"/>
        <w:jc w:val="center"/>
        <w:rPr>
          <w:sz w:val="20"/>
          <w:szCs w:val="24"/>
        </w:rPr>
      </w:pPr>
    </w:p>
    <w:p w:rsidR="00AF24AB" w:rsidRPr="00656C1A" w:rsidRDefault="00AF24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24AB" w:rsidRDefault="00AF24AB" w:rsidP="00656C1A">
      <w:pPr>
        <w:spacing w:line="120" w:lineRule="atLeast"/>
        <w:jc w:val="center"/>
        <w:rPr>
          <w:sz w:val="30"/>
          <w:szCs w:val="24"/>
        </w:rPr>
      </w:pPr>
    </w:p>
    <w:p w:rsidR="00AF24AB" w:rsidRPr="00656C1A" w:rsidRDefault="00AF24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24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24AB" w:rsidRPr="00F8214F" w:rsidRDefault="00AF24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24AB" w:rsidRPr="00F8214F" w:rsidRDefault="0086534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24AB" w:rsidRPr="00F8214F" w:rsidRDefault="00AF24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24AB" w:rsidRPr="00F8214F" w:rsidRDefault="0086534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AF24AB" w:rsidRPr="00A63FB0" w:rsidRDefault="00AF24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24AB" w:rsidRPr="00A3761A" w:rsidRDefault="0086534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F24AB" w:rsidRPr="00F8214F" w:rsidRDefault="00AF24A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F24AB" w:rsidRPr="00F8214F" w:rsidRDefault="00AF24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24AB" w:rsidRPr="00AB4194" w:rsidRDefault="00AF24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24AB" w:rsidRPr="00F8214F" w:rsidRDefault="0086534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2702</w:t>
            </w:r>
          </w:p>
        </w:tc>
      </w:tr>
    </w:tbl>
    <w:p w:rsidR="00AF24AB" w:rsidRPr="00C725A6" w:rsidRDefault="00AF24AB" w:rsidP="00C725A6">
      <w:pPr>
        <w:rPr>
          <w:rFonts w:cs="Times New Roman"/>
          <w:szCs w:val="28"/>
        </w:rPr>
      </w:pPr>
    </w:p>
    <w:p w:rsidR="00AF24AB" w:rsidRDefault="00AF24AB" w:rsidP="00AF24AB">
      <w:pPr>
        <w:rPr>
          <w:szCs w:val="28"/>
        </w:rPr>
      </w:pPr>
      <w:r>
        <w:rPr>
          <w:szCs w:val="28"/>
        </w:rPr>
        <w:t xml:space="preserve">Об утверждении порядка оценки </w:t>
      </w:r>
    </w:p>
    <w:p w:rsidR="00AF24AB" w:rsidRDefault="00AF24AB" w:rsidP="00AF24AB">
      <w:pPr>
        <w:rPr>
          <w:szCs w:val="28"/>
        </w:rPr>
      </w:pPr>
      <w:r>
        <w:rPr>
          <w:szCs w:val="28"/>
        </w:rPr>
        <w:t xml:space="preserve">эффективности инвестиционных </w:t>
      </w:r>
    </w:p>
    <w:p w:rsidR="00AF24AB" w:rsidRDefault="00AF24AB" w:rsidP="00AF24AB">
      <w:pPr>
        <w:rPr>
          <w:szCs w:val="28"/>
        </w:rPr>
      </w:pPr>
      <w:r>
        <w:rPr>
          <w:szCs w:val="28"/>
        </w:rPr>
        <w:t xml:space="preserve">проектов при предоставлении </w:t>
      </w:r>
    </w:p>
    <w:p w:rsidR="00AF24AB" w:rsidRDefault="00AF24AB" w:rsidP="00AF24AB">
      <w:pPr>
        <w:rPr>
          <w:szCs w:val="28"/>
        </w:rPr>
      </w:pPr>
      <w:r>
        <w:rPr>
          <w:szCs w:val="28"/>
        </w:rPr>
        <w:t xml:space="preserve">муниципальных гарантий </w:t>
      </w:r>
    </w:p>
    <w:p w:rsidR="00AF24AB" w:rsidRDefault="00AF24AB" w:rsidP="00AF24AB">
      <w:pPr>
        <w:rPr>
          <w:szCs w:val="28"/>
        </w:rPr>
      </w:pPr>
      <w:r>
        <w:rPr>
          <w:szCs w:val="28"/>
        </w:rPr>
        <w:t>городского округа город Сургут</w:t>
      </w:r>
    </w:p>
    <w:p w:rsidR="00AF24AB" w:rsidRDefault="00AF24AB" w:rsidP="00AF24AB">
      <w:pPr>
        <w:rPr>
          <w:szCs w:val="28"/>
        </w:rPr>
      </w:pPr>
    </w:p>
    <w:p w:rsidR="00AF24AB" w:rsidRDefault="00AF24AB" w:rsidP="00AF24AB">
      <w:pPr>
        <w:ind w:firstLine="709"/>
        <w:jc w:val="both"/>
        <w:rPr>
          <w:szCs w:val="28"/>
        </w:rPr>
      </w:pPr>
    </w:p>
    <w:p w:rsidR="00AF24AB" w:rsidRDefault="00AF24AB" w:rsidP="00AF24AB">
      <w:pPr>
        <w:ind w:firstLine="709"/>
        <w:jc w:val="both"/>
        <w:rPr>
          <w:szCs w:val="28"/>
        </w:rPr>
      </w:pPr>
      <w:r w:rsidRPr="009F656A">
        <w:rPr>
          <w:szCs w:val="28"/>
        </w:rPr>
        <w:t xml:space="preserve">В </w:t>
      </w:r>
      <w:r>
        <w:rPr>
          <w:szCs w:val="28"/>
        </w:rPr>
        <w:t>соответствии с р</w:t>
      </w:r>
      <w:r w:rsidRPr="00B10298">
        <w:rPr>
          <w:szCs w:val="28"/>
        </w:rPr>
        <w:t>ешение</w:t>
      </w:r>
      <w:r>
        <w:rPr>
          <w:szCs w:val="28"/>
        </w:rPr>
        <w:t>м</w:t>
      </w:r>
      <w:r w:rsidRPr="00B10298">
        <w:rPr>
          <w:szCs w:val="28"/>
        </w:rPr>
        <w:t xml:space="preserve"> Думы города от 27.02.2009 № 509-IV ДГ</w:t>
      </w:r>
      <w:r>
        <w:rPr>
          <w:szCs w:val="28"/>
        </w:rPr>
        <w:t xml:space="preserve">              </w:t>
      </w:r>
      <w:proofErr w:type="gramStart"/>
      <w:r>
        <w:rPr>
          <w:szCs w:val="28"/>
        </w:rPr>
        <w:t xml:space="preserve">  </w:t>
      </w:r>
      <w:r w:rsidRPr="00B10298">
        <w:rPr>
          <w:szCs w:val="28"/>
        </w:rPr>
        <w:t xml:space="preserve"> «</w:t>
      </w:r>
      <w:proofErr w:type="gramEnd"/>
      <w:r w:rsidRPr="00B10298">
        <w:rPr>
          <w:szCs w:val="28"/>
        </w:rPr>
        <w:t>О Порядке предоставления муниципальных гарантий городского округа город Сургут»</w:t>
      </w:r>
      <w:r>
        <w:rPr>
          <w:szCs w:val="28"/>
        </w:rPr>
        <w:t xml:space="preserve">, </w:t>
      </w:r>
      <w:r w:rsidRPr="006921A8">
        <w:rPr>
          <w:szCs w:val="28"/>
        </w:rPr>
        <w:t>постановлением Администрации города от 28.04.2017</w:t>
      </w:r>
      <w:r>
        <w:rPr>
          <w:szCs w:val="28"/>
        </w:rPr>
        <w:t xml:space="preserve"> </w:t>
      </w:r>
      <w:r w:rsidRPr="006921A8">
        <w:rPr>
          <w:szCs w:val="28"/>
        </w:rPr>
        <w:t>№ 3500</w:t>
      </w:r>
      <w:r>
        <w:rPr>
          <w:szCs w:val="28"/>
        </w:rPr>
        <w:t xml:space="preserve">                  </w:t>
      </w:r>
      <w:r w:rsidRPr="006921A8">
        <w:rPr>
          <w:szCs w:val="28"/>
        </w:rPr>
        <w:t xml:space="preserve"> «О реализации решения Думы города от 27.02.2009 № 509-IV ДГ «О Порядке предоставления муниципальных гарантий городского округа город Сургут»</w:t>
      </w:r>
      <w:r>
        <w:rPr>
          <w:szCs w:val="28"/>
        </w:rPr>
        <w:t>:</w:t>
      </w:r>
    </w:p>
    <w:p w:rsidR="00AF24AB" w:rsidRPr="00AF24AB" w:rsidRDefault="00AF24AB" w:rsidP="00AF24A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порядок оценки эффективности инвестиционных проектов при предоставлении муниципальных гарантий городского округа город Сургут согласно </w:t>
      </w:r>
      <w:r w:rsidR="00DF0D9A">
        <w:rPr>
          <w:szCs w:val="28"/>
        </w:rPr>
        <w:t>приложению.</w:t>
      </w:r>
    </w:p>
    <w:p w:rsidR="00AF24AB" w:rsidRPr="00AF24AB" w:rsidRDefault="00AF24AB" w:rsidP="00AF24A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24AB">
        <w:rPr>
          <w:szCs w:val="28"/>
        </w:rPr>
        <w:t>2. Управлению документационного и информационного обеспечения                разместить настоящее постановление на официальном портале Администрации города:</w:t>
      </w:r>
      <w:r w:rsidRPr="00AF24AB">
        <w:rPr>
          <w:rFonts w:eastAsia="Times New Roman" w:cs="Arial"/>
          <w:szCs w:val="28"/>
          <w:lang w:eastAsia="ru-RU"/>
        </w:rPr>
        <w:t xml:space="preserve"> www.admsurgut.ru</w:t>
      </w:r>
      <w:r w:rsidRPr="00AF24AB">
        <w:rPr>
          <w:rFonts w:eastAsia="Times New Roman" w:cs="Times New Roman"/>
          <w:szCs w:val="28"/>
          <w:lang w:eastAsia="ru-RU"/>
        </w:rPr>
        <w:t xml:space="preserve">. </w:t>
      </w:r>
    </w:p>
    <w:p w:rsidR="00AF24AB" w:rsidRPr="00AF24AB" w:rsidRDefault="00AF24AB" w:rsidP="00AF24AB">
      <w:pPr>
        <w:tabs>
          <w:tab w:val="left" w:pos="709"/>
        </w:tabs>
        <w:ind w:firstLine="709"/>
        <w:contextualSpacing/>
        <w:jc w:val="both"/>
        <w:rPr>
          <w:rFonts w:eastAsia="Calibri"/>
          <w:szCs w:val="28"/>
        </w:rPr>
      </w:pPr>
      <w:r w:rsidRPr="00AF24AB">
        <w:rPr>
          <w:rFonts w:eastAsia="Calibri"/>
          <w:szCs w:val="28"/>
        </w:rPr>
        <w:t>3. Муниципальному казенному учреждению «Наш город» опубликовать настоящее постановление в</w:t>
      </w:r>
      <w:r w:rsidR="00442992">
        <w:rPr>
          <w:rFonts w:eastAsia="Calibri"/>
          <w:szCs w:val="28"/>
        </w:rPr>
        <w:t xml:space="preserve"> газете «Сургутские ведомости».</w:t>
      </w:r>
    </w:p>
    <w:p w:rsidR="00AF24AB" w:rsidRPr="00560DD8" w:rsidRDefault="00A41FA4" w:rsidP="00AF24AB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AF24AB" w:rsidRPr="00AF24AB">
        <w:rPr>
          <w:szCs w:val="28"/>
        </w:rPr>
        <w:t>. Контроль за выполне</w:t>
      </w:r>
      <w:r w:rsidR="00AF24AB" w:rsidRPr="00560DD8">
        <w:rPr>
          <w:szCs w:val="28"/>
        </w:rPr>
        <w:t xml:space="preserve">нием постановления возложить на заместителя Главы города </w:t>
      </w:r>
      <w:proofErr w:type="spellStart"/>
      <w:r w:rsidR="00AF24AB" w:rsidRPr="00560DD8">
        <w:rPr>
          <w:szCs w:val="28"/>
        </w:rPr>
        <w:t>Шерстневу</w:t>
      </w:r>
      <w:proofErr w:type="spellEnd"/>
      <w:r w:rsidR="00AF24AB" w:rsidRPr="00560DD8">
        <w:rPr>
          <w:szCs w:val="28"/>
        </w:rPr>
        <w:t xml:space="preserve"> А.Ю.</w:t>
      </w:r>
    </w:p>
    <w:p w:rsidR="00AF24AB" w:rsidRDefault="00AF24AB" w:rsidP="00442992">
      <w:pPr>
        <w:pStyle w:val="2"/>
        <w:ind w:firstLine="0"/>
        <w:jc w:val="both"/>
        <w:rPr>
          <w:sz w:val="28"/>
          <w:szCs w:val="28"/>
        </w:rPr>
      </w:pPr>
    </w:p>
    <w:p w:rsidR="00AF24AB" w:rsidRDefault="00AF24AB" w:rsidP="00AF24AB">
      <w:pPr>
        <w:jc w:val="both"/>
        <w:rPr>
          <w:szCs w:val="28"/>
        </w:rPr>
      </w:pPr>
    </w:p>
    <w:p w:rsidR="00AF24AB" w:rsidRDefault="00AF24AB" w:rsidP="00AF24AB">
      <w:pPr>
        <w:jc w:val="both"/>
        <w:rPr>
          <w:szCs w:val="28"/>
        </w:rPr>
      </w:pPr>
    </w:p>
    <w:p w:rsidR="00AF24AB" w:rsidRDefault="00AF24AB" w:rsidP="00AF24AB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</w:t>
      </w:r>
      <w:r w:rsidR="00442992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AF24AB" w:rsidRDefault="00AF24AB" w:rsidP="00AF24AB">
      <w:pPr>
        <w:jc w:val="both"/>
        <w:rPr>
          <w:szCs w:val="28"/>
        </w:rPr>
      </w:pPr>
    </w:p>
    <w:p w:rsidR="00AF24AB" w:rsidRDefault="00AF24AB" w:rsidP="00AF24AB">
      <w:pPr>
        <w:jc w:val="both"/>
        <w:rPr>
          <w:szCs w:val="28"/>
        </w:rPr>
      </w:pPr>
    </w:p>
    <w:p w:rsidR="007560C1" w:rsidRDefault="007560C1" w:rsidP="00AF24AB"/>
    <w:p w:rsidR="00AF24AB" w:rsidRDefault="00AF24AB" w:rsidP="00AF24AB"/>
    <w:p w:rsidR="00A41FA4" w:rsidRDefault="00A41FA4" w:rsidP="00AF24AB">
      <w:pPr>
        <w:tabs>
          <w:tab w:val="left" w:pos="6379"/>
        </w:tabs>
        <w:ind w:left="6379" w:hanging="425"/>
        <w:rPr>
          <w:rFonts w:cs="Times New Roman"/>
          <w:szCs w:val="28"/>
        </w:rPr>
      </w:pPr>
    </w:p>
    <w:p w:rsidR="00A41FA4" w:rsidRDefault="00A41FA4" w:rsidP="00AF24AB">
      <w:pPr>
        <w:tabs>
          <w:tab w:val="left" w:pos="6379"/>
        </w:tabs>
        <w:ind w:left="6379" w:hanging="425"/>
        <w:rPr>
          <w:rFonts w:cs="Times New Roman"/>
          <w:szCs w:val="28"/>
        </w:rPr>
      </w:pPr>
    </w:p>
    <w:p w:rsidR="00AF24AB" w:rsidRPr="006921A8" w:rsidRDefault="00AF24AB" w:rsidP="00AF24AB">
      <w:pPr>
        <w:tabs>
          <w:tab w:val="left" w:pos="6379"/>
        </w:tabs>
        <w:ind w:left="6379" w:hanging="425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lastRenderedPageBreak/>
        <w:t xml:space="preserve">Приложение </w:t>
      </w:r>
    </w:p>
    <w:p w:rsidR="00AF24AB" w:rsidRPr="006921A8" w:rsidRDefault="00AF24AB" w:rsidP="00AF24AB">
      <w:pPr>
        <w:tabs>
          <w:tab w:val="left" w:pos="6379"/>
        </w:tabs>
        <w:ind w:left="6379" w:hanging="425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 xml:space="preserve">к постановлению </w:t>
      </w:r>
    </w:p>
    <w:p w:rsidR="00AF24AB" w:rsidRPr="006921A8" w:rsidRDefault="00AF24AB" w:rsidP="00AF24AB">
      <w:pPr>
        <w:tabs>
          <w:tab w:val="left" w:pos="6379"/>
        </w:tabs>
        <w:ind w:left="6379" w:hanging="425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 xml:space="preserve">Администрации города </w:t>
      </w:r>
    </w:p>
    <w:p w:rsidR="00AF24AB" w:rsidRPr="006921A8" w:rsidRDefault="00AF24AB" w:rsidP="00AF24AB">
      <w:pPr>
        <w:tabs>
          <w:tab w:val="left" w:pos="6379"/>
        </w:tabs>
        <w:ind w:left="6379" w:hanging="425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>от ________</w:t>
      </w:r>
      <w:r>
        <w:rPr>
          <w:rFonts w:cs="Times New Roman"/>
          <w:szCs w:val="28"/>
        </w:rPr>
        <w:t>___</w:t>
      </w:r>
      <w:r w:rsidRPr="006921A8">
        <w:rPr>
          <w:rFonts w:cs="Times New Roman"/>
          <w:szCs w:val="28"/>
        </w:rPr>
        <w:t>_ №</w:t>
      </w:r>
      <w:r>
        <w:rPr>
          <w:rFonts w:cs="Times New Roman"/>
          <w:szCs w:val="28"/>
        </w:rPr>
        <w:t xml:space="preserve"> </w:t>
      </w:r>
      <w:r w:rsidRPr="006921A8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_</w:t>
      </w:r>
      <w:r w:rsidRPr="006921A8">
        <w:rPr>
          <w:rFonts w:cs="Times New Roman"/>
          <w:szCs w:val="28"/>
        </w:rPr>
        <w:t>__</w:t>
      </w:r>
    </w:p>
    <w:p w:rsidR="00AF24AB" w:rsidRPr="006921A8" w:rsidRDefault="00AF24AB" w:rsidP="00857B21">
      <w:pPr>
        <w:tabs>
          <w:tab w:val="left" w:pos="6379"/>
        </w:tabs>
        <w:rPr>
          <w:rFonts w:cs="Times New Roman"/>
          <w:szCs w:val="28"/>
        </w:rPr>
      </w:pPr>
    </w:p>
    <w:p w:rsidR="00AF24AB" w:rsidRPr="006921A8" w:rsidRDefault="00AF24AB" w:rsidP="00857B21">
      <w:pPr>
        <w:tabs>
          <w:tab w:val="left" w:pos="6379"/>
        </w:tabs>
        <w:rPr>
          <w:rFonts w:cs="Times New Roman"/>
          <w:szCs w:val="28"/>
        </w:rPr>
      </w:pPr>
    </w:p>
    <w:p w:rsidR="00AF24AB" w:rsidRDefault="00AF24AB" w:rsidP="00AF24AB">
      <w:pPr>
        <w:tabs>
          <w:tab w:val="left" w:pos="6379"/>
        </w:tabs>
        <w:jc w:val="center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 xml:space="preserve">Порядок </w:t>
      </w:r>
    </w:p>
    <w:p w:rsidR="00AF24AB" w:rsidRDefault="00AF24AB" w:rsidP="00AF24AB">
      <w:pPr>
        <w:tabs>
          <w:tab w:val="left" w:pos="6379"/>
        </w:tabs>
        <w:jc w:val="center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 xml:space="preserve">оценки эффективности инвестиционных проектов </w:t>
      </w:r>
    </w:p>
    <w:p w:rsidR="00AF24AB" w:rsidRDefault="00AF24AB" w:rsidP="00AF24AB">
      <w:pPr>
        <w:tabs>
          <w:tab w:val="left" w:pos="6379"/>
        </w:tabs>
        <w:jc w:val="center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 xml:space="preserve">при предоставлении муниципальных гарантий </w:t>
      </w:r>
    </w:p>
    <w:p w:rsidR="00AF24AB" w:rsidRPr="006921A8" w:rsidRDefault="00AF24AB" w:rsidP="00AF24AB">
      <w:pPr>
        <w:tabs>
          <w:tab w:val="left" w:pos="6379"/>
        </w:tabs>
        <w:jc w:val="center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>городского округа город Сургут</w:t>
      </w:r>
      <w:r>
        <w:rPr>
          <w:rFonts w:cs="Times New Roman"/>
          <w:szCs w:val="28"/>
        </w:rPr>
        <w:t xml:space="preserve"> (далее – порядок)</w:t>
      </w:r>
    </w:p>
    <w:p w:rsidR="00AF24AB" w:rsidRPr="006921A8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AF24AB" w:rsidRPr="006921A8" w:rsidRDefault="00AF24AB" w:rsidP="00AF24AB">
      <w:pPr>
        <w:tabs>
          <w:tab w:val="left" w:pos="567"/>
          <w:tab w:val="left" w:pos="709"/>
          <w:tab w:val="left" w:pos="993"/>
          <w:tab w:val="left" w:pos="6379"/>
        </w:tabs>
        <w:autoSpaceDE w:val="0"/>
        <w:autoSpaceDN w:val="0"/>
        <w:adjustRightInd w:val="0"/>
        <w:ind w:firstLine="709"/>
        <w:outlineLvl w:val="1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>Раздел</w:t>
      </w:r>
      <w:r w:rsidRPr="00AF24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r w:rsidRPr="006921A8">
        <w:rPr>
          <w:rFonts w:cs="Times New Roman"/>
          <w:szCs w:val="28"/>
        </w:rPr>
        <w:t>. Общие положения</w:t>
      </w:r>
    </w:p>
    <w:p w:rsidR="00AF24AB" w:rsidRPr="006921A8" w:rsidRDefault="00AF24AB" w:rsidP="00AF24AB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6379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 xml:space="preserve">Настоящим </w:t>
      </w:r>
      <w:r>
        <w:rPr>
          <w:rFonts w:cs="Times New Roman"/>
          <w:szCs w:val="28"/>
        </w:rPr>
        <w:t>п</w:t>
      </w:r>
      <w:r w:rsidRPr="006921A8">
        <w:rPr>
          <w:rFonts w:cs="Times New Roman"/>
          <w:szCs w:val="28"/>
        </w:rPr>
        <w:t xml:space="preserve">орядком определяется </w:t>
      </w:r>
      <w:r>
        <w:rPr>
          <w:rFonts w:cs="Times New Roman"/>
          <w:szCs w:val="28"/>
        </w:rPr>
        <w:t>методика</w:t>
      </w:r>
      <w:r w:rsidRPr="006921A8">
        <w:rPr>
          <w:rFonts w:cs="Times New Roman"/>
          <w:szCs w:val="28"/>
        </w:rPr>
        <w:t xml:space="preserve"> проведения оценки </w:t>
      </w:r>
      <w:r>
        <w:rPr>
          <w:rFonts w:cs="Times New Roman"/>
          <w:szCs w:val="28"/>
        </w:rPr>
        <w:t xml:space="preserve">                      </w:t>
      </w:r>
      <w:r w:rsidRPr="006921A8">
        <w:rPr>
          <w:rFonts w:cs="Times New Roman"/>
          <w:szCs w:val="28"/>
        </w:rPr>
        <w:t>эффективности инвестиционных проектов</w:t>
      </w:r>
      <w:r w:rsidR="001178CA">
        <w:rPr>
          <w:rFonts w:cs="Times New Roman"/>
          <w:szCs w:val="28"/>
        </w:rPr>
        <w:t>,</w:t>
      </w:r>
      <w:r w:rsidRPr="006921A8">
        <w:rPr>
          <w:rFonts w:cs="Times New Roman"/>
          <w:szCs w:val="28"/>
        </w:rPr>
        <w:t xml:space="preserve"> в целях реализации которых рассматривается вопрос о предоставлении муниципальных гарантий городского округа </w:t>
      </w:r>
      <w:r>
        <w:rPr>
          <w:rFonts w:cs="Times New Roman"/>
          <w:szCs w:val="28"/>
        </w:rPr>
        <w:t xml:space="preserve">город </w:t>
      </w:r>
      <w:r w:rsidRPr="006921A8">
        <w:rPr>
          <w:rFonts w:cs="Times New Roman"/>
          <w:szCs w:val="28"/>
        </w:rPr>
        <w:t>Сургут (далее – оценки)</w:t>
      </w:r>
      <w:r w:rsidR="001178CA">
        <w:rPr>
          <w:rFonts w:cs="Times New Roman"/>
          <w:szCs w:val="28"/>
        </w:rPr>
        <w:t>,</w:t>
      </w:r>
      <w:r w:rsidRPr="006921A8">
        <w:rPr>
          <w:rFonts w:cs="Times New Roman"/>
          <w:szCs w:val="28"/>
        </w:rPr>
        <w:t xml:space="preserve"> в соответствии с </w:t>
      </w:r>
      <w:r>
        <w:rPr>
          <w:rFonts w:cs="Times New Roman"/>
          <w:szCs w:val="28"/>
        </w:rPr>
        <w:t>п</w:t>
      </w:r>
      <w:r w:rsidRPr="006921A8">
        <w:rPr>
          <w:rFonts w:cs="Times New Roman"/>
          <w:szCs w:val="28"/>
        </w:rPr>
        <w:t>орядком предоставления муниципальных гарантий городского округа город Сургут, утвержденн</w:t>
      </w:r>
      <w:r w:rsidR="001178CA">
        <w:rPr>
          <w:rFonts w:cs="Times New Roman"/>
          <w:szCs w:val="28"/>
        </w:rPr>
        <w:t>ым</w:t>
      </w:r>
      <w:r w:rsidRPr="006921A8">
        <w:rPr>
          <w:rFonts w:cs="Times New Roman"/>
          <w:szCs w:val="28"/>
        </w:rPr>
        <w:t xml:space="preserve"> решением Думы города от 27.02.2009 №</w:t>
      </w:r>
      <w:r>
        <w:rPr>
          <w:rFonts w:cs="Times New Roman"/>
          <w:szCs w:val="28"/>
        </w:rPr>
        <w:t xml:space="preserve"> </w:t>
      </w:r>
      <w:r w:rsidRPr="006921A8">
        <w:rPr>
          <w:rFonts w:cs="Times New Roman"/>
          <w:szCs w:val="28"/>
        </w:rPr>
        <w:t>509-</w:t>
      </w:r>
      <w:r w:rsidRPr="006921A8">
        <w:rPr>
          <w:rFonts w:cs="Times New Roman"/>
          <w:szCs w:val="28"/>
          <w:lang w:val="en-US"/>
        </w:rPr>
        <w:t>IV</w:t>
      </w:r>
      <w:r w:rsidRPr="006921A8">
        <w:rPr>
          <w:rFonts w:cs="Times New Roman"/>
          <w:szCs w:val="28"/>
        </w:rPr>
        <w:t xml:space="preserve"> ДГ.</w:t>
      </w:r>
    </w:p>
    <w:p w:rsidR="00AF24AB" w:rsidRPr="006921A8" w:rsidRDefault="00AF24AB" w:rsidP="00AF24AB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6379"/>
        </w:tabs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>Оценка инвестиционны</w:t>
      </w:r>
      <w:r>
        <w:rPr>
          <w:rFonts w:cs="Times New Roman"/>
          <w:szCs w:val="28"/>
        </w:rPr>
        <w:t>х</w:t>
      </w:r>
      <w:r w:rsidRPr="006921A8">
        <w:rPr>
          <w:rFonts w:cs="Times New Roman"/>
          <w:szCs w:val="28"/>
        </w:rPr>
        <w:t xml:space="preserve"> проектов проводится на основании:</w:t>
      </w:r>
    </w:p>
    <w:p w:rsidR="00AF24AB" w:rsidRPr="006921A8" w:rsidRDefault="00AF24AB" w:rsidP="00AF24AB">
      <w:pPr>
        <w:tabs>
          <w:tab w:val="left" w:pos="567"/>
          <w:tab w:val="left" w:pos="709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 xml:space="preserve">- документов, представляемых </w:t>
      </w:r>
      <w:r>
        <w:rPr>
          <w:rFonts w:cs="Times New Roman"/>
          <w:szCs w:val="28"/>
        </w:rPr>
        <w:t>претендентом</w:t>
      </w:r>
      <w:r w:rsidRPr="006921A8">
        <w:rPr>
          <w:rFonts w:cs="Times New Roman"/>
          <w:szCs w:val="28"/>
        </w:rPr>
        <w:t xml:space="preserve"> на получение </w:t>
      </w:r>
      <w:proofErr w:type="spellStart"/>
      <w:r w:rsidRPr="006921A8">
        <w:rPr>
          <w:rFonts w:cs="Times New Roman"/>
          <w:szCs w:val="28"/>
        </w:rPr>
        <w:t>муници</w:t>
      </w:r>
      <w:proofErr w:type="spellEnd"/>
      <w:r>
        <w:rPr>
          <w:rFonts w:cs="Times New Roman"/>
          <w:szCs w:val="28"/>
        </w:rPr>
        <w:t xml:space="preserve">-                </w:t>
      </w:r>
      <w:proofErr w:type="spellStart"/>
      <w:r w:rsidRPr="006921A8">
        <w:rPr>
          <w:rFonts w:cs="Times New Roman"/>
          <w:szCs w:val="28"/>
        </w:rPr>
        <w:t>пальной</w:t>
      </w:r>
      <w:proofErr w:type="spellEnd"/>
      <w:r w:rsidRPr="006921A8">
        <w:rPr>
          <w:rFonts w:cs="Times New Roman"/>
          <w:szCs w:val="28"/>
        </w:rPr>
        <w:t xml:space="preserve"> гарантии, в соответствии с перечнем документов, установленным постановлением Администрации города от 28.04.2017 № 3500 «О реализации решения Думы города от 27.02.2009</w:t>
      </w:r>
      <w:r>
        <w:rPr>
          <w:rFonts w:cs="Times New Roman"/>
          <w:szCs w:val="28"/>
        </w:rPr>
        <w:t xml:space="preserve"> </w:t>
      </w:r>
      <w:r w:rsidRPr="006921A8">
        <w:rPr>
          <w:rFonts w:cs="Times New Roman"/>
          <w:szCs w:val="28"/>
        </w:rPr>
        <w:t xml:space="preserve">№ 509-IV ДГ «О Порядке предоставления муниципальных гарантий городского округа город Сургут» (далее – </w:t>
      </w:r>
      <w:r>
        <w:rPr>
          <w:rFonts w:cs="Times New Roman"/>
          <w:szCs w:val="28"/>
        </w:rPr>
        <w:t>п</w:t>
      </w:r>
      <w:r w:rsidRPr="006921A8">
        <w:rPr>
          <w:rFonts w:cs="Times New Roman"/>
          <w:szCs w:val="28"/>
        </w:rPr>
        <w:t>еречень);</w:t>
      </w:r>
    </w:p>
    <w:p w:rsidR="00AF24AB" w:rsidRPr="006921A8" w:rsidRDefault="00AF24AB" w:rsidP="00AF24AB">
      <w:pPr>
        <w:tabs>
          <w:tab w:val="left" w:pos="567"/>
          <w:tab w:val="left" w:pos="709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>- заключения о наличии потребности в реализации инвестиционного</w:t>
      </w:r>
      <w:r>
        <w:rPr>
          <w:rFonts w:cs="Times New Roman"/>
          <w:szCs w:val="28"/>
        </w:rPr>
        <w:t xml:space="preserve">                   </w:t>
      </w:r>
      <w:r w:rsidRPr="006921A8">
        <w:rPr>
          <w:rFonts w:cs="Times New Roman"/>
          <w:szCs w:val="28"/>
        </w:rPr>
        <w:t xml:space="preserve"> проекта, подготовленного в порядке, установленном постановлением Администрации города от 28.04.2017 № 3500 «О реализации решения Думы города </w:t>
      </w:r>
      <w:r>
        <w:rPr>
          <w:rFonts w:cs="Times New Roman"/>
          <w:szCs w:val="28"/>
        </w:rPr>
        <w:t xml:space="preserve">                            </w:t>
      </w:r>
      <w:r w:rsidRPr="006921A8">
        <w:rPr>
          <w:rFonts w:cs="Times New Roman"/>
          <w:szCs w:val="28"/>
        </w:rPr>
        <w:t xml:space="preserve">от 27.02.2009 № 509-IV ДГ «О Порядке предоставления муниципальных </w:t>
      </w:r>
      <w:r>
        <w:rPr>
          <w:rFonts w:cs="Times New Roman"/>
          <w:szCs w:val="28"/>
        </w:rPr>
        <w:t xml:space="preserve">                                                             </w:t>
      </w:r>
      <w:r w:rsidRPr="006921A8">
        <w:rPr>
          <w:rFonts w:cs="Times New Roman"/>
          <w:szCs w:val="28"/>
        </w:rPr>
        <w:t>гарантий городского округа город Сургут».</w:t>
      </w:r>
    </w:p>
    <w:p w:rsidR="00AF24AB" w:rsidRPr="006921A8" w:rsidRDefault="00AF24AB" w:rsidP="00AF24AB">
      <w:pPr>
        <w:tabs>
          <w:tab w:val="left" w:pos="567"/>
          <w:tab w:val="left" w:pos="709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3. Процедура и с</w:t>
      </w:r>
      <w:r w:rsidRPr="006921A8">
        <w:rPr>
          <w:rFonts w:cs="Times New Roman"/>
          <w:szCs w:val="28"/>
        </w:rPr>
        <w:t>роки проведения оценки устанавливаются постановлением Администрации города от 28.04.2017 № 3500 «О реализации решения Думы города от 27.02.2009 № 509-IV ДГ «О Порядке предоставления муниципальных гарантий городского округа город Сургут».</w:t>
      </w:r>
    </w:p>
    <w:p w:rsidR="00AF24AB" w:rsidRPr="006921A8" w:rsidRDefault="00AF24AB" w:rsidP="00AF24AB">
      <w:pPr>
        <w:tabs>
          <w:tab w:val="left" w:pos="567"/>
          <w:tab w:val="left" w:pos="709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6921A8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Оценка инвестиционного проекта включает оценку экономической                    эффективности и расчет социальной эффективности. </w:t>
      </w:r>
    </w:p>
    <w:p w:rsidR="00AF24AB" w:rsidRPr="006921A8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</w:p>
    <w:p w:rsidR="00AF24AB" w:rsidRPr="006921A8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</w:t>
      </w:r>
      <w:r w:rsidRPr="006921A8">
        <w:rPr>
          <w:rFonts w:cs="Times New Roman"/>
          <w:szCs w:val="28"/>
        </w:rPr>
        <w:t xml:space="preserve">. </w:t>
      </w:r>
      <w:r>
        <w:rPr>
          <w:rFonts w:eastAsia="Times New Roman" w:cs="Times New Roman"/>
          <w:color w:val="2D2D2D"/>
          <w:spacing w:val="2"/>
          <w:szCs w:val="28"/>
        </w:rPr>
        <w:t>Оценка э</w:t>
      </w:r>
      <w:r w:rsidRPr="006921A8">
        <w:rPr>
          <w:rFonts w:eastAsia="Times New Roman" w:cs="Times New Roman"/>
          <w:color w:val="2D2D2D"/>
          <w:spacing w:val="2"/>
          <w:szCs w:val="28"/>
        </w:rPr>
        <w:t>кономической эффективности</w:t>
      </w:r>
      <w:r>
        <w:rPr>
          <w:rFonts w:eastAsia="Times New Roman" w:cs="Times New Roman"/>
          <w:color w:val="2D2D2D"/>
          <w:spacing w:val="2"/>
          <w:szCs w:val="28"/>
        </w:rPr>
        <w:t xml:space="preserve"> инвестиционного                     проекта</w:t>
      </w:r>
    </w:p>
    <w:p w:rsidR="00AF24AB" w:rsidRPr="00697367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697367">
        <w:rPr>
          <w:rFonts w:cs="Times New Roman"/>
          <w:szCs w:val="28"/>
        </w:rPr>
        <w:t>Основными критериями, используемыми для оценки эффективности</w:t>
      </w:r>
      <w:r>
        <w:rPr>
          <w:rFonts w:cs="Times New Roman"/>
          <w:szCs w:val="28"/>
        </w:rPr>
        <w:t xml:space="preserve">                        </w:t>
      </w:r>
      <w:r w:rsidRPr="00697367">
        <w:rPr>
          <w:rFonts w:cs="Times New Roman"/>
          <w:szCs w:val="28"/>
        </w:rPr>
        <w:t xml:space="preserve"> инвестиционного проекта</w:t>
      </w:r>
      <w:r>
        <w:rPr>
          <w:rFonts w:cs="Times New Roman"/>
          <w:szCs w:val="28"/>
        </w:rPr>
        <w:t>,</w:t>
      </w:r>
      <w:r w:rsidRPr="00697367">
        <w:rPr>
          <w:rFonts w:cs="Times New Roman"/>
          <w:szCs w:val="28"/>
        </w:rPr>
        <w:t xml:space="preserve"> являются:</w:t>
      </w:r>
    </w:p>
    <w:p w:rsidR="00AF24AB" w:rsidRPr="00697367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697367">
        <w:rPr>
          <w:rFonts w:cs="Times New Roman"/>
          <w:szCs w:val="28"/>
        </w:rPr>
        <w:t>- срок окупаемости инвестиционного проекта;</w:t>
      </w:r>
    </w:p>
    <w:p w:rsidR="00AF24AB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 w:rsidRPr="00697367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к</w:t>
      </w:r>
      <w:r w:rsidRPr="00697367">
        <w:rPr>
          <w:rFonts w:cs="Times New Roman"/>
          <w:szCs w:val="28"/>
        </w:rPr>
        <w:t>оэффициент рентабельности инвестиций</w:t>
      </w:r>
      <w:r>
        <w:rPr>
          <w:rFonts w:cs="Times New Roman"/>
          <w:szCs w:val="28"/>
        </w:rPr>
        <w:t>;</w:t>
      </w:r>
    </w:p>
    <w:p w:rsidR="00AF24AB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 ч</w:t>
      </w:r>
      <w:r w:rsidRPr="00697367">
        <w:rPr>
          <w:rFonts w:cs="Times New Roman"/>
          <w:szCs w:val="28"/>
        </w:rPr>
        <w:t>истый дисконтированный доход</w:t>
      </w:r>
      <w:r>
        <w:rPr>
          <w:rFonts w:cs="Times New Roman"/>
          <w:szCs w:val="28"/>
        </w:rPr>
        <w:t>;</w:t>
      </w:r>
    </w:p>
    <w:p w:rsidR="00857B21" w:rsidRPr="00697367" w:rsidRDefault="00857B21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</w:p>
    <w:p w:rsidR="00AF24AB" w:rsidRPr="00697367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в</w:t>
      </w:r>
      <w:r w:rsidRPr="00697367">
        <w:rPr>
          <w:rFonts w:cs="Times New Roman"/>
          <w:szCs w:val="28"/>
        </w:rPr>
        <w:t>нутренняя норма прибыли инвестиционного проекта</w:t>
      </w:r>
      <w:r>
        <w:rPr>
          <w:rFonts w:cs="Times New Roman"/>
          <w:szCs w:val="28"/>
        </w:rPr>
        <w:t>;</w:t>
      </w:r>
    </w:p>
    <w:p w:rsidR="00AF24AB" w:rsidRPr="00697367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97367">
        <w:t xml:space="preserve"> </w:t>
      </w:r>
      <w:r>
        <w:rPr>
          <w:rFonts w:cs="Times New Roman"/>
          <w:szCs w:val="28"/>
        </w:rPr>
        <w:t>и</w:t>
      </w:r>
      <w:r w:rsidRPr="00697367">
        <w:rPr>
          <w:rFonts w:cs="Times New Roman"/>
          <w:szCs w:val="28"/>
        </w:rPr>
        <w:t>ндекс прибыльности инвестиций</w:t>
      </w:r>
      <w:r>
        <w:rPr>
          <w:rFonts w:cs="Times New Roman"/>
          <w:szCs w:val="28"/>
        </w:rPr>
        <w:t>.</w:t>
      </w:r>
    </w:p>
    <w:p w:rsidR="00AF24AB" w:rsidRPr="006921A8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2</w:t>
      </w:r>
      <w:r w:rsidRPr="002220A0">
        <w:rPr>
          <w:rFonts w:cs="Times New Roman"/>
          <w:szCs w:val="28"/>
        </w:rPr>
        <w:t xml:space="preserve">. </w:t>
      </w:r>
      <w:r w:rsidRPr="002220A0">
        <w:rPr>
          <w:rFonts w:cs="Times New Roman"/>
          <w:bCs/>
          <w:szCs w:val="28"/>
        </w:rPr>
        <w:t xml:space="preserve">Срок окупаемости инвестиционного проекта (PP) показывает </w:t>
      </w:r>
      <w:proofErr w:type="gramStart"/>
      <w:r w:rsidRPr="002220A0">
        <w:rPr>
          <w:rFonts w:cs="Times New Roman"/>
          <w:bCs/>
          <w:szCs w:val="28"/>
        </w:rPr>
        <w:t>период,</w:t>
      </w:r>
      <w:r>
        <w:rPr>
          <w:rFonts w:cs="Times New Roman"/>
          <w:bCs/>
          <w:szCs w:val="28"/>
        </w:rPr>
        <w:t xml:space="preserve">   </w:t>
      </w:r>
      <w:proofErr w:type="gramEnd"/>
      <w:r>
        <w:rPr>
          <w:rFonts w:cs="Times New Roman"/>
          <w:bCs/>
          <w:szCs w:val="28"/>
        </w:rPr>
        <w:t xml:space="preserve">          </w:t>
      </w:r>
      <w:r w:rsidRPr="002220A0">
        <w:rPr>
          <w:rFonts w:cs="Times New Roman"/>
          <w:bCs/>
          <w:szCs w:val="28"/>
        </w:rPr>
        <w:t xml:space="preserve"> за который окупятся первоначальные затраты в инвестиционный проект</w:t>
      </w:r>
      <w:r>
        <w:rPr>
          <w:rFonts w:cs="Times New Roman"/>
          <w:bCs/>
          <w:szCs w:val="28"/>
        </w:rPr>
        <w:t xml:space="preserve">                             </w:t>
      </w:r>
      <w:r w:rsidRPr="002220A0">
        <w:rPr>
          <w:rFonts w:cs="Times New Roman"/>
          <w:bCs/>
          <w:szCs w:val="28"/>
        </w:rPr>
        <w:t xml:space="preserve"> и вычисляется по формуле:</w:t>
      </w:r>
    </w:p>
    <w:p w:rsidR="00AF24AB" w:rsidRPr="00A41FA4" w:rsidRDefault="00857B21" w:rsidP="00A41FA4">
      <w:pPr>
        <w:tabs>
          <w:tab w:val="left" w:pos="6379"/>
        </w:tabs>
        <w:spacing w:line="259" w:lineRule="auto"/>
        <w:ind w:left="709"/>
        <w:rPr>
          <w:rFonts w:eastAsia="Times New Roman" w:cs="Times New Roman"/>
          <w:color w:val="212034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Times New Roman"/>
              <w:szCs w:val="28"/>
              <w:lang w:val="en-US"/>
            </w:rPr>
            <m:t>PP</m:t>
          </m:r>
          <m:r>
            <m:rPr>
              <m:sty m:val="p"/>
            </m:rPr>
            <w:rPr>
              <w:rFonts w:ascii="Cambria Math" w:eastAsia="Calibri" w:hAnsi="Cambria Math" w:cs="Times New Roman"/>
              <w:szCs w:val="28"/>
            </w:rPr>
            <m:t>=</m:t>
          </m:r>
          <m:func>
            <m:funcPr>
              <m:ctrlPr>
                <w:rPr>
                  <w:rFonts w:ascii="Cambria Math" w:eastAsia="Calibri" w:hAnsi="Cambria Math" w:cs="Times New Roman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8"/>
                  <w:lang w:val="en-US"/>
                </w:rPr>
                <m:t>min</m:t>
              </m:r>
            </m:fName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8"/>
                </w:rPr>
                <m:t>, при котором</m:t>
              </m:r>
            </m:e>
          </m:func>
          <m:r>
            <w:rPr>
              <w:rFonts w:ascii="Cambria Math" w:eastAsia="Calibri" w:hAnsi="Cambria Math" w:cs="Times New Roman"/>
              <w:szCs w:val="28"/>
            </w:rPr>
            <m:t xml:space="preserve"> =</m:t>
          </m:r>
          <m:r>
            <m:rPr>
              <m:sty m:val="p"/>
            </m:rPr>
            <w:rPr>
              <w:rFonts w:ascii="Cambria Math" w:eastAsia="Calibri" w:hAnsi="Cambria Math" w:cs="Times New Roman"/>
              <w:szCs w:val="28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CF ᵢ</m:t>
              </m:r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color w:val="212034"/>
              <w:szCs w:val="28"/>
            </w:rPr>
            <m:t>&gt;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212034"/>
              <w:szCs w:val="28"/>
              <w:lang w:val="en-US"/>
            </w:rPr>
            <m:t>IC</m:t>
          </m:r>
          <m:r>
            <m:rPr>
              <m:sty m:val="p"/>
            </m:rPr>
            <w:rPr>
              <w:rFonts w:ascii="Cambria Math" w:eastAsia="Times New Roman" w:hAnsi="Cambria Math" w:cs="Times New Roman"/>
              <w:noProof/>
              <w:color w:val="2D2D2D"/>
              <w:spacing w:val="2"/>
              <w:szCs w:val="28"/>
            </w:rPr>
            <m:t>, где:</m:t>
          </m:r>
        </m:oMath>
      </m:oMathPara>
    </w:p>
    <w:p w:rsidR="00AF24AB" w:rsidRPr="006921A8" w:rsidRDefault="00A41FA4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>
        <w:rPr>
          <w:color w:val="212034"/>
          <w:sz w:val="28"/>
          <w:szCs w:val="28"/>
        </w:rPr>
        <w:t xml:space="preserve">IC </w:t>
      </w:r>
      <w:r w:rsidR="00AF24AB" w:rsidRPr="006921A8">
        <w:rPr>
          <w:color w:val="212034"/>
          <w:sz w:val="28"/>
          <w:szCs w:val="28"/>
        </w:rPr>
        <w:t>– инвестиционный капитал, первоначальные затраты инвестора</w:t>
      </w:r>
      <w:r w:rsidR="00AF24AB">
        <w:rPr>
          <w:color w:val="212034"/>
          <w:sz w:val="28"/>
          <w:szCs w:val="28"/>
        </w:rPr>
        <w:t xml:space="preserve">                                  </w:t>
      </w:r>
      <w:r w:rsidR="00AF24AB" w:rsidRPr="006921A8">
        <w:rPr>
          <w:color w:val="212034"/>
          <w:sz w:val="28"/>
          <w:szCs w:val="28"/>
        </w:rPr>
        <w:t xml:space="preserve"> в объект вложения;</w:t>
      </w:r>
    </w:p>
    <w:p w:rsidR="00AF24AB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CF – денежный поток, который создается объектом инвестиций.</w:t>
      </w:r>
    </w:p>
    <w:p w:rsidR="00AF24AB" w:rsidRPr="002220A0" w:rsidRDefault="00AF24AB" w:rsidP="00AF24AB">
      <w:pPr>
        <w:pStyle w:val="3"/>
        <w:tabs>
          <w:tab w:val="left" w:pos="6379"/>
        </w:tabs>
        <w:spacing w:before="0" w:after="0"/>
        <w:ind w:firstLine="709"/>
        <w:jc w:val="both"/>
        <w:rPr>
          <w:rFonts w:ascii="Times New Roman" w:hAnsi="Times New Roman"/>
          <w:b w:val="0"/>
          <w:color w:val="212034"/>
          <w:sz w:val="28"/>
          <w:szCs w:val="28"/>
        </w:rPr>
      </w:pPr>
      <w:r>
        <w:rPr>
          <w:rFonts w:ascii="Times New Roman" w:hAnsi="Times New Roman"/>
          <w:b w:val="0"/>
          <w:color w:val="212034"/>
          <w:sz w:val="28"/>
          <w:szCs w:val="28"/>
        </w:rPr>
        <w:t>3</w:t>
      </w:r>
      <w:r w:rsidRPr="002220A0">
        <w:rPr>
          <w:rFonts w:ascii="Times New Roman" w:hAnsi="Times New Roman"/>
          <w:b w:val="0"/>
          <w:color w:val="212034"/>
          <w:sz w:val="28"/>
          <w:szCs w:val="28"/>
        </w:rPr>
        <w:t>. Коэффициент рентабельности инвестиций (</w:t>
      </w:r>
      <w:r w:rsidRPr="002220A0">
        <w:rPr>
          <w:rFonts w:ascii="Times New Roman" w:hAnsi="Times New Roman"/>
          <w:b w:val="0"/>
          <w:color w:val="212034"/>
          <w:sz w:val="28"/>
          <w:szCs w:val="28"/>
          <w:lang w:val="en-US"/>
        </w:rPr>
        <w:t>ARR</w:t>
      </w:r>
      <w:r w:rsidRPr="002220A0">
        <w:rPr>
          <w:rFonts w:ascii="Times New Roman" w:hAnsi="Times New Roman"/>
          <w:b w:val="0"/>
          <w:color w:val="212034"/>
          <w:sz w:val="28"/>
          <w:szCs w:val="28"/>
        </w:rPr>
        <w:t>) отражает прибыльность инвестиционного проекта и вычисляется по формуле:</w:t>
      </w:r>
    </w:p>
    <w:p w:rsidR="00AF24AB" w:rsidRPr="00857B21" w:rsidRDefault="00857B21" w:rsidP="00A41FA4">
      <w:pPr>
        <w:pStyle w:val="a9"/>
        <w:tabs>
          <w:tab w:val="left" w:pos="637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12034"/>
              <w:sz w:val="28"/>
              <w:szCs w:val="28"/>
              <w:lang w:val="en-US"/>
            </w:rPr>
            <m:t>ARR=</m:t>
          </m:r>
          <m:f>
            <m:fPr>
              <m:ctrlPr>
                <w:rPr>
                  <w:rFonts w:ascii="Cambria Math" w:eastAsia="Calibri" w:hAnsi="Cambria Math"/>
                  <w:color w:val="212034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CFср.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12034"/>
                  <w:sz w:val="28"/>
                  <w:szCs w:val="28"/>
                </w:rPr>
                <m:t>IC</m:t>
              </m:r>
            </m:den>
          </m:f>
          <m:r>
            <m:rPr>
              <m:sty m:val="p"/>
            </m:rPr>
            <w:rPr>
              <w:rFonts w:ascii="Cambria Math" w:hAnsi="Cambria Math"/>
              <w:color w:val="212034"/>
              <w:sz w:val="28"/>
              <w:szCs w:val="28"/>
            </w:rPr>
            <m:t>, где:</m:t>
          </m:r>
        </m:oMath>
      </m:oMathPara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proofErr w:type="spellStart"/>
      <w:r w:rsidRPr="006921A8">
        <w:rPr>
          <w:color w:val="212034"/>
          <w:sz w:val="28"/>
          <w:szCs w:val="28"/>
        </w:rPr>
        <w:t>CFср</w:t>
      </w:r>
      <w:proofErr w:type="spellEnd"/>
      <w:r w:rsidRPr="006921A8">
        <w:rPr>
          <w:color w:val="212034"/>
          <w:sz w:val="28"/>
          <w:szCs w:val="28"/>
        </w:rPr>
        <w:t> – средний денежный поток (чистая прибыль) объекта инвестиций</w:t>
      </w:r>
      <w:r>
        <w:rPr>
          <w:color w:val="212034"/>
          <w:sz w:val="28"/>
          <w:szCs w:val="28"/>
        </w:rPr>
        <w:t xml:space="preserve">                </w:t>
      </w:r>
      <w:r w:rsidRPr="006921A8">
        <w:rPr>
          <w:color w:val="212034"/>
          <w:sz w:val="28"/>
          <w:szCs w:val="28"/>
        </w:rPr>
        <w:t xml:space="preserve"> за рассматриваемый период (месяц, год);</w:t>
      </w:r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IC – инвестиционный капитал, первоначальные затраты инвестора</w:t>
      </w:r>
      <w:r>
        <w:rPr>
          <w:color w:val="212034"/>
          <w:sz w:val="28"/>
          <w:szCs w:val="28"/>
        </w:rPr>
        <w:t xml:space="preserve">                               </w:t>
      </w:r>
      <w:r w:rsidRPr="006921A8">
        <w:rPr>
          <w:color w:val="212034"/>
          <w:sz w:val="28"/>
          <w:szCs w:val="28"/>
        </w:rPr>
        <w:t xml:space="preserve"> в объект вложения.</w:t>
      </w:r>
    </w:p>
    <w:p w:rsidR="00AF24AB" w:rsidRPr="002220A0" w:rsidRDefault="00AF24AB" w:rsidP="00AF24AB">
      <w:pPr>
        <w:pStyle w:val="3"/>
        <w:tabs>
          <w:tab w:val="left" w:pos="6379"/>
        </w:tabs>
        <w:spacing w:before="0" w:after="0"/>
        <w:ind w:firstLine="709"/>
        <w:jc w:val="both"/>
        <w:rPr>
          <w:rFonts w:ascii="Times New Roman" w:hAnsi="Times New Roman"/>
          <w:b w:val="0"/>
          <w:color w:val="212034"/>
          <w:sz w:val="28"/>
          <w:szCs w:val="28"/>
        </w:rPr>
      </w:pPr>
      <w:r>
        <w:rPr>
          <w:rFonts w:ascii="Times New Roman" w:hAnsi="Times New Roman"/>
          <w:b w:val="0"/>
          <w:color w:val="212034"/>
          <w:sz w:val="28"/>
          <w:szCs w:val="28"/>
        </w:rPr>
        <w:t>4</w:t>
      </w:r>
      <w:r w:rsidRPr="002220A0">
        <w:rPr>
          <w:rFonts w:ascii="Times New Roman" w:hAnsi="Times New Roman"/>
          <w:b w:val="0"/>
          <w:color w:val="212034"/>
          <w:sz w:val="28"/>
          <w:szCs w:val="28"/>
        </w:rPr>
        <w:t xml:space="preserve">. Чистый дисконтированный доход (NPV) показывает эффективность </w:t>
      </w:r>
      <w:r>
        <w:rPr>
          <w:rFonts w:ascii="Times New Roman" w:hAnsi="Times New Roman"/>
          <w:b w:val="0"/>
          <w:color w:val="212034"/>
          <w:sz w:val="28"/>
          <w:szCs w:val="28"/>
        </w:rPr>
        <w:t xml:space="preserve">            </w:t>
      </w:r>
      <w:r w:rsidRPr="002220A0">
        <w:rPr>
          <w:rFonts w:ascii="Times New Roman" w:hAnsi="Times New Roman"/>
          <w:b w:val="0"/>
          <w:color w:val="212034"/>
          <w:sz w:val="28"/>
          <w:szCs w:val="28"/>
        </w:rPr>
        <w:t>вложения в инвестиционный проект: величину денежного потока в течение срока его реализации и приведенную к текущей стоимости (</w:t>
      </w:r>
      <w:proofErr w:type="gramStart"/>
      <w:r w:rsidRPr="002220A0">
        <w:rPr>
          <w:rFonts w:ascii="Times New Roman" w:hAnsi="Times New Roman"/>
          <w:b w:val="0"/>
          <w:color w:val="212034"/>
          <w:sz w:val="28"/>
          <w:szCs w:val="28"/>
        </w:rPr>
        <w:t>дисконтирование)</w:t>
      </w:r>
      <w:r>
        <w:rPr>
          <w:rFonts w:ascii="Times New Roman" w:hAnsi="Times New Roman"/>
          <w:b w:val="0"/>
          <w:color w:val="212034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 w:val="0"/>
          <w:color w:val="212034"/>
          <w:sz w:val="28"/>
          <w:szCs w:val="28"/>
        </w:rPr>
        <w:t xml:space="preserve">                                  </w:t>
      </w:r>
      <w:r w:rsidRPr="002220A0">
        <w:rPr>
          <w:rFonts w:ascii="Times New Roman" w:hAnsi="Times New Roman"/>
          <w:b w:val="0"/>
          <w:color w:val="212034"/>
          <w:sz w:val="28"/>
          <w:szCs w:val="28"/>
        </w:rPr>
        <w:t xml:space="preserve"> и вычисляется по формуле:</w:t>
      </w:r>
    </w:p>
    <w:p w:rsidR="00AF24AB" w:rsidRPr="00857B21" w:rsidRDefault="00857B21" w:rsidP="00A41FA4">
      <w:pPr>
        <w:tabs>
          <w:tab w:val="left" w:pos="6379"/>
        </w:tabs>
        <w:spacing w:line="259" w:lineRule="auto"/>
        <w:ind w:left="709"/>
        <w:rPr>
          <w:rFonts w:eastAsia="Times New Roman" w:cs="Times New Roman"/>
          <w:color w:val="212034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Cs w:val="28"/>
              <w:lang w:val="en-US"/>
            </w:rPr>
            <m:t>NPV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Calibri" w:hAnsi="Cambria Math" w:cs="Times New Roman"/>
                      <w:color w:val="212034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CF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szCs w:val="28"/>
                      <w:lang w:val="en-US"/>
                    </w:rPr>
                    <m:t>ₜ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color w:val="212034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12034"/>
                          <w:szCs w:val="28"/>
                        </w:rPr>
                        <m:t>1+r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color w:val="212034"/>
                      <w:szCs w:val="28"/>
                    </w:rPr>
                    <m:t xml:space="preserve"> ͭ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color w:val="212034"/>
              <w:szCs w:val="28"/>
            </w:rPr>
            <m:t>-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212034"/>
              <w:szCs w:val="28"/>
              <w:lang w:val="en-US"/>
            </w:rPr>
            <m:t>CF₀</m:t>
          </m:r>
          <m:r>
            <m:rPr>
              <m:sty m:val="p"/>
            </m:rPr>
            <w:rPr>
              <w:rFonts w:ascii="Cambria Math" w:eastAsia="Times New Roman" w:hAnsi="Cambria Math" w:cs="Times New Roman"/>
              <w:noProof/>
              <w:color w:val="2D2D2D"/>
              <w:spacing w:val="2"/>
              <w:szCs w:val="28"/>
            </w:rPr>
            <m:t>, где:</m:t>
          </m:r>
        </m:oMath>
      </m:oMathPara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NPV – чистый дисконтированный доход проекта;</w:t>
      </w:r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proofErr w:type="spellStart"/>
      <w:r w:rsidRPr="006921A8">
        <w:rPr>
          <w:color w:val="212034"/>
          <w:sz w:val="28"/>
          <w:szCs w:val="28"/>
        </w:rPr>
        <w:t>CF</w:t>
      </w:r>
      <w:r w:rsidRPr="006921A8">
        <w:rPr>
          <w:color w:val="212034"/>
          <w:sz w:val="28"/>
          <w:szCs w:val="28"/>
          <w:vertAlign w:val="subscript"/>
        </w:rPr>
        <w:t>t</w:t>
      </w:r>
      <w:proofErr w:type="spellEnd"/>
      <w:r w:rsidRPr="006921A8">
        <w:rPr>
          <w:color w:val="212034"/>
          <w:sz w:val="28"/>
          <w:szCs w:val="28"/>
        </w:rPr>
        <w:t> – денежный поток в период времени t;</w:t>
      </w:r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CF</w:t>
      </w:r>
      <w:r w:rsidRPr="006921A8">
        <w:rPr>
          <w:color w:val="212034"/>
          <w:sz w:val="28"/>
          <w:szCs w:val="28"/>
          <w:vertAlign w:val="subscript"/>
        </w:rPr>
        <w:t>0</w:t>
      </w:r>
      <w:r w:rsidRPr="006921A8">
        <w:rPr>
          <w:color w:val="212034"/>
          <w:sz w:val="28"/>
          <w:szCs w:val="28"/>
        </w:rPr>
        <w:t xml:space="preserve"> – денежный поток в первоначальный момент. Первоначальный </w:t>
      </w:r>
      <w:r w:rsidR="001178CA">
        <w:rPr>
          <w:color w:val="212034"/>
          <w:sz w:val="28"/>
          <w:szCs w:val="28"/>
        </w:rPr>
        <w:t xml:space="preserve">                       </w:t>
      </w:r>
      <w:r w:rsidRPr="006921A8">
        <w:rPr>
          <w:color w:val="212034"/>
          <w:sz w:val="28"/>
          <w:szCs w:val="28"/>
        </w:rPr>
        <w:t>денежный поток равняется инвестиционному капиталу (CF</w:t>
      </w:r>
      <w:r w:rsidRPr="006921A8">
        <w:rPr>
          <w:color w:val="212034"/>
          <w:sz w:val="28"/>
          <w:szCs w:val="28"/>
          <w:vertAlign w:val="subscript"/>
        </w:rPr>
        <w:t>0</w:t>
      </w:r>
      <w:r w:rsidRPr="006921A8">
        <w:rPr>
          <w:color w:val="212034"/>
          <w:sz w:val="28"/>
          <w:szCs w:val="28"/>
        </w:rPr>
        <w:t> = IC);</w:t>
      </w:r>
    </w:p>
    <w:p w:rsidR="00AF24AB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r – ставка дисконтирования (барьерная ставка).</w:t>
      </w:r>
    </w:p>
    <w:p w:rsidR="00AF24AB" w:rsidRPr="002220A0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bCs/>
          <w:color w:val="212034"/>
          <w:sz w:val="28"/>
          <w:szCs w:val="28"/>
        </w:rPr>
      </w:pPr>
      <w:r>
        <w:rPr>
          <w:bCs/>
          <w:color w:val="212034"/>
          <w:sz w:val="28"/>
          <w:szCs w:val="28"/>
        </w:rPr>
        <w:t>5</w:t>
      </w:r>
      <w:r w:rsidRPr="002220A0">
        <w:rPr>
          <w:bCs/>
          <w:color w:val="212034"/>
          <w:sz w:val="28"/>
          <w:szCs w:val="28"/>
        </w:rPr>
        <w:t xml:space="preserve">. Внутренняя норма прибыли инвестиционного проекта (IRR) </w:t>
      </w:r>
      <w:r>
        <w:rPr>
          <w:bCs/>
          <w:color w:val="212034"/>
          <w:sz w:val="28"/>
          <w:szCs w:val="28"/>
        </w:rPr>
        <w:t>–</w:t>
      </w:r>
      <w:r w:rsidRPr="002220A0">
        <w:rPr>
          <w:bCs/>
          <w:color w:val="212034"/>
          <w:sz w:val="28"/>
          <w:szCs w:val="28"/>
        </w:rPr>
        <w:t xml:space="preserve"> это ставка процента, при которой приведенная стоимость всех денежных потоков инвестиционного проекта (т.е. NPV или чистый дисконтированный доход) равна </w:t>
      </w:r>
      <w:proofErr w:type="gramStart"/>
      <w:r w:rsidRPr="002220A0">
        <w:rPr>
          <w:bCs/>
          <w:color w:val="212034"/>
          <w:sz w:val="28"/>
          <w:szCs w:val="28"/>
        </w:rPr>
        <w:t>нулю</w:t>
      </w:r>
      <w:r w:rsidR="00524293">
        <w:rPr>
          <w:bCs/>
          <w:color w:val="212034"/>
          <w:sz w:val="28"/>
          <w:szCs w:val="28"/>
        </w:rPr>
        <w:t>,</w:t>
      </w:r>
      <w:r>
        <w:rPr>
          <w:bCs/>
          <w:color w:val="212034"/>
          <w:sz w:val="28"/>
          <w:szCs w:val="28"/>
        </w:rPr>
        <w:t xml:space="preserve">   </w:t>
      </w:r>
      <w:proofErr w:type="gramEnd"/>
      <w:r>
        <w:rPr>
          <w:bCs/>
          <w:color w:val="212034"/>
          <w:sz w:val="28"/>
          <w:szCs w:val="28"/>
        </w:rPr>
        <w:t xml:space="preserve">          </w:t>
      </w:r>
      <w:r w:rsidRPr="002220A0">
        <w:rPr>
          <w:bCs/>
          <w:color w:val="212034"/>
          <w:sz w:val="28"/>
          <w:szCs w:val="28"/>
        </w:rPr>
        <w:t xml:space="preserve"> и вычисляется по формуле:</w:t>
      </w:r>
    </w:p>
    <w:p w:rsidR="00AF24AB" w:rsidRPr="001B1C62" w:rsidRDefault="001B1C62" w:rsidP="00A41FA4">
      <w:pPr>
        <w:pStyle w:val="3"/>
        <w:tabs>
          <w:tab w:val="left" w:pos="6379"/>
        </w:tabs>
        <w:spacing w:before="0" w:after="0"/>
        <w:ind w:left="709"/>
        <w:jc w:val="both"/>
        <w:rPr>
          <w:rFonts w:ascii="Times New Roman" w:hAnsi="Times New Roman"/>
          <w:b w:val="0"/>
          <w:color w:val="212034"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/>
            </w:rPr>
            <m:t>0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 w:val="0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Calibri" w:hAnsi="Cambria Math"/>
                      <w:b w:val="0"/>
                      <w:color w:val="212034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CF</m:t>
                  </m:r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28"/>
                      <w:szCs w:val="28"/>
                      <w:lang w:val="en-US"/>
                    </w:rPr>
                    <m:t>ₜ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b w:val="0"/>
                          <w:color w:val="212034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212034"/>
                          <w:sz w:val="28"/>
                          <w:szCs w:val="28"/>
                        </w:rPr>
                        <m:t>1+IRR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  <w:color w:val="212034"/>
                      <w:sz w:val="28"/>
                      <w:szCs w:val="28"/>
                    </w:rPr>
                    <m:t xml:space="preserve"> ͭ</m:t>
                  </m:r>
                </m:den>
              </m:f>
            </m:e>
          </m:nary>
          <m:r>
            <m:rPr>
              <m:sty m:val="b"/>
            </m:rPr>
            <w:rPr>
              <w:rFonts w:ascii="Cambria Math" w:hAnsi="Cambria Math"/>
              <w:color w:val="212034"/>
              <w:sz w:val="28"/>
              <w:szCs w:val="28"/>
            </w:rPr>
            <m:t>-</m:t>
          </m:r>
          <m:r>
            <m:rPr>
              <m:sty m:val="b"/>
            </m:rPr>
            <w:rPr>
              <w:rFonts w:ascii="Cambria Math" w:hAnsi="Cambria Math"/>
              <w:color w:val="212034"/>
              <w:sz w:val="28"/>
              <w:szCs w:val="28"/>
              <w:lang w:val="en-US"/>
            </w:rPr>
            <m:t>CF₀</m:t>
          </m:r>
          <m:r>
            <m:rPr>
              <m:sty m:val="b"/>
            </m:rPr>
            <w:rPr>
              <w:rFonts w:ascii="Cambria Math" w:hAnsi="Cambria Math"/>
              <w:noProof/>
              <w:color w:val="2D2D2D"/>
              <w:spacing w:val="2"/>
              <w:sz w:val="28"/>
              <w:szCs w:val="28"/>
            </w:rPr>
            <m:t>, где:</m:t>
          </m:r>
        </m:oMath>
      </m:oMathPara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CF – денежный поток, который создается объектом инвестиций;</w:t>
      </w:r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IRR – внутренняя норма прибыли;</w:t>
      </w:r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CF</w:t>
      </w:r>
      <w:r w:rsidRPr="006921A8">
        <w:rPr>
          <w:color w:val="212034"/>
          <w:sz w:val="28"/>
          <w:szCs w:val="28"/>
          <w:vertAlign w:val="subscript"/>
        </w:rPr>
        <w:t>0</w:t>
      </w:r>
      <w:r w:rsidRPr="006921A8">
        <w:rPr>
          <w:color w:val="212034"/>
          <w:sz w:val="28"/>
          <w:szCs w:val="28"/>
        </w:rPr>
        <w:t xml:space="preserve"> – денежный поток в первоначальный момент. В первом </w:t>
      </w:r>
      <w:proofErr w:type="gramStart"/>
      <w:r w:rsidRPr="006921A8">
        <w:rPr>
          <w:color w:val="212034"/>
          <w:sz w:val="28"/>
          <w:szCs w:val="28"/>
        </w:rPr>
        <w:t>периоде,</w:t>
      </w:r>
      <w:r>
        <w:rPr>
          <w:color w:val="212034"/>
          <w:sz w:val="28"/>
          <w:szCs w:val="28"/>
        </w:rPr>
        <w:t xml:space="preserve">   </w:t>
      </w:r>
      <w:proofErr w:type="gramEnd"/>
      <w:r>
        <w:rPr>
          <w:color w:val="212034"/>
          <w:sz w:val="28"/>
          <w:szCs w:val="28"/>
        </w:rPr>
        <w:t xml:space="preserve">              </w:t>
      </w:r>
      <w:r w:rsidRPr="006921A8">
        <w:rPr>
          <w:color w:val="212034"/>
          <w:sz w:val="28"/>
          <w:szCs w:val="28"/>
        </w:rPr>
        <w:t xml:space="preserve"> как правило, денежный поток равняется инвестиционному капиталу (CF</w:t>
      </w:r>
      <w:r w:rsidRPr="006921A8">
        <w:rPr>
          <w:color w:val="212034"/>
          <w:sz w:val="28"/>
          <w:szCs w:val="28"/>
          <w:vertAlign w:val="subscript"/>
        </w:rPr>
        <w:t>0</w:t>
      </w:r>
      <w:r w:rsidRPr="006921A8">
        <w:rPr>
          <w:color w:val="212034"/>
          <w:sz w:val="28"/>
          <w:szCs w:val="28"/>
        </w:rPr>
        <w:t> = IC).</w:t>
      </w:r>
    </w:p>
    <w:p w:rsidR="00AF24AB" w:rsidRPr="00697367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jc w:val="both"/>
        <w:rPr>
          <w:color w:val="212034"/>
          <w:sz w:val="28"/>
          <w:szCs w:val="28"/>
        </w:rPr>
      </w:pPr>
      <w:r w:rsidRPr="00697367">
        <w:rPr>
          <w:color w:val="212034"/>
          <w:sz w:val="28"/>
          <w:szCs w:val="28"/>
        </w:rPr>
        <w:lastRenderedPageBreak/>
        <w:t>6. Индекс прибыльности инвестиций (PI) – показывает доходность вложенного капитала по инвестиционному проекту, с учетом временной стоимости</w:t>
      </w:r>
      <w:r>
        <w:rPr>
          <w:color w:val="212034"/>
          <w:sz w:val="28"/>
          <w:szCs w:val="28"/>
        </w:rPr>
        <w:t xml:space="preserve">               </w:t>
      </w:r>
      <w:r w:rsidRPr="00697367">
        <w:rPr>
          <w:color w:val="212034"/>
          <w:sz w:val="28"/>
          <w:szCs w:val="28"/>
        </w:rPr>
        <w:t xml:space="preserve"> денег и вычисляется по формуле:</w:t>
      </w:r>
    </w:p>
    <w:p w:rsidR="00AF24AB" w:rsidRPr="00857B21" w:rsidRDefault="00857B21" w:rsidP="00A41FA4">
      <w:pPr>
        <w:tabs>
          <w:tab w:val="left" w:pos="6379"/>
        </w:tabs>
        <w:ind w:left="709"/>
        <w:rPr>
          <w:rFonts w:cs="Times New Roman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12034"/>
              <w:szCs w:val="28"/>
              <w:lang w:val="en-US"/>
            </w:rPr>
            <m:t>PI=</m:t>
          </m:r>
          <m:f>
            <m:fPr>
              <m:ctrlPr>
                <w:rPr>
                  <w:rFonts w:ascii="Cambria Math" w:eastAsia="Calibri" w:hAnsi="Cambria Math" w:cs="Times New Roman"/>
                  <w:color w:val="212034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NPV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12034"/>
                  <w:szCs w:val="28"/>
                </w:rPr>
                <m:t>IC</m:t>
              </m:r>
            </m:den>
          </m:f>
          <m:r>
            <m:rPr>
              <m:sty m:val="p"/>
            </m:rPr>
            <w:rPr>
              <w:rFonts w:ascii="Cambria Math" w:hAnsi="Cambria Math"/>
              <w:color w:val="212034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color w:val="212034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color w:val="212034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Cs w:val="28"/>
                        </w:rPr>
                        <m:t>CF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Cs w:val="28"/>
                          <w:lang w:val="en-US"/>
                        </w:rPr>
                        <m:t>ₜ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color w:val="21203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12034"/>
                              <w:szCs w:val="28"/>
                            </w:rPr>
                            <m:t>1+r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12034"/>
                          <w:szCs w:val="28"/>
                        </w:rPr>
                        <m:t xml:space="preserve"> ͭ</m:t>
                      </m:r>
                    </m:den>
                  </m:f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12034"/>
                  <w:szCs w:val="28"/>
                </w:rPr>
                <m:t>IC</m:t>
              </m:r>
            </m:den>
          </m:f>
          <m:r>
            <m:rPr>
              <m:sty m:val="p"/>
            </m:rPr>
            <w:rPr>
              <w:rFonts w:ascii="Cambria Math" w:hAnsi="Cambria Math"/>
              <w:color w:val="212034"/>
              <w:szCs w:val="28"/>
            </w:rPr>
            <m:t xml:space="preserve"> , где:</m:t>
          </m:r>
        </m:oMath>
      </m:oMathPara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NPV – чистый дисконтированный доход;</w:t>
      </w:r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n – срок реализации проекта;</w:t>
      </w:r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r – ставка дисконтирования (%);</w:t>
      </w:r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>IC – вложенный (затраченный) инвестиционный капитал.</w:t>
      </w:r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  <w:r w:rsidRPr="006921A8">
        <w:rPr>
          <w:color w:val="212034"/>
          <w:sz w:val="28"/>
          <w:szCs w:val="28"/>
        </w:rPr>
        <w:t xml:space="preserve">Если вложения в </w:t>
      </w:r>
      <w:r>
        <w:rPr>
          <w:color w:val="212034"/>
          <w:sz w:val="28"/>
          <w:szCs w:val="28"/>
        </w:rPr>
        <w:t xml:space="preserve">инвестиционного </w:t>
      </w:r>
      <w:r w:rsidRPr="006921A8">
        <w:rPr>
          <w:color w:val="212034"/>
          <w:sz w:val="28"/>
          <w:szCs w:val="28"/>
        </w:rPr>
        <w:t>проект осуществляются не единовременно, а на протяжении всего времени реализации</w:t>
      </w:r>
      <w:r>
        <w:rPr>
          <w:color w:val="212034"/>
          <w:sz w:val="28"/>
          <w:szCs w:val="28"/>
        </w:rPr>
        <w:t xml:space="preserve"> проекта</w:t>
      </w:r>
      <w:r w:rsidRPr="006921A8">
        <w:rPr>
          <w:color w:val="212034"/>
          <w:sz w:val="28"/>
          <w:szCs w:val="28"/>
        </w:rPr>
        <w:t xml:space="preserve">, то </w:t>
      </w:r>
      <w:r>
        <w:rPr>
          <w:color w:val="212034"/>
          <w:sz w:val="28"/>
          <w:szCs w:val="28"/>
        </w:rPr>
        <w:t>применяется                 следующая ф</w:t>
      </w:r>
      <w:r w:rsidRPr="006921A8">
        <w:rPr>
          <w:color w:val="212034"/>
          <w:sz w:val="28"/>
          <w:szCs w:val="28"/>
        </w:rPr>
        <w:t>ормула:</w:t>
      </w:r>
    </w:p>
    <w:p w:rsidR="00AF24AB" w:rsidRPr="00857B21" w:rsidRDefault="00857B21" w:rsidP="00A41FA4">
      <w:pPr>
        <w:pStyle w:val="a9"/>
        <w:tabs>
          <w:tab w:val="left" w:pos="6379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12034"/>
              <w:sz w:val="28"/>
              <w:szCs w:val="28"/>
              <w:lang w:val="en-US"/>
            </w:rPr>
            <m:t>PI=</m:t>
          </m:r>
          <m:r>
            <m:rPr>
              <m:sty m:val="p"/>
            </m:rPr>
            <w:rPr>
              <w:rFonts w:ascii="Cambria Math" w:hAnsi="Cambria Math"/>
              <w:color w:val="212034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="Calibri" w:hAnsi="Cambria Math"/>
                  <w:color w:val="212034"/>
                  <w:sz w:val="28"/>
                  <w:szCs w:val="28"/>
                  <w:lang w:eastAsia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/>
                          <w:color w:val="212034"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CF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  <w:lang w:val="en-US"/>
                        </w:rPr>
                        <m:t>ₜ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color w:val="212034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12034"/>
                              <w:sz w:val="28"/>
                              <w:szCs w:val="28"/>
                            </w:rPr>
                            <m:t>1+r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12034"/>
                          <w:sz w:val="28"/>
                          <w:szCs w:val="28"/>
                        </w:rPr>
                        <m:t xml:space="preserve"> ͭ</m:t>
                      </m:r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/>
                          <w:color w:val="212034"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IC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color w:val="212034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12034"/>
                              <w:sz w:val="28"/>
                              <w:szCs w:val="28"/>
                            </w:rPr>
                            <m:t>1+r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12034"/>
                          <w:sz w:val="28"/>
                          <w:szCs w:val="28"/>
                        </w:rPr>
                        <m:t xml:space="preserve"> ͭ</m:t>
                      </m:r>
                    </m:den>
                  </m:f>
                </m:e>
              </m:nary>
            </m:den>
          </m:f>
        </m:oMath>
      </m:oMathPara>
    </w:p>
    <w:p w:rsidR="00AF24AB" w:rsidRDefault="00AF24AB" w:rsidP="001178CA">
      <w:pPr>
        <w:pStyle w:val="a9"/>
        <w:tabs>
          <w:tab w:val="left" w:pos="6379"/>
        </w:tabs>
        <w:spacing w:before="0" w:beforeAutospacing="0" w:after="0" w:afterAutospacing="0"/>
        <w:ind w:firstLine="709"/>
        <w:jc w:val="both"/>
        <w:rPr>
          <w:color w:val="212034"/>
          <w:sz w:val="28"/>
          <w:szCs w:val="28"/>
        </w:rPr>
      </w:pPr>
      <w:r>
        <w:rPr>
          <w:color w:val="212034"/>
          <w:sz w:val="28"/>
          <w:szCs w:val="28"/>
        </w:rPr>
        <w:t>7</w:t>
      </w:r>
      <w:r w:rsidRPr="00D82F59">
        <w:rPr>
          <w:color w:val="212034"/>
          <w:sz w:val="28"/>
          <w:szCs w:val="28"/>
        </w:rPr>
        <w:t>.</w:t>
      </w:r>
      <w:r w:rsidRPr="006921A8">
        <w:rPr>
          <w:color w:val="212034"/>
          <w:sz w:val="28"/>
          <w:szCs w:val="28"/>
        </w:rPr>
        <w:t xml:space="preserve"> </w:t>
      </w:r>
      <w:r>
        <w:rPr>
          <w:color w:val="212034"/>
          <w:sz w:val="28"/>
          <w:szCs w:val="28"/>
        </w:rPr>
        <w:t xml:space="preserve">Инвестиционный проект считается экономически эффективным                             в случае соответствия значений критериев оценки экономической </w:t>
      </w:r>
      <w:proofErr w:type="spellStart"/>
      <w:r>
        <w:rPr>
          <w:color w:val="212034"/>
          <w:sz w:val="28"/>
          <w:szCs w:val="28"/>
        </w:rPr>
        <w:t>эффектив</w:t>
      </w:r>
      <w:proofErr w:type="spellEnd"/>
      <w:r w:rsidR="001178CA">
        <w:rPr>
          <w:color w:val="212034"/>
          <w:sz w:val="28"/>
          <w:szCs w:val="28"/>
        </w:rPr>
        <w:t xml:space="preserve">-              </w:t>
      </w:r>
      <w:proofErr w:type="spellStart"/>
      <w:r>
        <w:rPr>
          <w:color w:val="212034"/>
          <w:sz w:val="28"/>
          <w:szCs w:val="28"/>
        </w:rPr>
        <w:t>ности</w:t>
      </w:r>
      <w:proofErr w:type="spellEnd"/>
      <w:r>
        <w:rPr>
          <w:color w:val="212034"/>
          <w:sz w:val="28"/>
          <w:szCs w:val="28"/>
        </w:rPr>
        <w:t xml:space="preserve"> значениям, указанным в таблице 1.      </w:t>
      </w:r>
    </w:p>
    <w:p w:rsidR="00AF24AB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right"/>
        <w:rPr>
          <w:color w:val="212034"/>
          <w:sz w:val="28"/>
          <w:szCs w:val="28"/>
        </w:rPr>
      </w:pPr>
      <w:r>
        <w:rPr>
          <w:color w:val="212034"/>
          <w:sz w:val="28"/>
          <w:szCs w:val="28"/>
        </w:rPr>
        <w:t>Таблица 1</w:t>
      </w:r>
    </w:p>
    <w:p w:rsidR="00AF24AB" w:rsidRPr="00A41FA4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right"/>
        <w:rPr>
          <w:color w:val="212034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900"/>
      </w:tblGrid>
      <w:tr w:rsidR="00AF24AB" w:rsidRPr="001226F4" w:rsidTr="00AF24AB">
        <w:tc>
          <w:tcPr>
            <w:tcW w:w="4728" w:type="dxa"/>
            <w:shd w:val="clear" w:color="auto" w:fill="auto"/>
          </w:tcPr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 w:rsidRPr="001226F4">
              <w:rPr>
                <w:color w:val="212034"/>
                <w:sz w:val="28"/>
                <w:szCs w:val="28"/>
              </w:rPr>
              <w:t>Показатель</w:t>
            </w:r>
          </w:p>
        </w:tc>
        <w:tc>
          <w:tcPr>
            <w:tcW w:w="4900" w:type="dxa"/>
            <w:shd w:val="clear" w:color="auto" w:fill="auto"/>
          </w:tcPr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</w:rPr>
              <w:t xml:space="preserve">Экономически эффективное </w:t>
            </w:r>
          </w:p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</w:rPr>
              <w:t>значение критерия</w:t>
            </w:r>
          </w:p>
        </w:tc>
      </w:tr>
      <w:tr w:rsidR="00AF24AB" w:rsidRPr="001226F4" w:rsidTr="00AF24AB">
        <w:tc>
          <w:tcPr>
            <w:tcW w:w="4728" w:type="dxa"/>
            <w:shd w:val="clear" w:color="auto" w:fill="auto"/>
          </w:tcPr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rPr>
                <w:color w:val="212034"/>
                <w:sz w:val="28"/>
                <w:szCs w:val="28"/>
              </w:rPr>
            </w:pPr>
            <w:r w:rsidRPr="001226F4">
              <w:rPr>
                <w:color w:val="212034"/>
                <w:sz w:val="28"/>
                <w:szCs w:val="28"/>
              </w:rPr>
              <w:t>Период окупаемости</w:t>
            </w:r>
          </w:p>
        </w:tc>
        <w:tc>
          <w:tcPr>
            <w:tcW w:w="4900" w:type="dxa"/>
            <w:shd w:val="clear" w:color="auto" w:fill="auto"/>
          </w:tcPr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  <w:lang w:val="en-US"/>
              </w:rPr>
              <w:t>PP</w:t>
            </w:r>
            <w:r w:rsidRPr="006D5728">
              <w:rPr>
                <w:color w:val="212034"/>
                <w:sz w:val="28"/>
                <w:szCs w:val="28"/>
              </w:rPr>
              <w:t xml:space="preserve"> &lt;</w:t>
            </w:r>
            <w:r>
              <w:rPr>
                <w:color w:val="212034"/>
                <w:sz w:val="28"/>
                <w:szCs w:val="28"/>
              </w:rPr>
              <w:t xml:space="preserve"> срок реализации </w:t>
            </w:r>
          </w:p>
          <w:p w:rsidR="00AF24AB" w:rsidRPr="006D5728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</w:rPr>
              <w:t>инвестиционного проекта</w:t>
            </w:r>
          </w:p>
        </w:tc>
      </w:tr>
      <w:tr w:rsidR="00AF24AB" w:rsidRPr="001226F4" w:rsidTr="00AF24AB">
        <w:tc>
          <w:tcPr>
            <w:tcW w:w="4728" w:type="dxa"/>
            <w:shd w:val="clear" w:color="auto" w:fill="auto"/>
          </w:tcPr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rPr>
                <w:color w:val="212034"/>
                <w:sz w:val="28"/>
                <w:szCs w:val="28"/>
              </w:rPr>
            </w:pPr>
            <w:r w:rsidRPr="001226F4">
              <w:rPr>
                <w:color w:val="212034"/>
                <w:sz w:val="28"/>
                <w:szCs w:val="28"/>
              </w:rPr>
              <w:t>Рентабельность инвестиционного проекта</w:t>
            </w:r>
          </w:p>
        </w:tc>
        <w:tc>
          <w:tcPr>
            <w:tcW w:w="4900" w:type="dxa"/>
            <w:shd w:val="clear" w:color="auto" w:fill="auto"/>
          </w:tcPr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  <w:lang w:val="en-US"/>
              </w:rPr>
            </w:pPr>
            <w:r w:rsidRPr="001226F4">
              <w:rPr>
                <w:color w:val="212034"/>
                <w:sz w:val="28"/>
                <w:szCs w:val="28"/>
                <w:lang w:val="en-US"/>
              </w:rPr>
              <w:t>ARR</w:t>
            </w:r>
            <w:r>
              <w:rPr>
                <w:color w:val="212034"/>
                <w:sz w:val="28"/>
                <w:szCs w:val="28"/>
              </w:rPr>
              <w:t xml:space="preserve"> </w:t>
            </w:r>
            <w:r w:rsidRPr="001226F4">
              <w:rPr>
                <w:color w:val="212034"/>
                <w:sz w:val="28"/>
                <w:szCs w:val="28"/>
              </w:rPr>
              <w:t>&gt;</w:t>
            </w:r>
            <w:r>
              <w:rPr>
                <w:color w:val="212034"/>
                <w:sz w:val="28"/>
                <w:szCs w:val="28"/>
              </w:rPr>
              <w:t xml:space="preserve"> </w:t>
            </w:r>
            <w:r w:rsidRPr="001226F4">
              <w:rPr>
                <w:color w:val="212034"/>
                <w:sz w:val="28"/>
                <w:szCs w:val="28"/>
              </w:rPr>
              <w:t>0</w:t>
            </w:r>
          </w:p>
        </w:tc>
      </w:tr>
      <w:tr w:rsidR="00AF24AB" w:rsidRPr="001226F4" w:rsidTr="00AF24AB">
        <w:tc>
          <w:tcPr>
            <w:tcW w:w="4728" w:type="dxa"/>
            <w:shd w:val="clear" w:color="auto" w:fill="auto"/>
          </w:tcPr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rPr>
                <w:color w:val="212034"/>
                <w:sz w:val="28"/>
                <w:szCs w:val="28"/>
              </w:rPr>
            </w:pPr>
            <w:r w:rsidRPr="001226F4">
              <w:rPr>
                <w:color w:val="212034"/>
                <w:sz w:val="28"/>
                <w:szCs w:val="28"/>
              </w:rPr>
              <w:t>Чистый дисконтированный доход</w:t>
            </w:r>
          </w:p>
        </w:tc>
        <w:tc>
          <w:tcPr>
            <w:tcW w:w="4900" w:type="dxa"/>
            <w:shd w:val="clear" w:color="auto" w:fill="auto"/>
          </w:tcPr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proofErr w:type="gramStart"/>
            <w:r w:rsidRPr="001226F4">
              <w:rPr>
                <w:color w:val="212034"/>
                <w:sz w:val="28"/>
                <w:szCs w:val="28"/>
              </w:rPr>
              <w:t>NPV</w:t>
            </w:r>
            <w:r>
              <w:rPr>
                <w:color w:val="212034"/>
                <w:sz w:val="28"/>
                <w:szCs w:val="28"/>
              </w:rPr>
              <w:t xml:space="preserve"> </w:t>
            </w:r>
            <w:r w:rsidRPr="001226F4">
              <w:rPr>
                <w:color w:val="212034"/>
                <w:sz w:val="28"/>
                <w:szCs w:val="28"/>
              </w:rPr>
              <w:t>&gt;</w:t>
            </w:r>
            <w:proofErr w:type="gramEnd"/>
            <w:r>
              <w:rPr>
                <w:color w:val="212034"/>
                <w:sz w:val="28"/>
                <w:szCs w:val="28"/>
              </w:rPr>
              <w:t xml:space="preserve"> </w:t>
            </w:r>
            <w:r w:rsidRPr="001226F4">
              <w:rPr>
                <w:color w:val="212034"/>
                <w:sz w:val="28"/>
                <w:szCs w:val="28"/>
              </w:rPr>
              <w:t>0</w:t>
            </w:r>
            <w:r>
              <w:rPr>
                <w:color w:val="212034"/>
                <w:sz w:val="28"/>
                <w:szCs w:val="28"/>
              </w:rPr>
              <w:t xml:space="preserve"> </w:t>
            </w:r>
          </w:p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 w:rsidRPr="001226F4">
              <w:rPr>
                <w:color w:val="212034"/>
                <w:sz w:val="28"/>
                <w:szCs w:val="28"/>
              </w:rPr>
              <w:t>NPV</w:t>
            </w:r>
            <w:r>
              <w:rPr>
                <w:color w:val="212034"/>
                <w:sz w:val="28"/>
                <w:szCs w:val="28"/>
              </w:rPr>
              <w:t xml:space="preserve"> = </w:t>
            </w:r>
            <w:r w:rsidRPr="001226F4">
              <w:rPr>
                <w:color w:val="212034"/>
                <w:sz w:val="28"/>
                <w:szCs w:val="28"/>
              </w:rPr>
              <w:t>0</w:t>
            </w:r>
            <w:r>
              <w:rPr>
                <w:color w:val="212034"/>
                <w:sz w:val="28"/>
                <w:szCs w:val="28"/>
              </w:rPr>
              <w:t xml:space="preserve">  </w:t>
            </w:r>
          </w:p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</w:rPr>
              <w:t>(для социальных инвестиционных проектов)</w:t>
            </w:r>
          </w:p>
        </w:tc>
      </w:tr>
      <w:tr w:rsidR="00AF24AB" w:rsidRPr="001226F4" w:rsidTr="00AF24AB">
        <w:tc>
          <w:tcPr>
            <w:tcW w:w="4728" w:type="dxa"/>
            <w:shd w:val="clear" w:color="auto" w:fill="auto"/>
          </w:tcPr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rPr>
                <w:color w:val="212034"/>
                <w:sz w:val="28"/>
                <w:szCs w:val="28"/>
              </w:rPr>
            </w:pPr>
            <w:r w:rsidRPr="001226F4">
              <w:rPr>
                <w:color w:val="212034"/>
                <w:sz w:val="28"/>
                <w:szCs w:val="28"/>
              </w:rPr>
              <w:t>Внутренняя норма прибыли</w:t>
            </w:r>
          </w:p>
        </w:tc>
        <w:tc>
          <w:tcPr>
            <w:tcW w:w="4900" w:type="dxa"/>
            <w:shd w:val="clear" w:color="auto" w:fill="auto"/>
          </w:tcPr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proofErr w:type="gramStart"/>
            <w:r w:rsidRPr="001226F4">
              <w:rPr>
                <w:color w:val="212034"/>
                <w:sz w:val="28"/>
                <w:szCs w:val="28"/>
              </w:rPr>
              <w:t>IRR</w:t>
            </w:r>
            <w:r>
              <w:rPr>
                <w:color w:val="212034"/>
                <w:sz w:val="28"/>
                <w:szCs w:val="28"/>
              </w:rPr>
              <w:t xml:space="preserve"> </w:t>
            </w:r>
            <w:r w:rsidRPr="001226F4">
              <w:rPr>
                <w:color w:val="212034"/>
                <w:sz w:val="28"/>
                <w:szCs w:val="28"/>
              </w:rPr>
              <w:t>&gt;</w:t>
            </w:r>
            <w:proofErr w:type="gramEnd"/>
            <w:r>
              <w:rPr>
                <w:color w:val="212034"/>
                <w:sz w:val="28"/>
                <w:szCs w:val="28"/>
              </w:rPr>
              <w:t xml:space="preserve"> 0</w:t>
            </w:r>
          </w:p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</w:rPr>
              <w:t xml:space="preserve">(для инвестиционных проектов, </w:t>
            </w:r>
          </w:p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</w:rPr>
              <w:t xml:space="preserve">за исключением социальных) </w:t>
            </w:r>
          </w:p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 w:rsidRPr="001226F4">
              <w:rPr>
                <w:color w:val="212034"/>
                <w:sz w:val="28"/>
                <w:szCs w:val="28"/>
              </w:rPr>
              <w:t>IRR</w:t>
            </w:r>
            <w:r>
              <w:rPr>
                <w:color w:val="212034"/>
                <w:sz w:val="28"/>
                <w:szCs w:val="28"/>
              </w:rPr>
              <w:t xml:space="preserve"> = 0</w:t>
            </w:r>
          </w:p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</w:rPr>
              <w:t>(для социальных инвестиционных проектов)</w:t>
            </w:r>
          </w:p>
        </w:tc>
      </w:tr>
      <w:tr w:rsidR="00AF24AB" w:rsidRPr="001226F4" w:rsidTr="00AF24AB">
        <w:tc>
          <w:tcPr>
            <w:tcW w:w="4728" w:type="dxa"/>
            <w:shd w:val="clear" w:color="auto" w:fill="auto"/>
          </w:tcPr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rPr>
                <w:color w:val="212034"/>
                <w:sz w:val="28"/>
                <w:szCs w:val="28"/>
              </w:rPr>
            </w:pPr>
            <w:r w:rsidRPr="001226F4">
              <w:rPr>
                <w:color w:val="212034"/>
                <w:sz w:val="28"/>
                <w:szCs w:val="28"/>
              </w:rPr>
              <w:t>Индекс прибыльности</w:t>
            </w:r>
          </w:p>
        </w:tc>
        <w:tc>
          <w:tcPr>
            <w:tcW w:w="4900" w:type="dxa"/>
            <w:shd w:val="clear" w:color="auto" w:fill="auto"/>
          </w:tcPr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proofErr w:type="gramStart"/>
            <w:r w:rsidRPr="001226F4">
              <w:rPr>
                <w:color w:val="212034"/>
                <w:sz w:val="28"/>
                <w:szCs w:val="28"/>
              </w:rPr>
              <w:t>PI</w:t>
            </w:r>
            <w:r>
              <w:rPr>
                <w:color w:val="212034"/>
                <w:sz w:val="28"/>
                <w:szCs w:val="28"/>
              </w:rPr>
              <w:t xml:space="preserve"> </w:t>
            </w:r>
            <w:r w:rsidRPr="001226F4">
              <w:rPr>
                <w:color w:val="212034"/>
                <w:sz w:val="28"/>
                <w:szCs w:val="28"/>
              </w:rPr>
              <w:t>&gt;</w:t>
            </w:r>
            <w:proofErr w:type="gramEnd"/>
            <w:r>
              <w:rPr>
                <w:color w:val="212034"/>
                <w:sz w:val="28"/>
                <w:szCs w:val="28"/>
              </w:rPr>
              <w:t xml:space="preserve"> </w:t>
            </w:r>
            <w:r w:rsidRPr="001226F4">
              <w:rPr>
                <w:color w:val="212034"/>
                <w:sz w:val="28"/>
                <w:szCs w:val="28"/>
              </w:rPr>
              <w:t>1</w:t>
            </w:r>
          </w:p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</w:rPr>
              <w:t xml:space="preserve">(для инвестиционных проектов, </w:t>
            </w:r>
          </w:p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</w:rPr>
              <w:t xml:space="preserve">за исключением социальных) </w:t>
            </w:r>
          </w:p>
          <w:p w:rsidR="00AF24AB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 w:rsidRPr="001226F4">
              <w:rPr>
                <w:color w:val="212034"/>
                <w:sz w:val="28"/>
                <w:szCs w:val="28"/>
              </w:rPr>
              <w:t>PI</w:t>
            </w:r>
            <w:r>
              <w:rPr>
                <w:color w:val="212034"/>
                <w:sz w:val="28"/>
                <w:szCs w:val="28"/>
              </w:rPr>
              <w:t xml:space="preserve"> = </w:t>
            </w:r>
            <w:r w:rsidRPr="001226F4">
              <w:rPr>
                <w:color w:val="212034"/>
                <w:sz w:val="28"/>
                <w:szCs w:val="28"/>
              </w:rPr>
              <w:t>1</w:t>
            </w:r>
          </w:p>
          <w:p w:rsidR="00AF24AB" w:rsidRPr="001226F4" w:rsidRDefault="00AF24AB" w:rsidP="00585F18">
            <w:pPr>
              <w:pStyle w:val="a9"/>
              <w:tabs>
                <w:tab w:val="left" w:pos="6379"/>
              </w:tabs>
              <w:spacing w:before="0" w:beforeAutospacing="0" w:after="0" w:afterAutospacing="0"/>
              <w:contextualSpacing/>
              <w:jc w:val="center"/>
              <w:rPr>
                <w:color w:val="212034"/>
                <w:sz w:val="28"/>
                <w:szCs w:val="28"/>
              </w:rPr>
            </w:pPr>
            <w:r>
              <w:rPr>
                <w:color w:val="212034"/>
                <w:sz w:val="28"/>
                <w:szCs w:val="28"/>
              </w:rPr>
              <w:t>(для социальных инвестиционных проектов)</w:t>
            </w:r>
          </w:p>
        </w:tc>
      </w:tr>
    </w:tbl>
    <w:p w:rsidR="00AF24AB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 несоответствии </w:t>
      </w:r>
      <w:r w:rsidRPr="00A402C4">
        <w:rPr>
          <w:rFonts w:cs="Times New Roman"/>
          <w:szCs w:val="28"/>
        </w:rPr>
        <w:t>значений критериев оценки экономической эффективности значениям, указанным в таблице 1</w:t>
      </w:r>
      <w:r>
        <w:rPr>
          <w:rFonts w:cs="Times New Roman"/>
          <w:szCs w:val="28"/>
        </w:rPr>
        <w:t>, инвестиционный проект считается            экономически неэффективным</w:t>
      </w:r>
      <w:r w:rsidRPr="00A402C4">
        <w:rPr>
          <w:rFonts w:cs="Times New Roman"/>
          <w:szCs w:val="28"/>
        </w:rPr>
        <w:t>.</w:t>
      </w:r>
    </w:p>
    <w:p w:rsidR="00AF24AB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outlineLvl w:val="1"/>
        <w:rPr>
          <w:rFonts w:cs="Times New Roman"/>
          <w:szCs w:val="28"/>
        </w:rPr>
      </w:pPr>
    </w:p>
    <w:p w:rsidR="00AF24AB" w:rsidRPr="006921A8" w:rsidRDefault="00AF24AB" w:rsidP="00AF24AB">
      <w:pPr>
        <w:tabs>
          <w:tab w:val="left" w:pos="567"/>
          <w:tab w:val="left" w:pos="993"/>
          <w:tab w:val="left" w:pos="6379"/>
        </w:tabs>
        <w:autoSpaceDE w:val="0"/>
        <w:autoSpaceDN w:val="0"/>
        <w:adjustRightInd w:val="0"/>
        <w:ind w:firstLine="709"/>
        <w:outlineLvl w:val="1"/>
        <w:rPr>
          <w:rFonts w:cs="Times New Roman"/>
          <w:szCs w:val="28"/>
        </w:rPr>
      </w:pPr>
      <w:r w:rsidRPr="006921A8"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 w:rsidRPr="006921A8">
        <w:rPr>
          <w:rFonts w:cs="Times New Roman"/>
          <w:szCs w:val="28"/>
        </w:rPr>
        <w:t xml:space="preserve">. </w:t>
      </w:r>
      <w:r w:rsidRPr="006921A8">
        <w:rPr>
          <w:rFonts w:eastAsia="Times New Roman" w:cs="Times New Roman"/>
          <w:color w:val="2D2D2D"/>
          <w:spacing w:val="2"/>
          <w:szCs w:val="28"/>
        </w:rPr>
        <w:t>Расчет социальной эффективности</w:t>
      </w:r>
    </w:p>
    <w:p w:rsidR="00A41FA4" w:rsidRDefault="00AF24AB" w:rsidP="00A41FA4">
      <w:pPr>
        <w:shd w:val="clear" w:color="auto" w:fill="FFFFFF"/>
        <w:tabs>
          <w:tab w:val="left" w:pos="6379"/>
        </w:tabs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>1. Оценка эффективности инвестиционных проектов производится</w:t>
      </w:r>
      <w:r>
        <w:rPr>
          <w:rFonts w:eastAsia="Times New Roman" w:cs="Times New Roman"/>
          <w:color w:val="2D2D2D"/>
          <w:spacing w:val="2"/>
          <w:szCs w:val="28"/>
        </w:rPr>
        <w:t xml:space="preserve">                           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по формуле:</w:t>
      </w:r>
    </w:p>
    <w:p w:rsidR="00A41FA4" w:rsidRPr="00A41FA4" w:rsidRDefault="00A41FA4" w:rsidP="00A41FA4">
      <w:pPr>
        <w:rPr>
          <w:sz w:val="4"/>
          <w:szCs w:val="4"/>
        </w:rPr>
      </w:pPr>
    </w:p>
    <w:p w:rsidR="00A41FA4" w:rsidRPr="00A41FA4" w:rsidRDefault="00AF24AB" w:rsidP="00A41FA4">
      <w:pPr>
        <w:ind w:left="709"/>
      </w:pPr>
      <w:r w:rsidRPr="00A41FA4">
        <w:t xml:space="preserve">СЭ = </w:t>
      </w:r>
      <w:proofErr w:type="spellStart"/>
      <w:r w:rsidRPr="00A41FA4">
        <w:t>Сэ</w:t>
      </w:r>
      <w:proofErr w:type="spellEnd"/>
      <w:r w:rsidRPr="00A41FA4">
        <w:t xml:space="preserve"> x </w:t>
      </w:r>
      <w:proofErr w:type="spellStart"/>
      <w:r w:rsidRPr="00A41FA4">
        <w:t>Ксп</w:t>
      </w:r>
      <w:proofErr w:type="spellEnd"/>
      <w:r w:rsidRPr="00A41FA4">
        <w:t>, где:</w:t>
      </w:r>
    </w:p>
    <w:p w:rsidR="00A41FA4" w:rsidRPr="00A41FA4" w:rsidRDefault="00A41FA4" w:rsidP="00A41FA4">
      <w:pPr>
        <w:rPr>
          <w:sz w:val="4"/>
          <w:szCs w:val="4"/>
        </w:rPr>
      </w:pP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contextualSpacing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 xml:space="preserve">СЭ </w:t>
      </w:r>
      <w:r>
        <w:rPr>
          <w:rFonts w:eastAsia="Times New Roman" w:cs="Times New Roman"/>
          <w:color w:val="2D2D2D"/>
          <w:spacing w:val="2"/>
          <w:szCs w:val="28"/>
        </w:rPr>
        <w:t>–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социальная эффективность инвестиционного проекта;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contextualSpacing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Сэ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 </w:t>
      </w:r>
      <w:r>
        <w:rPr>
          <w:rFonts w:eastAsia="Times New Roman" w:cs="Times New Roman"/>
          <w:color w:val="2D2D2D"/>
          <w:spacing w:val="2"/>
          <w:szCs w:val="28"/>
        </w:rPr>
        <w:t>–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социальный эффект от реализации инвестиционного проекта;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contextualSpacing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Ксп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 </w:t>
      </w:r>
      <w:r>
        <w:rPr>
          <w:rFonts w:eastAsia="Times New Roman" w:cs="Times New Roman"/>
          <w:color w:val="2D2D2D"/>
          <w:spacing w:val="2"/>
          <w:szCs w:val="28"/>
        </w:rPr>
        <w:t>–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коэффициент уровня соответствия проекта приоритетам социально-экономического развития города.</w:t>
      </w:r>
    </w:p>
    <w:p w:rsidR="00AF24AB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contextualSpacing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 xml:space="preserve">Коэффициент уровня соответствия инвестиционного проекта </w:t>
      </w: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приори</w:t>
      </w:r>
      <w:proofErr w:type="spellEnd"/>
      <w:r>
        <w:rPr>
          <w:rFonts w:eastAsia="Times New Roman" w:cs="Times New Roman"/>
          <w:color w:val="2D2D2D"/>
          <w:spacing w:val="2"/>
          <w:szCs w:val="28"/>
        </w:rPr>
        <w:t xml:space="preserve">-                </w:t>
      </w: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тетам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 социально-экономического развития города Сургута (</w:t>
      </w: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Ксп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) определяется ответственным структурным подразделением по результатам экспертной оценки на основе следующей системы критериев, изложенных в таблице </w:t>
      </w:r>
      <w:r>
        <w:rPr>
          <w:rFonts w:eastAsia="Times New Roman" w:cs="Times New Roman"/>
          <w:color w:val="2D2D2D"/>
          <w:spacing w:val="2"/>
          <w:szCs w:val="28"/>
        </w:rPr>
        <w:t>2</w:t>
      </w:r>
      <w:r w:rsidRPr="006921A8">
        <w:rPr>
          <w:rFonts w:eastAsia="Times New Roman" w:cs="Times New Roman"/>
          <w:color w:val="2D2D2D"/>
          <w:spacing w:val="2"/>
          <w:szCs w:val="28"/>
        </w:rPr>
        <w:t>.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contextualSpacing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</w:p>
    <w:p w:rsidR="00AF24AB" w:rsidRPr="00A41FA4" w:rsidRDefault="00AF24AB" w:rsidP="00A41FA4">
      <w:pPr>
        <w:jc w:val="right"/>
      </w:pPr>
      <w:r w:rsidRPr="00A41FA4">
        <w:t>Таблица 2</w:t>
      </w:r>
    </w:p>
    <w:p w:rsidR="00AF24AB" w:rsidRPr="00A41FA4" w:rsidRDefault="00AF24AB" w:rsidP="00A41FA4">
      <w:pPr>
        <w:jc w:val="right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3"/>
        <w:gridCol w:w="2309"/>
      </w:tblGrid>
      <w:tr w:rsidR="00AF24AB" w:rsidRPr="006921A8" w:rsidTr="00AF24A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A41FA4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Критерии оценки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Значение </w:t>
            </w:r>
          </w:p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коэффициента </w:t>
            </w:r>
            <w:proofErr w:type="spellStart"/>
            <w:r w:rsidRPr="006921A8">
              <w:rPr>
                <w:rFonts w:eastAsia="Times New Roman" w:cs="Times New Roman"/>
                <w:color w:val="2D2D2D"/>
                <w:szCs w:val="28"/>
              </w:rPr>
              <w:t>Ксп</w:t>
            </w:r>
            <w:proofErr w:type="spellEnd"/>
          </w:p>
        </w:tc>
      </w:tr>
      <w:tr w:rsidR="00AF24AB" w:rsidRPr="006921A8" w:rsidTr="00AF24A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Инвестиционный проект в полной мере соответствует </w:t>
            </w:r>
          </w:p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приоритетам социально-экономического развития города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1</w:t>
            </w:r>
          </w:p>
        </w:tc>
      </w:tr>
      <w:tr w:rsidR="00AF24AB" w:rsidRPr="006921A8" w:rsidTr="00AF24AB"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Инвестиционный проект частично соответствует </w:t>
            </w:r>
          </w:p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приоритетам социально-экономического развития города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0,5</w:t>
            </w:r>
          </w:p>
        </w:tc>
      </w:tr>
    </w:tbl>
    <w:p w:rsidR="00AF24AB" w:rsidRPr="00A41FA4" w:rsidRDefault="00AF24AB" w:rsidP="00A41FA4">
      <w:pPr>
        <w:rPr>
          <w:sz w:val="10"/>
          <w:szCs w:val="10"/>
        </w:rPr>
      </w:pPr>
    </w:p>
    <w:p w:rsidR="00AF24AB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>2. Социальный эффект от реализации инвестиционного проекта (</w:t>
      </w:r>
      <w:proofErr w:type="spellStart"/>
      <w:proofErr w:type="gramStart"/>
      <w:r w:rsidRPr="006921A8">
        <w:rPr>
          <w:rFonts w:eastAsia="Times New Roman" w:cs="Times New Roman"/>
          <w:color w:val="2D2D2D"/>
          <w:spacing w:val="2"/>
          <w:szCs w:val="28"/>
        </w:rPr>
        <w:t>Сэ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) </w:t>
      </w:r>
      <w:r>
        <w:rPr>
          <w:rFonts w:eastAsia="Times New Roman" w:cs="Times New Roman"/>
          <w:color w:val="2D2D2D"/>
          <w:spacing w:val="2"/>
          <w:szCs w:val="28"/>
        </w:rPr>
        <w:t xml:space="preserve">  </w:t>
      </w:r>
      <w:proofErr w:type="gramEnd"/>
      <w:r>
        <w:rPr>
          <w:rFonts w:eastAsia="Times New Roman" w:cs="Times New Roman"/>
          <w:color w:val="2D2D2D"/>
          <w:spacing w:val="2"/>
          <w:szCs w:val="28"/>
        </w:rPr>
        <w:t xml:space="preserve">           </w:t>
      </w:r>
      <w:r w:rsidRPr="006921A8">
        <w:rPr>
          <w:rFonts w:eastAsia="Times New Roman" w:cs="Times New Roman"/>
          <w:color w:val="2D2D2D"/>
          <w:spacing w:val="2"/>
          <w:szCs w:val="28"/>
        </w:rPr>
        <w:t>рассчитывается по следующей формуле:</w:t>
      </w:r>
    </w:p>
    <w:p w:rsidR="00A41FA4" w:rsidRPr="00A41FA4" w:rsidRDefault="00A41FA4" w:rsidP="00A41FA4">
      <w:pPr>
        <w:rPr>
          <w:sz w:val="10"/>
          <w:szCs w:val="10"/>
        </w:rPr>
      </w:pPr>
    </w:p>
    <w:p w:rsidR="00A41FA4" w:rsidRDefault="00AF24AB" w:rsidP="00A41FA4">
      <w:pPr>
        <w:tabs>
          <w:tab w:val="left" w:pos="709"/>
          <w:tab w:val="left" w:pos="6379"/>
        </w:tabs>
        <w:contextualSpacing/>
        <w:rPr>
          <w:rFonts w:eastAsiaTheme="minorEastAsia" w:cs="Times New Roman"/>
          <w:color w:val="2D2D2D"/>
          <w:spacing w:val="2"/>
          <w:szCs w:val="28"/>
        </w:rPr>
      </w:pPr>
      <w:r w:rsidRPr="006921A8">
        <w:rPr>
          <w:rFonts w:cs="Times New Roman"/>
          <w:szCs w:val="28"/>
        </w:rPr>
        <w:t xml:space="preserve">          </w:t>
      </w:r>
      <m:oMath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 xml:space="preserve">Сэ 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(ИЭ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i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noProof/>
            <w:color w:val="2D2D2D"/>
            <w:spacing w:val="2"/>
            <w:szCs w:val="28"/>
          </w:rPr>
          <m:t>× Кз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color w:val="2D2D2D"/>
            <w:spacing w:val="2"/>
            <w:szCs w:val="28"/>
            <w:lang w:val="en-US"/>
          </w:rPr>
          <m:t>i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color w:val="2D2D2D"/>
            <w:spacing w:val="2"/>
            <w:szCs w:val="28"/>
          </w:rPr>
          <m:t xml:space="preserve">), где: </m:t>
        </m:r>
      </m:oMath>
    </w:p>
    <w:p w:rsidR="00AF24AB" w:rsidRPr="006921A8" w:rsidRDefault="00AF24AB" w:rsidP="00A41FA4">
      <w:pPr>
        <w:tabs>
          <w:tab w:val="left" w:pos="709"/>
          <w:tab w:val="left" w:pos="6379"/>
        </w:tabs>
        <w:contextualSpacing/>
        <w:rPr>
          <w:rFonts w:eastAsia="Times New Roman" w:cs="Times New Roman"/>
          <w:color w:val="2D2D2D"/>
          <w:spacing w:val="2"/>
          <w:szCs w:val="28"/>
        </w:rPr>
      </w:pPr>
      <w:r w:rsidRPr="00A41FA4">
        <w:rPr>
          <w:rFonts w:ascii="Cambria Math" w:hAnsi="Cambria Math" w:cs="Times New Roman"/>
          <w:sz w:val="10"/>
          <w:szCs w:val="10"/>
        </w:rPr>
        <w:br/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         </w:t>
      </w: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Сэ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 </w:t>
      </w:r>
      <w:r>
        <w:rPr>
          <w:rFonts w:eastAsia="Times New Roman" w:cs="Times New Roman"/>
          <w:color w:val="2D2D2D"/>
          <w:spacing w:val="2"/>
          <w:szCs w:val="28"/>
        </w:rPr>
        <w:t>–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социальный эффект от реализации инвестиционного проекта;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contextualSpacing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ИЭi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 </w:t>
      </w:r>
      <w:r>
        <w:rPr>
          <w:rFonts w:eastAsia="Times New Roman" w:cs="Times New Roman"/>
          <w:color w:val="2D2D2D"/>
          <w:spacing w:val="2"/>
          <w:szCs w:val="28"/>
        </w:rPr>
        <w:t>–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соответствующее проекту значение индикатора эффективности</w:t>
      </w:r>
      <w:r>
        <w:rPr>
          <w:rFonts w:eastAsia="Times New Roman" w:cs="Times New Roman"/>
          <w:color w:val="2D2D2D"/>
          <w:spacing w:val="2"/>
          <w:szCs w:val="28"/>
        </w:rPr>
        <w:t xml:space="preserve">               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по соответствующей группе;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contextualSpacing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Кзi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 </w:t>
      </w:r>
      <w:r>
        <w:rPr>
          <w:rFonts w:eastAsia="Times New Roman" w:cs="Times New Roman"/>
          <w:color w:val="2D2D2D"/>
          <w:spacing w:val="2"/>
          <w:szCs w:val="28"/>
        </w:rPr>
        <w:t>–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коэффициент значимости по соответствующей группе индикаторов;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 xml:space="preserve">i </w:t>
      </w:r>
      <w:r>
        <w:rPr>
          <w:rFonts w:eastAsia="Times New Roman" w:cs="Times New Roman"/>
          <w:color w:val="2D2D2D"/>
          <w:spacing w:val="2"/>
          <w:szCs w:val="28"/>
        </w:rPr>
        <w:t>–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порядковый номер индикатора;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 xml:space="preserve">n </w:t>
      </w:r>
      <w:r>
        <w:rPr>
          <w:rFonts w:eastAsia="Times New Roman" w:cs="Times New Roman"/>
          <w:color w:val="2D2D2D"/>
          <w:spacing w:val="2"/>
          <w:szCs w:val="28"/>
        </w:rPr>
        <w:t>–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количество индикаторов.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>Социальный эффект от реализации инвестиционного проекта (</w:t>
      </w:r>
      <w:proofErr w:type="spellStart"/>
      <w:proofErr w:type="gramStart"/>
      <w:r w:rsidRPr="006921A8">
        <w:rPr>
          <w:rFonts w:eastAsia="Times New Roman" w:cs="Times New Roman"/>
          <w:color w:val="2D2D2D"/>
          <w:spacing w:val="2"/>
          <w:szCs w:val="28"/>
        </w:rPr>
        <w:t>Сэ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) </w:t>
      </w:r>
      <w:r>
        <w:rPr>
          <w:rFonts w:eastAsia="Times New Roman" w:cs="Times New Roman"/>
          <w:color w:val="2D2D2D"/>
          <w:spacing w:val="2"/>
          <w:szCs w:val="28"/>
        </w:rPr>
        <w:t xml:space="preserve">  </w:t>
      </w:r>
      <w:proofErr w:type="gramEnd"/>
      <w:r>
        <w:rPr>
          <w:rFonts w:eastAsia="Times New Roman" w:cs="Times New Roman"/>
          <w:color w:val="2D2D2D"/>
          <w:spacing w:val="2"/>
          <w:szCs w:val="28"/>
        </w:rPr>
        <w:t xml:space="preserve">                      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определяется на основе системы индикаторов, изложенных в таблице </w:t>
      </w:r>
      <w:r>
        <w:rPr>
          <w:rFonts w:eastAsia="Times New Roman" w:cs="Times New Roman"/>
          <w:color w:val="2D2D2D"/>
          <w:spacing w:val="2"/>
          <w:szCs w:val="28"/>
        </w:rPr>
        <w:t>3</w:t>
      </w:r>
      <w:r w:rsidRPr="006921A8">
        <w:rPr>
          <w:rFonts w:eastAsia="Times New Roman" w:cs="Times New Roman"/>
          <w:color w:val="2D2D2D"/>
          <w:spacing w:val="2"/>
          <w:szCs w:val="28"/>
        </w:rPr>
        <w:t>,</w:t>
      </w:r>
      <w:r>
        <w:rPr>
          <w:rFonts w:eastAsia="Times New Roman" w:cs="Times New Roman"/>
          <w:color w:val="2D2D2D"/>
          <w:spacing w:val="2"/>
          <w:szCs w:val="28"/>
        </w:rPr>
        <w:t xml:space="preserve">                         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на основании экспертной оценки ответственного структурного подразделения.</w:t>
      </w:r>
    </w:p>
    <w:p w:rsidR="00AF24AB" w:rsidRDefault="00AF24AB" w:rsidP="00AF24AB">
      <w:pPr>
        <w:shd w:val="clear" w:color="auto" w:fill="FFFFFF"/>
        <w:tabs>
          <w:tab w:val="left" w:pos="6379"/>
        </w:tabs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8"/>
        </w:rPr>
      </w:pPr>
    </w:p>
    <w:p w:rsidR="00AF24AB" w:rsidRDefault="00AF24AB" w:rsidP="00AF24AB">
      <w:pPr>
        <w:shd w:val="clear" w:color="auto" w:fill="FFFFFF"/>
        <w:tabs>
          <w:tab w:val="left" w:pos="709"/>
          <w:tab w:val="left" w:pos="6379"/>
        </w:tabs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8"/>
        </w:rPr>
      </w:pPr>
    </w:p>
    <w:p w:rsidR="00AF24AB" w:rsidRDefault="00AF24AB" w:rsidP="00AF24AB">
      <w:pPr>
        <w:shd w:val="clear" w:color="auto" w:fill="FFFFFF"/>
        <w:tabs>
          <w:tab w:val="left" w:pos="6379"/>
        </w:tabs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8"/>
        </w:rPr>
      </w:pPr>
    </w:p>
    <w:p w:rsidR="00AF24AB" w:rsidRDefault="00AF24AB" w:rsidP="00AF24AB">
      <w:pPr>
        <w:shd w:val="clear" w:color="auto" w:fill="FFFFFF"/>
        <w:tabs>
          <w:tab w:val="left" w:pos="6379"/>
        </w:tabs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8"/>
        </w:rPr>
      </w:pPr>
    </w:p>
    <w:p w:rsidR="00AF24AB" w:rsidRDefault="00AF24AB" w:rsidP="00AF24AB">
      <w:pPr>
        <w:shd w:val="clear" w:color="auto" w:fill="FFFFFF"/>
        <w:tabs>
          <w:tab w:val="left" w:pos="6379"/>
        </w:tabs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8"/>
        </w:rPr>
      </w:pPr>
    </w:p>
    <w:p w:rsidR="00AF24AB" w:rsidRDefault="00AF24AB" w:rsidP="00AF24AB">
      <w:pPr>
        <w:shd w:val="clear" w:color="auto" w:fill="FFFFFF"/>
        <w:tabs>
          <w:tab w:val="left" w:pos="6379"/>
        </w:tabs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lastRenderedPageBreak/>
        <w:t xml:space="preserve">Таблица </w:t>
      </w:r>
      <w:r>
        <w:rPr>
          <w:rFonts w:eastAsia="Times New Roman" w:cs="Times New Roman"/>
          <w:color w:val="2D2D2D"/>
          <w:spacing w:val="2"/>
          <w:szCs w:val="28"/>
        </w:rPr>
        <w:t>3</w:t>
      </w:r>
    </w:p>
    <w:p w:rsidR="00A41FA4" w:rsidRPr="00A41FA4" w:rsidRDefault="00A41FA4" w:rsidP="00A41FA4">
      <w:pPr>
        <w:rPr>
          <w:sz w:val="10"/>
          <w:szCs w:val="10"/>
        </w:rPr>
      </w:pPr>
    </w:p>
    <w:p w:rsidR="00AF24AB" w:rsidRDefault="00AF24AB" w:rsidP="00A41FA4">
      <w:pPr>
        <w:shd w:val="clear" w:color="auto" w:fill="FFFFFF"/>
        <w:tabs>
          <w:tab w:val="left" w:pos="6379"/>
        </w:tabs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8"/>
        </w:rPr>
      </w:pPr>
      <w:r w:rsidRPr="006921A8">
        <w:rPr>
          <w:rFonts w:eastAsia="Times New Roman" w:cs="Times New Roman"/>
          <w:color w:val="3C3C3C"/>
          <w:spacing w:val="2"/>
          <w:szCs w:val="28"/>
        </w:rPr>
        <w:t>Индикаторы эффективности инвестиционного проекта (ИЭ)</w:t>
      </w:r>
    </w:p>
    <w:p w:rsidR="00A41FA4" w:rsidRPr="00A41FA4" w:rsidRDefault="00A41FA4" w:rsidP="00A41FA4">
      <w:pPr>
        <w:shd w:val="clear" w:color="auto" w:fill="FFFFFF"/>
        <w:tabs>
          <w:tab w:val="left" w:pos="6379"/>
        </w:tabs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16"/>
          <w:szCs w:val="16"/>
        </w:rPr>
      </w:pP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6224"/>
        <w:gridCol w:w="1691"/>
      </w:tblGrid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Описание индикатора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Значение </w:t>
            </w:r>
          </w:p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индикатора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1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3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ИЭ1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Индикаторы приоритетности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both"/>
              <w:rPr>
                <w:rFonts w:eastAsia="Times New Roman" w:cs="Times New Roman"/>
                <w:color w:val="2D2D2D"/>
                <w:szCs w:val="28"/>
              </w:rPr>
            </w:pP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Инвестиционный проект в полной мере соответствует всем заявленным приоритетам социально-экономического развития города Сургута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100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Инвестиционный проект соответствует </w:t>
            </w:r>
          </w:p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некоторым заявленным приоритетам социально-экономического развития города Сургута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50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78CA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Инвестиционный проект частично соответствует одному или нескольким заявленным </w:t>
            </w:r>
            <w:proofErr w:type="spellStart"/>
            <w:r w:rsidRPr="006921A8">
              <w:rPr>
                <w:rFonts w:eastAsia="Times New Roman" w:cs="Times New Roman"/>
                <w:color w:val="2D2D2D"/>
                <w:szCs w:val="28"/>
              </w:rPr>
              <w:t>приори</w:t>
            </w:r>
            <w:proofErr w:type="spellEnd"/>
            <w:r w:rsidR="001178CA">
              <w:rPr>
                <w:rFonts w:eastAsia="Times New Roman" w:cs="Times New Roman"/>
                <w:color w:val="2D2D2D"/>
                <w:szCs w:val="28"/>
              </w:rPr>
              <w:t>-</w:t>
            </w:r>
          </w:p>
          <w:p w:rsidR="001178CA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proofErr w:type="spellStart"/>
            <w:r w:rsidRPr="006921A8">
              <w:rPr>
                <w:rFonts w:eastAsia="Times New Roman" w:cs="Times New Roman"/>
                <w:color w:val="2D2D2D"/>
                <w:szCs w:val="28"/>
              </w:rPr>
              <w:t>тетам</w:t>
            </w:r>
            <w:proofErr w:type="spellEnd"/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 социально-экономического развития </w:t>
            </w:r>
          </w:p>
          <w:p w:rsidR="00AF24AB" w:rsidRPr="006921A8" w:rsidRDefault="00AF24AB" w:rsidP="001178CA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города Сургута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10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ИЭ2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Индикаторы охвата результатами проекта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Результатами реализации проекта будет </w:t>
            </w:r>
          </w:p>
          <w:p w:rsidR="00AF24AB" w:rsidRPr="006921A8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пользоваться все население города Сургута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100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Результатами реализации проекта будет пользоваться не менее 50% населения города Сургута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80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Результатами реализации проекта будет пользоваться не менее 25% населения города Сургута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70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Результатами реализации проекта будет пользоваться не менее 2% населения города Сургута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50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Результатами реализации проекта будет пользоваться до 2% населения города Сургута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20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ИЭ3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Индикаторы обеспеченности населения новой услугой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В результате реализации проекта населению </w:t>
            </w:r>
            <w:r>
              <w:rPr>
                <w:rFonts w:eastAsia="Times New Roman" w:cs="Times New Roman"/>
                <w:color w:val="2D2D2D"/>
                <w:szCs w:val="28"/>
              </w:rPr>
              <w:t xml:space="preserve">               </w:t>
            </w: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города Сургута будет предоставлена возможность пользоваться ранее </w:t>
            </w:r>
            <w:proofErr w:type="spellStart"/>
            <w:r w:rsidRPr="006921A8">
              <w:rPr>
                <w:rFonts w:eastAsia="Times New Roman" w:cs="Times New Roman"/>
                <w:color w:val="2D2D2D"/>
                <w:szCs w:val="28"/>
              </w:rPr>
              <w:t>непредоставлявшейся</w:t>
            </w:r>
            <w:proofErr w:type="spellEnd"/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 услугой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100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  <w:r>
              <w:rPr>
                <w:rFonts w:eastAsia="Times New Roman" w:cs="Times New Roman"/>
                <w:color w:val="2D2D2D"/>
                <w:szCs w:val="28"/>
              </w:rPr>
              <w:t xml:space="preserve"> 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В результате реализации проекта будет увеличен объем предоставляемой услуги для всего </w:t>
            </w:r>
            <w:r>
              <w:rPr>
                <w:rFonts w:eastAsia="Times New Roman" w:cs="Times New Roman"/>
                <w:color w:val="2D2D2D"/>
                <w:szCs w:val="28"/>
              </w:rPr>
              <w:t xml:space="preserve">                          </w:t>
            </w:r>
            <w:r w:rsidRPr="006921A8">
              <w:rPr>
                <w:rFonts w:eastAsia="Times New Roman" w:cs="Times New Roman"/>
                <w:color w:val="2D2D2D"/>
                <w:szCs w:val="28"/>
              </w:rPr>
              <w:t>населения города Сургута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50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4AB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В результате реализации проекта будет увеличен объем предоставляемой услуги для </w:t>
            </w:r>
            <w:r>
              <w:rPr>
                <w:rFonts w:eastAsia="Times New Roman" w:cs="Times New Roman"/>
                <w:color w:val="2D2D2D"/>
                <w:szCs w:val="28"/>
              </w:rPr>
              <w:t>части</w:t>
            </w: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 </w:t>
            </w:r>
          </w:p>
          <w:p w:rsidR="00AF24AB" w:rsidRPr="006921A8" w:rsidRDefault="00AF24AB" w:rsidP="00AF24AB">
            <w:pPr>
              <w:tabs>
                <w:tab w:val="left" w:pos="6379"/>
              </w:tabs>
              <w:spacing w:line="315" w:lineRule="atLeast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населения города Сургута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>
              <w:rPr>
                <w:rFonts w:eastAsia="Times New Roman" w:cs="Times New Roman"/>
                <w:color w:val="2D2D2D"/>
                <w:szCs w:val="28"/>
              </w:rPr>
              <w:t>10</w:t>
            </w:r>
          </w:p>
        </w:tc>
      </w:tr>
    </w:tbl>
    <w:p w:rsidR="00A41FA4" w:rsidRDefault="00A41FA4">
      <w:r>
        <w:br w:type="page"/>
      </w:r>
    </w:p>
    <w:tbl>
      <w:tblPr>
        <w:tblW w:w="0" w:type="auto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3"/>
        <w:gridCol w:w="6224"/>
        <w:gridCol w:w="1691"/>
      </w:tblGrid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lastRenderedPageBreak/>
              <w:t>ИЭ4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Индикаторы влияния на качество услуги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В результате реализации проекта повысится </w:t>
            </w:r>
          </w:p>
          <w:p w:rsidR="00AF24AB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качество и технология оказания услуги </w:t>
            </w:r>
          </w:p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населению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100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В результате реализации проекта повысится </w:t>
            </w:r>
          </w:p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качество оказания услуги населению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70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В результате реализации проекта усовершенствуется технология оказания услуги населению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30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В результате реализации проекта </w:t>
            </w:r>
            <w:r>
              <w:rPr>
                <w:rFonts w:eastAsia="Times New Roman" w:cs="Times New Roman"/>
                <w:color w:val="2D2D2D"/>
                <w:szCs w:val="28"/>
              </w:rPr>
              <w:t xml:space="preserve">не предусмотрено повышение </w:t>
            </w:r>
            <w:r w:rsidRPr="006921A8">
              <w:rPr>
                <w:rFonts w:eastAsia="Times New Roman" w:cs="Times New Roman"/>
                <w:color w:val="2D2D2D"/>
                <w:szCs w:val="28"/>
              </w:rPr>
              <w:t>качеств</w:t>
            </w:r>
            <w:r>
              <w:rPr>
                <w:rFonts w:eastAsia="Times New Roman" w:cs="Times New Roman"/>
                <w:color w:val="2D2D2D"/>
                <w:szCs w:val="28"/>
              </w:rPr>
              <w:t>а</w:t>
            </w: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 и </w:t>
            </w:r>
            <w:r>
              <w:rPr>
                <w:rFonts w:eastAsia="Times New Roman" w:cs="Times New Roman"/>
                <w:color w:val="2D2D2D"/>
                <w:szCs w:val="28"/>
              </w:rPr>
              <w:t xml:space="preserve">усовершенствование </w:t>
            </w:r>
            <w:r w:rsidRPr="006921A8">
              <w:rPr>
                <w:rFonts w:eastAsia="Times New Roman" w:cs="Times New Roman"/>
                <w:color w:val="2D2D2D"/>
                <w:szCs w:val="28"/>
              </w:rPr>
              <w:t>технологи</w:t>
            </w:r>
            <w:r>
              <w:rPr>
                <w:rFonts w:eastAsia="Times New Roman" w:cs="Times New Roman"/>
                <w:color w:val="2D2D2D"/>
                <w:szCs w:val="28"/>
              </w:rPr>
              <w:t>и</w:t>
            </w: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 оказания услуги населению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>
              <w:rPr>
                <w:rFonts w:eastAsia="Times New Roman" w:cs="Times New Roman"/>
                <w:color w:val="2D2D2D"/>
                <w:szCs w:val="28"/>
              </w:rPr>
              <w:t>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val="en-US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ИЭ</w:t>
            </w:r>
            <w:r w:rsidRPr="006921A8">
              <w:rPr>
                <w:rFonts w:eastAsia="Times New Roman" w:cs="Times New Roman"/>
                <w:color w:val="2D2D2D"/>
                <w:szCs w:val="28"/>
                <w:lang w:val="en-US"/>
              </w:rPr>
              <w:t>5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 создания новых рабочих мест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В результате реализации проекта предусмотрено создание более 10</w:t>
            </w:r>
            <w:r>
              <w:rPr>
                <w:rFonts w:eastAsia="Times New Roman" w:cs="Times New Roman"/>
                <w:color w:val="2D2D2D"/>
                <w:szCs w:val="28"/>
              </w:rPr>
              <w:t>-и</w:t>
            </w: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 рабочих мест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100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В результате реализации проекта предусмотрено создание менее 10</w:t>
            </w:r>
            <w:r>
              <w:rPr>
                <w:rFonts w:eastAsia="Times New Roman" w:cs="Times New Roman"/>
                <w:color w:val="2D2D2D"/>
                <w:szCs w:val="28"/>
              </w:rPr>
              <w:t>-и</w:t>
            </w: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 рабочих мест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50</w:t>
            </w:r>
          </w:p>
        </w:tc>
      </w:tr>
      <w:tr w:rsidR="00AF24AB" w:rsidRPr="006921A8" w:rsidTr="00AF24AB"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color w:val="2D2D2D"/>
                <w:szCs w:val="28"/>
              </w:rPr>
            </w:pP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 xml:space="preserve">В результате реализации проекта </w:t>
            </w:r>
          </w:p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не предусмотрено создание рабочих мест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0</w:t>
            </w:r>
          </w:p>
        </w:tc>
      </w:tr>
    </w:tbl>
    <w:p w:rsidR="00AF24AB" w:rsidRPr="00A41FA4" w:rsidRDefault="00AF24AB" w:rsidP="00A41FA4">
      <w:pPr>
        <w:rPr>
          <w:sz w:val="10"/>
          <w:szCs w:val="10"/>
        </w:rPr>
      </w:pP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>Коэффициенты значимости по соответствующей группе индикаторов (</w:t>
      </w: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Кзi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) определяются на основании таблицы </w:t>
      </w:r>
      <w:r>
        <w:rPr>
          <w:rFonts w:eastAsia="Times New Roman" w:cs="Times New Roman"/>
          <w:color w:val="2D2D2D"/>
          <w:spacing w:val="2"/>
          <w:szCs w:val="28"/>
        </w:rPr>
        <w:t>4</w:t>
      </w:r>
      <w:r w:rsidRPr="006921A8">
        <w:rPr>
          <w:rFonts w:eastAsia="Times New Roman" w:cs="Times New Roman"/>
          <w:color w:val="2D2D2D"/>
          <w:spacing w:val="2"/>
          <w:szCs w:val="28"/>
        </w:rPr>
        <w:t>.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 xml:space="preserve">Таблица </w:t>
      </w:r>
      <w:r>
        <w:rPr>
          <w:rFonts w:eastAsia="Times New Roman" w:cs="Times New Roman"/>
          <w:color w:val="2D2D2D"/>
          <w:spacing w:val="2"/>
          <w:szCs w:val="28"/>
        </w:rPr>
        <w:t>4</w:t>
      </w:r>
    </w:p>
    <w:p w:rsidR="00AF24AB" w:rsidRDefault="00AF24AB" w:rsidP="00AF24AB">
      <w:pPr>
        <w:shd w:val="clear" w:color="auto" w:fill="FFFFFF"/>
        <w:tabs>
          <w:tab w:val="left" w:pos="6379"/>
        </w:tabs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Cs w:val="28"/>
        </w:rPr>
      </w:pPr>
      <w:r w:rsidRPr="006921A8">
        <w:rPr>
          <w:rFonts w:eastAsia="Times New Roman" w:cs="Times New Roman"/>
          <w:color w:val="3C3C3C"/>
          <w:spacing w:val="2"/>
          <w:szCs w:val="28"/>
        </w:rPr>
        <w:t>Коэффициенты значимости (</w:t>
      </w:r>
      <w:proofErr w:type="spellStart"/>
      <w:r w:rsidRPr="006921A8">
        <w:rPr>
          <w:rFonts w:eastAsia="Times New Roman" w:cs="Times New Roman"/>
          <w:color w:val="3C3C3C"/>
          <w:spacing w:val="2"/>
          <w:szCs w:val="28"/>
        </w:rPr>
        <w:t>Кз</w:t>
      </w:r>
      <w:proofErr w:type="spellEnd"/>
      <w:r w:rsidRPr="006921A8">
        <w:rPr>
          <w:rFonts w:eastAsia="Times New Roman" w:cs="Times New Roman"/>
          <w:color w:val="3C3C3C"/>
          <w:spacing w:val="2"/>
          <w:szCs w:val="28"/>
        </w:rPr>
        <w:t>)</w:t>
      </w:r>
    </w:p>
    <w:p w:rsidR="00AF24AB" w:rsidRPr="00AF24AB" w:rsidRDefault="00AF24AB" w:rsidP="00AF24AB">
      <w:pPr>
        <w:shd w:val="clear" w:color="auto" w:fill="FFFFFF"/>
        <w:tabs>
          <w:tab w:val="left" w:pos="6379"/>
        </w:tabs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5868"/>
        <w:gridCol w:w="2428"/>
      </w:tblGrid>
      <w:tr w:rsidR="00AF24AB" w:rsidRPr="006921A8" w:rsidTr="00AF24AB">
        <w:trPr>
          <w:trHeight w:val="715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Код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Группа индикаторов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Коэффициент значимости</w:t>
            </w:r>
          </w:p>
        </w:tc>
      </w:tr>
      <w:tr w:rsidR="00AF24AB" w:rsidRPr="006921A8" w:rsidTr="00AF24AB">
        <w:trPr>
          <w:trHeight w:val="349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ИЭ1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Индикаторы приоритетности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0,30</w:t>
            </w:r>
          </w:p>
        </w:tc>
      </w:tr>
      <w:tr w:rsidR="00AF24AB" w:rsidRPr="006921A8" w:rsidTr="00AF24AB">
        <w:trPr>
          <w:trHeight w:val="366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ИЭ2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Индикаторы охвата результатами проекта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0,20</w:t>
            </w:r>
          </w:p>
        </w:tc>
      </w:tr>
      <w:tr w:rsidR="00AF24AB" w:rsidRPr="006921A8" w:rsidTr="00AF24AB">
        <w:trPr>
          <w:trHeight w:val="349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ИЭ3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Индикаторы обеспеченности новой услугой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val="en-US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0,</w:t>
            </w:r>
            <w:r w:rsidRPr="006921A8">
              <w:rPr>
                <w:rFonts w:eastAsia="Times New Roman" w:cs="Times New Roman"/>
                <w:color w:val="2D2D2D"/>
                <w:szCs w:val="28"/>
                <w:lang w:val="en-US"/>
              </w:rPr>
              <w:t>20</w:t>
            </w:r>
          </w:p>
        </w:tc>
      </w:tr>
      <w:tr w:rsidR="00AF24AB" w:rsidRPr="006921A8" w:rsidTr="00AF24AB">
        <w:trPr>
          <w:trHeight w:val="366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ИЭ4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Индикаторы влияния на качество услуг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val="en-US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0,1</w:t>
            </w:r>
            <w:r w:rsidRPr="006921A8">
              <w:rPr>
                <w:rFonts w:eastAsia="Times New Roman" w:cs="Times New Roman"/>
                <w:color w:val="2D2D2D"/>
                <w:szCs w:val="28"/>
                <w:lang w:val="en-US"/>
              </w:rPr>
              <w:t>5</w:t>
            </w:r>
          </w:p>
        </w:tc>
      </w:tr>
      <w:tr w:rsidR="00AF24AB" w:rsidRPr="006921A8" w:rsidTr="00AF24AB">
        <w:trPr>
          <w:trHeight w:val="349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val="en-US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ИЭ</w:t>
            </w:r>
            <w:r w:rsidRPr="006921A8">
              <w:rPr>
                <w:rFonts w:eastAsia="Times New Roman" w:cs="Times New Roman"/>
                <w:color w:val="2D2D2D"/>
                <w:szCs w:val="28"/>
                <w:lang w:val="en-US"/>
              </w:rPr>
              <w:t>5</w:t>
            </w:r>
          </w:p>
        </w:tc>
        <w:tc>
          <w:tcPr>
            <w:tcW w:w="5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both"/>
              <w:textAlignment w:val="baseline"/>
              <w:rPr>
                <w:rFonts w:eastAsia="Times New Roman" w:cs="Times New Roman"/>
                <w:color w:val="2D2D2D"/>
                <w:szCs w:val="28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Индикатор создания новых рабочих мест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4AB" w:rsidRPr="006921A8" w:rsidRDefault="00AF24AB" w:rsidP="00585F18">
            <w:pPr>
              <w:tabs>
                <w:tab w:val="left" w:pos="6379"/>
              </w:tabs>
              <w:spacing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Cs w:val="28"/>
                <w:lang w:val="en-US"/>
              </w:rPr>
            </w:pPr>
            <w:r w:rsidRPr="006921A8">
              <w:rPr>
                <w:rFonts w:eastAsia="Times New Roman" w:cs="Times New Roman"/>
                <w:color w:val="2D2D2D"/>
                <w:szCs w:val="28"/>
              </w:rPr>
              <w:t>0,1</w:t>
            </w:r>
            <w:r w:rsidRPr="006921A8">
              <w:rPr>
                <w:rFonts w:eastAsia="Times New Roman" w:cs="Times New Roman"/>
                <w:color w:val="2D2D2D"/>
                <w:szCs w:val="28"/>
                <w:lang w:val="en-US"/>
              </w:rPr>
              <w:t>5</w:t>
            </w:r>
          </w:p>
        </w:tc>
      </w:tr>
    </w:tbl>
    <w:p w:rsidR="00AF24AB" w:rsidRPr="00A41FA4" w:rsidRDefault="00AF24AB" w:rsidP="00A41FA4">
      <w:pPr>
        <w:rPr>
          <w:sz w:val="10"/>
          <w:szCs w:val="10"/>
        </w:rPr>
      </w:pP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>3. На основе расчета показателя социальной эффективности инвестиционный проект относится к одной из трех групп: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 xml:space="preserve">0 </w:t>
      </w:r>
      <w:proofErr w:type="gramStart"/>
      <w:r w:rsidRPr="006921A8">
        <w:rPr>
          <w:rFonts w:eastAsia="Times New Roman" w:cs="Times New Roman"/>
          <w:color w:val="2D2D2D"/>
          <w:spacing w:val="2"/>
          <w:szCs w:val="28"/>
        </w:rPr>
        <w:t>&lt; СЭ</w:t>
      </w:r>
      <w:proofErr w:type="gram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 &lt;= 20 </w:t>
      </w:r>
      <w:r>
        <w:rPr>
          <w:rFonts w:eastAsia="Times New Roman" w:cs="Times New Roman"/>
          <w:color w:val="2D2D2D"/>
          <w:spacing w:val="2"/>
          <w:szCs w:val="28"/>
        </w:rPr>
        <w:t>–</w:t>
      </w:r>
      <w:r w:rsidRPr="006921A8">
        <w:rPr>
          <w:rFonts w:eastAsia="Times New Roman" w:cs="Times New Roman"/>
          <w:color w:val="2D2D2D"/>
          <w:spacing w:val="2"/>
          <w:szCs w:val="28"/>
        </w:rPr>
        <w:t xml:space="preserve"> инвестиционный проект с низкой степенью социальной эффективности;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 xml:space="preserve">21 &lt;= СЭ &lt;= 60 – инвестиционный проект со средней степенью </w:t>
      </w: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соци</w:t>
      </w:r>
      <w:proofErr w:type="spellEnd"/>
      <w:r>
        <w:rPr>
          <w:rFonts w:eastAsia="Times New Roman" w:cs="Times New Roman"/>
          <w:color w:val="2D2D2D"/>
          <w:spacing w:val="2"/>
          <w:szCs w:val="28"/>
        </w:rPr>
        <w:t xml:space="preserve">-              </w:t>
      </w: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альной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 эффективности;</w:t>
      </w:r>
    </w:p>
    <w:p w:rsidR="00AF24AB" w:rsidRPr="006921A8" w:rsidRDefault="00AF24AB" w:rsidP="00AF24AB">
      <w:pPr>
        <w:shd w:val="clear" w:color="auto" w:fill="FFFFFF"/>
        <w:tabs>
          <w:tab w:val="left" w:pos="6379"/>
        </w:tabs>
        <w:spacing w:line="315" w:lineRule="atLeast"/>
        <w:ind w:firstLine="709"/>
        <w:jc w:val="both"/>
        <w:textAlignment w:val="baseline"/>
        <w:rPr>
          <w:rFonts w:eastAsia="Times New Roman" w:cs="Times New Roman"/>
          <w:color w:val="2D2D2D"/>
          <w:spacing w:val="2"/>
          <w:szCs w:val="28"/>
        </w:rPr>
      </w:pPr>
      <w:r w:rsidRPr="006921A8">
        <w:rPr>
          <w:rFonts w:eastAsia="Times New Roman" w:cs="Times New Roman"/>
          <w:color w:val="2D2D2D"/>
          <w:spacing w:val="2"/>
          <w:szCs w:val="28"/>
        </w:rPr>
        <w:t xml:space="preserve">61 &lt;= СЭ &lt;= 100 – инвестиционный проект с высокой степенью </w:t>
      </w: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соци</w:t>
      </w:r>
      <w:proofErr w:type="spellEnd"/>
      <w:r>
        <w:rPr>
          <w:rFonts w:eastAsia="Times New Roman" w:cs="Times New Roman"/>
          <w:color w:val="2D2D2D"/>
          <w:spacing w:val="2"/>
          <w:szCs w:val="28"/>
        </w:rPr>
        <w:t xml:space="preserve">-             </w:t>
      </w:r>
      <w:proofErr w:type="spellStart"/>
      <w:r w:rsidRPr="006921A8">
        <w:rPr>
          <w:rFonts w:eastAsia="Times New Roman" w:cs="Times New Roman"/>
          <w:color w:val="2D2D2D"/>
          <w:spacing w:val="2"/>
          <w:szCs w:val="28"/>
        </w:rPr>
        <w:t>альной</w:t>
      </w:r>
      <w:proofErr w:type="spellEnd"/>
      <w:r w:rsidRPr="006921A8">
        <w:rPr>
          <w:rFonts w:eastAsia="Times New Roman" w:cs="Times New Roman"/>
          <w:color w:val="2D2D2D"/>
          <w:spacing w:val="2"/>
          <w:szCs w:val="28"/>
        </w:rPr>
        <w:t xml:space="preserve"> эффективности.</w:t>
      </w:r>
    </w:p>
    <w:p w:rsidR="00AF24AB" w:rsidRPr="006921A8" w:rsidRDefault="00AF24AB" w:rsidP="00AF24AB">
      <w:pPr>
        <w:pStyle w:val="a9"/>
        <w:tabs>
          <w:tab w:val="left" w:pos="6379"/>
        </w:tabs>
        <w:spacing w:before="0" w:beforeAutospacing="0" w:after="0" w:afterAutospacing="0"/>
        <w:ind w:firstLine="709"/>
        <w:contextualSpacing/>
        <w:jc w:val="both"/>
        <w:rPr>
          <w:color w:val="212034"/>
          <w:sz w:val="28"/>
          <w:szCs w:val="28"/>
        </w:rPr>
      </w:pPr>
    </w:p>
    <w:p w:rsidR="00AF24AB" w:rsidRPr="00AF24AB" w:rsidRDefault="00AF24AB" w:rsidP="00AF24AB"/>
    <w:sectPr w:rsidR="00AF24AB" w:rsidRPr="00AF24AB" w:rsidSect="00AF2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C0" w:rsidRDefault="00EB33C0">
      <w:r>
        <w:separator/>
      </w:r>
    </w:p>
  </w:endnote>
  <w:endnote w:type="continuationSeparator" w:id="0">
    <w:p w:rsidR="00EB33C0" w:rsidRDefault="00EB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33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33C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33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C0" w:rsidRDefault="00EB33C0">
      <w:r>
        <w:separator/>
      </w:r>
    </w:p>
  </w:footnote>
  <w:footnote w:type="continuationSeparator" w:id="0">
    <w:p w:rsidR="00EB33C0" w:rsidRDefault="00EB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33C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3A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62707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270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2707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2707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62707">
          <w:rPr>
            <w:sz w:val="20"/>
          </w:rPr>
          <w:fldChar w:fldCharType="separate"/>
        </w:r>
        <w:r w:rsidR="00262707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1E6248" w:rsidRDefault="00EB33C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33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637C"/>
    <w:multiLevelType w:val="hybridMultilevel"/>
    <w:tmpl w:val="8AC89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AB"/>
    <w:rsid w:val="000B3AE7"/>
    <w:rsid w:val="000C1ADD"/>
    <w:rsid w:val="001178CA"/>
    <w:rsid w:val="001B1C62"/>
    <w:rsid w:val="00262707"/>
    <w:rsid w:val="002758E1"/>
    <w:rsid w:val="00375615"/>
    <w:rsid w:val="003D0685"/>
    <w:rsid w:val="004353E8"/>
    <w:rsid w:val="00442992"/>
    <w:rsid w:val="00524293"/>
    <w:rsid w:val="005E346D"/>
    <w:rsid w:val="0074412E"/>
    <w:rsid w:val="007560C1"/>
    <w:rsid w:val="007B2179"/>
    <w:rsid w:val="00857B21"/>
    <w:rsid w:val="00865347"/>
    <w:rsid w:val="009840F3"/>
    <w:rsid w:val="009B6379"/>
    <w:rsid w:val="00A41FA4"/>
    <w:rsid w:val="00A5590F"/>
    <w:rsid w:val="00AF24AB"/>
    <w:rsid w:val="00CC3DBE"/>
    <w:rsid w:val="00D80BB2"/>
    <w:rsid w:val="00DF0D9A"/>
    <w:rsid w:val="00EB33C0"/>
    <w:rsid w:val="00F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CD796-5A1F-4911-ABDC-A5CCE83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AF24AB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2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24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2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4AB"/>
    <w:rPr>
      <w:rFonts w:ascii="Times New Roman" w:hAnsi="Times New Roman"/>
      <w:sz w:val="28"/>
    </w:rPr>
  </w:style>
  <w:style w:type="character" w:styleId="a8">
    <w:name w:val="page number"/>
    <w:basedOn w:val="a0"/>
    <w:rsid w:val="00AF24AB"/>
  </w:style>
  <w:style w:type="paragraph" w:styleId="2">
    <w:name w:val="Body Text Indent 2"/>
    <w:basedOn w:val="a"/>
    <w:link w:val="20"/>
    <w:rsid w:val="00AF24AB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2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24A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AF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4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Щипило Любовь Борисовна</cp:lastModifiedBy>
  <cp:revision>2</cp:revision>
  <cp:lastPrinted>2020-05-06T07:12:00Z</cp:lastPrinted>
  <dcterms:created xsi:type="dcterms:W3CDTF">2020-05-08T09:20:00Z</dcterms:created>
  <dcterms:modified xsi:type="dcterms:W3CDTF">2020-05-08T09:20:00Z</dcterms:modified>
</cp:coreProperties>
</file>