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D97334" w:rsidRDefault="0027743D" w:rsidP="0027743D">
      <w:pPr>
        <w:jc w:val="center"/>
        <w:rPr>
          <w:rFonts w:cs="Times New Roman"/>
          <w:b/>
          <w:szCs w:val="28"/>
        </w:rPr>
      </w:pPr>
      <w:bookmarkStart w:id="0" w:name="sub_1000"/>
      <w:bookmarkStart w:id="1" w:name="_GoBack"/>
      <w:bookmarkEnd w:id="1"/>
      <w:r w:rsidRPr="00D97334">
        <w:rPr>
          <w:rFonts w:cs="Times New Roman"/>
          <w:b/>
          <w:szCs w:val="28"/>
        </w:rPr>
        <w:t>Сводный отчет</w:t>
      </w:r>
    </w:p>
    <w:p w:rsidR="00312C97" w:rsidRPr="00D97334" w:rsidRDefault="0027743D" w:rsidP="0027743D">
      <w:pPr>
        <w:jc w:val="center"/>
        <w:rPr>
          <w:rFonts w:cs="Times New Roman"/>
          <w:b/>
          <w:szCs w:val="28"/>
        </w:rPr>
      </w:pPr>
      <w:r w:rsidRPr="00D97334">
        <w:rPr>
          <w:rFonts w:cs="Times New Roman"/>
          <w:b/>
          <w:szCs w:val="28"/>
        </w:rPr>
        <w:t xml:space="preserve">об экспертизе действующего муниципального </w:t>
      </w:r>
    </w:p>
    <w:p w:rsidR="0027743D" w:rsidRPr="00D97334" w:rsidRDefault="0027743D" w:rsidP="0027743D">
      <w:pPr>
        <w:jc w:val="center"/>
        <w:rPr>
          <w:rFonts w:cs="Times New Roman"/>
          <w:b/>
          <w:szCs w:val="28"/>
        </w:rPr>
      </w:pPr>
      <w:r w:rsidRPr="00D97334">
        <w:rPr>
          <w:rFonts w:cs="Times New Roman"/>
          <w:b/>
          <w:szCs w:val="28"/>
        </w:rPr>
        <w:t>нормативного правового акта</w:t>
      </w:r>
    </w:p>
    <w:p w:rsidR="00312C97" w:rsidRPr="00D97334" w:rsidRDefault="00312C97" w:rsidP="0027743D">
      <w:pPr>
        <w:jc w:val="center"/>
        <w:rPr>
          <w:rFonts w:cs="Times New Roman"/>
          <w:b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D97334" w:rsidRDefault="0027743D" w:rsidP="0027743D">
      <w:pPr>
        <w:ind w:left="567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>1. Общая информация</w:t>
      </w:r>
    </w:p>
    <w:p w:rsidR="00BE52ED" w:rsidRPr="00D97334" w:rsidRDefault="0027743D" w:rsidP="00BE52E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1.1. 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  <w:r w:rsidR="00BE52ED" w:rsidRPr="00D97334">
        <w:rPr>
          <w:rFonts w:cs="Times New Roman"/>
          <w:szCs w:val="28"/>
          <w:u w:val="single"/>
        </w:rPr>
        <w:t xml:space="preserve"> </w:t>
      </w:r>
      <w:r w:rsidR="00BE52ED" w:rsidRPr="00D97334">
        <w:rPr>
          <w:rFonts w:cs="Times New Roman"/>
          <w:szCs w:val="28"/>
        </w:rPr>
        <w:t>управление по природопользованию и экологии Администрации города Сургута</w:t>
      </w:r>
    </w:p>
    <w:p w:rsidR="0027743D" w:rsidRPr="00D97334" w:rsidRDefault="0027743D" w:rsidP="00BE52ED">
      <w:pPr>
        <w:tabs>
          <w:tab w:val="left" w:pos="567"/>
        </w:tabs>
        <w:jc w:val="center"/>
        <w:rPr>
          <w:rFonts w:cs="Times New Roman"/>
          <w:sz w:val="18"/>
          <w:szCs w:val="18"/>
        </w:rPr>
      </w:pPr>
      <w:r w:rsidRPr="00D97334">
        <w:rPr>
          <w:rFonts w:cs="Times New Roman"/>
          <w:sz w:val="18"/>
          <w:szCs w:val="18"/>
        </w:rPr>
        <w:t>(</w:t>
      </w:r>
      <w:r w:rsidRPr="00D97334">
        <w:rPr>
          <w:rFonts w:cs="Times New Roman"/>
          <w:sz w:val="20"/>
          <w:szCs w:val="20"/>
        </w:rPr>
        <w:t>полное наименование</w:t>
      </w:r>
      <w:r w:rsidRPr="00D97334">
        <w:rPr>
          <w:rFonts w:cs="Times New Roman"/>
          <w:sz w:val="18"/>
          <w:szCs w:val="18"/>
        </w:rPr>
        <w:t>)</w:t>
      </w: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D97334" w:rsidRDefault="0027743D" w:rsidP="0027743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1.2. Вид и наименование нормативного правового акта:</w:t>
      </w:r>
    </w:p>
    <w:p w:rsidR="0027743D" w:rsidRPr="00D97334" w:rsidRDefault="00BE52ED" w:rsidP="008F14A3">
      <w:pPr>
        <w:jc w:val="both"/>
        <w:rPr>
          <w:rFonts w:cs="Times New Roman"/>
        </w:rPr>
      </w:pPr>
      <w:r w:rsidRPr="00D97334">
        <w:rPr>
          <w:rFonts w:cs="Times New Roman"/>
          <w:szCs w:val="28"/>
        </w:rPr>
        <w:t>постановление Администрации города от 19.06.2018 № 4601 «Об утверждении порядка накопления твердых коммунальных отходов (в том числе их раздельного накопления) на территории города Сургута</w:t>
      </w: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D97334">
        <w:rPr>
          <w:rFonts w:cs="Times New Roman"/>
          <w:sz w:val="18"/>
          <w:szCs w:val="18"/>
        </w:rPr>
        <w:t>(</w:t>
      </w:r>
      <w:r w:rsidRPr="00D97334">
        <w:rPr>
          <w:rFonts w:cs="Times New Roman"/>
          <w:sz w:val="20"/>
          <w:szCs w:val="20"/>
        </w:rPr>
        <w:t>место для текстового описания</w:t>
      </w:r>
      <w:r w:rsidRPr="00D97334">
        <w:rPr>
          <w:rFonts w:cs="Times New Roman"/>
          <w:sz w:val="18"/>
          <w:szCs w:val="18"/>
        </w:rPr>
        <w:t>)</w:t>
      </w: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D97334" w:rsidRDefault="0027743D" w:rsidP="0027743D">
      <w:pPr>
        <w:pBdr>
          <w:top w:val="single" w:sz="4" w:space="1" w:color="auto"/>
        </w:pBd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 w:val="18"/>
          <w:szCs w:val="18"/>
        </w:rPr>
        <w:t xml:space="preserve"> </w:t>
      </w:r>
      <w:r w:rsidRPr="00D97334">
        <w:rPr>
          <w:rFonts w:cs="Times New Roman"/>
          <w:szCs w:val="28"/>
        </w:rPr>
        <w:t>1.3. Дата размещения уведомления о проведении публичных консультаций по действующему муниципальному</w:t>
      </w:r>
      <w:r w:rsidR="00297957" w:rsidRPr="00D97334">
        <w:rPr>
          <w:rFonts w:cs="Times New Roman"/>
          <w:szCs w:val="28"/>
        </w:rPr>
        <w:t xml:space="preserve"> нормативному правовому акту:                                         </w:t>
      </w:r>
      <w:r w:rsidR="00297957" w:rsidRPr="00D97334">
        <w:rPr>
          <w:rFonts w:cs="Times New Roman"/>
          <w:szCs w:val="28"/>
          <w:u w:val="single"/>
        </w:rPr>
        <w:t>«</w:t>
      </w:r>
      <w:r w:rsidR="00BE52ED" w:rsidRPr="00D97334">
        <w:rPr>
          <w:rFonts w:cs="Times New Roman"/>
          <w:szCs w:val="28"/>
          <w:u w:val="single"/>
        </w:rPr>
        <w:t>29</w:t>
      </w:r>
      <w:r w:rsidRPr="00D97334">
        <w:rPr>
          <w:rFonts w:cs="Times New Roman"/>
          <w:szCs w:val="28"/>
          <w:u w:val="single"/>
        </w:rPr>
        <w:t>»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="00FC6768" w:rsidRPr="00D97334">
        <w:rPr>
          <w:rFonts w:cs="Times New Roman"/>
          <w:szCs w:val="28"/>
          <w:u w:val="single"/>
        </w:rPr>
        <w:t>июля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Pr="00D97334">
        <w:rPr>
          <w:rFonts w:cs="Times New Roman"/>
          <w:szCs w:val="28"/>
          <w:u w:val="single"/>
        </w:rPr>
        <w:t>20</w:t>
      </w:r>
      <w:r w:rsidR="00BE52ED" w:rsidRPr="00D97334">
        <w:rPr>
          <w:rFonts w:cs="Times New Roman"/>
          <w:szCs w:val="28"/>
          <w:u w:val="single"/>
        </w:rPr>
        <w:t>19</w:t>
      </w:r>
      <w:r w:rsidRPr="00D97334">
        <w:rPr>
          <w:rFonts w:cs="Times New Roman"/>
          <w:szCs w:val="28"/>
          <w:u w:val="single"/>
        </w:rPr>
        <w:t>г</w:t>
      </w:r>
      <w:r w:rsidRPr="00D97334">
        <w:rPr>
          <w:rFonts w:cs="Times New Roman"/>
          <w:szCs w:val="28"/>
        </w:rPr>
        <w:t xml:space="preserve">. и срок, в течение которого принимались предложения </w:t>
      </w:r>
      <w:r w:rsidRPr="00D97334">
        <w:rPr>
          <w:rFonts w:cs="Times New Roman"/>
          <w:szCs w:val="28"/>
        </w:rPr>
        <w:br/>
        <w:t xml:space="preserve">в связи с размещением уведомления о проведении публичных консультаций </w:t>
      </w:r>
      <w:r w:rsidRPr="00D97334">
        <w:rPr>
          <w:rFonts w:cs="Times New Roman"/>
          <w:szCs w:val="28"/>
        </w:rPr>
        <w:br/>
        <w:t xml:space="preserve">по нормативному правовому акту: </w:t>
      </w:r>
    </w:p>
    <w:p w:rsidR="0027743D" w:rsidRPr="00D97334" w:rsidRDefault="00BE52ED" w:rsidP="0027743D">
      <w:pPr>
        <w:pBdr>
          <w:top w:val="single" w:sz="4" w:space="1" w:color="auto"/>
        </w:pBdr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 xml:space="preserve">начало: </w:t>
      </w:r>
      <w:r w:rsidR="00297957" w:rsidRPr="00D97334">
        <w:rPr>
          <w:rFonts w:cs="Times New Roman"/>
          <w:szCs w:val="28"/>
          <w:u w:val="single"/>
        </w:rPr>
        <w:t>«</w:t>
      </w:r>
      <w:r w:rsidRPr="00D97334">
        <w:rPr>
          <w:rFonts w:cs="Times New Roman"/>
          <w:szCs w:val="28"/>
          <w:u w:val="single"/>
        </w:rPr>
        <w:t>29</w:t>
      </w:r>
      <w:r w:rsidR="00297957" w:rsidRPr="00D97334">
        <w:rPr>
          <w:rFonts w:cs="Times New Roman"/>
          <w:szCs w:val="28"/>
          <w:u w:val="single"/>
        </w:rPr>
        <w:t xml:space="preserve">» </w:t>
      </w:r>
      <w:r w:rsidR="00FC6768" w:rsidRPr="00D97334">
        <w:rPr>
          <w:rFonts w:cs="Times New Roman"/>
          <w:szCs w:val="28"/>
          <w:u w:val="single"/>
        </w:rPr>
        <w:t>июля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="0027743D" w:rsidRPr="00D97334">
        <w:rPr>
          <w:rFonts w:cs="Times New Roman"/>
          <w:szCs w:val="28"/>
          <w:u w:val="single"/>
        </w:rPr>
        <w:t>20</w:t>
      </w:r>
      <w:r w:rsidRPr="00D97334">
        <w:rPr>
          <w:rFonts w:cs="Times New Roman"/>
          <w:szCs w:val="28"/>
          <w:u w:val="single"/>
        </w:rPr>
        <w:t>19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="0027743D" w:rsidRPr="00D97334">
        <w:rPr>
          <w:rFonts w:cs="Times New Roman"/>
          <w:szCs w:val="28"/>
          <w:u w:val="single"/>
        </w:rPr>
        <w:t>г</w:t>
      </w:r>
      <w:r w:rsidR="00297957" w:rsidRPr="00D97334">
        <w:rPr>
          <w:rFonts w:cs="Times New Roman"/>
          <w:szCs w:val="28"/>
        </w:rPr>
        <w:t xml:space="preserve">.; окончание: </w:t>
      </w:r>
      <w:r w:rsidR="00297957" w:rsidRPr="00D97334">
        <w:rPr>
          <w:rFonts w:cs="Times New Roman"/>
          <w:szCs w:val="28"/>
          <w:u w:val="single"/>
        </w:rPr>
        <w:t>«</w:t>
      </w:r>
      <w:r w:rsidRPr="00D97334">
        <w:rPr>
          <w:rFonts w:cs="Times New Roman"/>
          <w:szCs w:val="28"/>
          <w:u w:val="single"/>
        </w:rPr>
        <w:t>09</w:t>
      </w:r>
      <w:r w:rsidR="0027743D" w:rsidRPr="00D97334">
        <w:rPr>
          <w:rFonts w:cs="Times New Roman"/>
          <w:szCs w:val="28"/>
          <w:u w:val="single"/>
        </w:rPr>
        <w:t>»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Pr="00D97334">
        <w:rPr>
          <w:rFonts w:cs="Times New Roman"/>
          <w:szCs w:val="28"/>
          <w:u w:val="single"/>
        </w:rPr>
        <w:t>августа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="0027743D" w:rsidRPr="00D97334">
        <w:rPr>
          <w:rFonts w:cs="Times New Roman"/>
          <w:szCs w:val="28"/>
          <w:u w:val="single"/>
        </w:rPr>
        <w:t>20</w:t>
      </w:r>
      <w:r w:rsidRPr="00D97334">
        <w:rPr>
          <w:rFonts w:cs="Times New Roman"/>
          <w:szCs w:val="28"/>
          <w:u w:val="single"/>
        </w:rPr>
        <w:t>19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="0027743D" w:rsidRPr="00D97334">
        <w:rPr>
          <w:rFonts w:cs="Times New Roman"/>
          <w:szCs w:val="28"/>
          <w:u w:val="single"/>
        </w:rPr>
        <w:t>г.</w:t>
      </w:r>
    </w:p>
    <w:p w:rsidR="0027743D" w:rsidRPr="00D97334" w:rsidRDefault="0027743D" w:rsidP="0027743D">
      <w:pPr>
        <w:jc w:val="both"/>
        <w:rPr>
          <w:rFonts w:cs="Times New Roman"/>
          <w:szCs w:val="28"/>
        </w:rPr>
      </w:pPr>
    </w:p>
    <w:p w:rsidR="0027743D" w:rsidRPr="00D97334" w:rsidRDefault="0027743D" w:rsidP="0027743D">
      <w:pPr>
        <w:tabs>
          <w:tab w:val="center" w:pos="8505"/>
          <w:tab w:val="right" w:pos="9923"/>
        </w:tabs>
        <w:spacing w:before="120"/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ab/>
        <w:t>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D97334" w:rsidRDefault="0027743D" w:rsidP="00A70938">
      <w:pPr>
        <w:tabs>
          <w:tab w:val="center" w:pos="8505"/>
          <w:tab w:val="right" w:pos="9923"/>
        </w:tabs>
        <w:spacing w:before="120"/>
        <w:ind w:left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 xml:space="preserve">Всего замечаний и предложений: </w:t>
      </w:r>
      <w:r w:rsidR="00A70938" w:rsidRPr="00D97334">
        <w:rPr>
          <w:rFonts w:cs="Times New Roman"/>
          <w:szCs w:val="28"/>
          <w:u w:val="single"/>
        </w:rPr>
        <w:t>12</w:t>
      </w:r>
      <w:r w:rsidRPr="00D97334">
        <w:rPr>
          <w:rFonts w:cs="Times New Roman"/>
          <w:szCs w:val="28"/>
        </w:rPr>
        <w:t>, из них:</w:t>
      </w:r>
      <w:r w:rsidR="00A70938" w:rsidRPr="00D97334">
        <w:rPr>
          <w:rFonts w:cs="Times New Roman"/>
          <w:szCs w:val="28"/>
        </w:rPr>
        <w:t xml:space="preserve"> </w:t>
      </w:r>
      <w:r w:rsidRPr="00D97334">
        <w:rPr>
          <w:rFonts w:cs="Times New Roman"/>
          <w:szCs w:val="28"/>
        </w:rPr>
        <w:t xml:space="preserve">приняты полностью: </w:t>
      </w:r>
      <w:r w:rsidR="00A70938" w:rsidRPr="00D97334">
        <w:rPr>
          <w:rFonts w:cs="Times New Roman"/>
          <w:szCs w:val="28"/>
          <w:u w:val="single"/>
        </w:rPr>
        <w:t>6</w:t>
      </w:r>
      <w:r w:rsidRPr="00D97334">
        <w:rPr>
          <w:rFonts w:cs="Times New Roman"/>
          <w:szCs w:val="28"/>
        </w:rPr>
        <w:t>, приняты частично:</w:t>
      </w:r>
      <w:r w:rsidRPr="00D97334">
        <w:rPr>
          <w:rFonts w:cs="Times New Roman"/>
          <w:szCs w:val="28"/>
          <w:u w:val="single"/>
        </w:rPr>
        <w:t xml:space="preserve"> </w:t>
      </w:r>
      <w:r w:rsidR="00A70938" w:rsidRPr="00D97334">
        <w:rPr>
          <w:rFonts w:cs="Times New Roman"/>
          <w:szCs w:val="28"/>
          <w:u w:val="single"/>
        </w:rPr>
        <w:t>3</w:t>
      </w:r>
      <w:r w:rsidR="00297957" w:rsidRPr="00D97334">
        <w:rPr>
          <w:rFonts w:cs="Times New Roman"/>
          <w:szCs w:val="28"/>
        </w:rPr>
        <w:t>, не приняты:</w:t>
      </w:r>
      <w:r w:rsidR="00297957" w:rsidRPr="00D97334">
        <w:rPr>
          <w:rFonts w:cs="Times New Roman"/>
          <w:szCs w:val="28"/>
          <w:u w:val="single"/>
        </w:rPr>
        <w:t xml:space="preserve"> </w:t>
      </w:r>
      <w:r w:rsidR="00A70938" w:rsidRPr="00D97334">
        <w:rPr>
          <w:rFonts w:cs="Times New Roman"/>
          <w:szCs w:val="28"/>
          <w:u w:val="single"/>
        </w:rPr>
        <w:t>3</w:t>
      </w:r>
      <w:r w:rsidRPr="00D97334">
        <w:rPr>
          <w:rFonts w:cs="Times New Roman"/>
          <w:szCs w:val="28"/>
        </w:rPr>
        <w:t>.</w:t>
      </w:r>
    </w:p>
    <w:p w:rsidR="0027743D" w:rsidRPr="00D97334" w:rsidRDefault="0027743D" w:rsidP="0027743D">
      <w:pPr>
        <w:jc w:val="both"/>
        <w:rPr>
          <w:rFonts w:cs="Times New Roman"/>
          <w:szCs w:val="28"/>
        </w:rPr>
      </w:pPr>
    </w:p>
    <w:p w:rsidR="0027743D" w:rsidRPr="00D97334" w:rsidRDefault="0027743D" w:rsidP="0027743D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27743D" w:rsidRPr="00D97334" w:rsidRDefault="0027743D" w:rsidP="0027743D">
      <w:pPr>
        <w:ind w:firstLine="720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фамилия, имя, отчество: _</w:t>
      </w:r>
      <w:r w:rsidR="00BE52ED" w:rsidRPr="00D97334">
        <w:t xml:space="preserve"> </w:t>
      </w:r>
      <w:r w:rsidR="00BE52ED" w:rsidRPr="00D97334">
        <w:rPr>
          <w:rFonts w:cs="Times New Roman"/>
          <w:szCs w:val="28"/>
        </w:rPr>
        <w:t xml:space="preserve">Овсянкина Екатерина Геннадьевна </w:t>
      </w:r>
      <w:r w:rsidRPr="00D97334">
        <w:rPr>
          <w:rFonts w:cs="Times New Roman"/>
          <w:szCs w:val="28"/>
        </w:rPr>
        <w:t>__________</w:t>
      </w:r>
    </w:p>
    <w:p w:rsidR="0027743D" w:rsidRPr="00D97334" w:rsidRDefault="0027743D" w:rsidP="0027743D">
      <w:pPr>
        <w:ind w:firstLine="720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должность: _</w:t>
      </w:r>
      <w:r w:rsidR="00BE52ED" w:rsidRPr="00D97334">
        <w:t xml:space="preserve"> </w:t>
      </w:r>
      <w:r w:rsidR="00BE52ED" w:rsidRPr="00D97334">
        <w:rPr>
          <w:rFonts w:cs="Times New Roman"/>
          <w:szCs w:val="28"/>
        </w:rPr>
        <w:t xml:space="preserve">главный специалист отдела охраны окружающей среды </w:t>
      </w:r>
      <w:r w:rsidRPr="00D97334">
        <w:rPr>
          <w:rFonts w:cs="Times New Roman"/>
          <w:szCs w:val="28"/>
        </w:rPr>
        <w:t>____</w:t>
      </w:r>
    </w:p>
    <w:p w:rsidR="0027743D" w:rsidRPr="00D97334" w:rsidRDefault="0027743D" w:rsidP="0027743D">
      <w:pPr>
        <w:ind w:firstLine="720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телефон: _</w:t>
      </w:r>
      <w:r w:rsidR="00BE52ED" w:rsidRPr="00D97334">
        <w:rPr>
          <w:rFonts w:cs="Times New Roman"/>
          <w:szCs w:val="28"/>
        </w:rPr>
        <w:t>8(3462) 52-45-51</w:t>
      </w:r>
      <w:r w:rsidRPr="00D97334">
        <w:rPr>
          <w:rFonts w:cs="Times New Roman"/>
          <w:szCs w:val="28"/>
        </w:rPr>
        <w:t xml:space="preserve">________________________________________ </w:t>
      </w:r>
    </w:p>
    <w:p w:rsidR="0027743D" w:rsidRPr="00D97334" w:rsidRDefault="0027743D" w:rsidP="0027743D">
      <w:pPr>
        <w:ind w:firstLine="720"/>
        <w:rPr>
          <w:rFonts w:cs="Times New Roman"/>
          <w:color w:val="FF0000"/>
          <w:szCs w:val="28"/>
        </w:rPr>
      </w:pPr>
      <w:r w:rsidRPr="00D97334">
        <w:rPr>
          <w:rFonts w:cs="Times New Roman"/>
          <w:szCs w:val="28"/>
        </w:rPr>
        <w:t>адрес электронной почты: _</w:t>
      </w:r>
      <w:r w:rsidR="00BE52ED" w:rsidRPr="00D97334">
        <w:t xml:space="preserve"> </w:t>
      </w:r>
      <w:r w:rsidR="00BE52ED" w:rsidRPr="00D97334">
        <w:rPr>
          <w:rFonts w:cs="Times New Roman"/>
          <w:szCs w:val="28"/>
        </w:rPr>
        <w:t>ovsyankina_eg@admsurgut.ru__</w:t>
      </w:r>
      <w:r w:rsidRPr="00D97334">
        <w:rPr>
          <w:rFonts w:cs="Times New Roman"/>
          <w:szCs w:val="28"/>
        </w:rPr>
        <w:t>____________</w:t>
      </w:r>
    </w:p>
    <w:p w:rsidR="0027743D" w:rsidRPr="00D97334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</w:p>
    <w:p w:rsidR="0027743D" w:rsidRPr="00D97334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ab/>
        <w:t>2. Описание проблемы, на решение которой направлен муниципальный                нормативный правовой акт, оценка необходимости регулирования                                            в соответствующей сфере деятельности.</w:t>
      </w:r>
    </w:p>
    <w:p w:rsidR="0027743D" w:rsidRPr="00D97334" w:rsidRDefault="0027743D" w:rsidP="0027743D">
      <w:pPr>
        <w:tabs>
          <w:tab w:val="left" w:pos="851"/>
        </w:tabs>
        <w:jc w:val="both"/>
        <w:rPr>
          <w:rFonts w:cs="Times New Roman"/>
          <w:bCs/>
          <w:szCs w:val="28"/>
        </w:rPr>
      </w:pPr>
    </w:p>
    <w:p w:rsidR="0027743D" w:rsidRPr="00D97334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ab/>
        <w:t>2.1. Описание проблемы, на решение которой направлен действующий                муниципальный нормативный правовой акт:</w:t>
      </w:r>
    </w:p>
    <w:p w:rsidR="0027743D" w:rsidRPr="00D97334" w:rsidRDefault="0071630B" w:rsidP="0071630B">
      <w:pPr>
        <w:tabs>
          <w:tab w:val="left" w:pos="567"/>
        </w:tabs>
        <w:ind w:firstLine="567"/>
        <w:jc w:val="both"/>
        <w:rPr>
          <w:rFonts w:cs="Times New Roman"/>
          <w:bCs/>
          <w:szCs w:val="28"/>
          <w:u w:val="single"/>
        </w:rPr>
      </w:pPr>
      <w:r w:rsidRPr="00D97334">
        <w:rPr>
          <w:rFonts w:cs="Times New Roman"/>
          <w:bCs/>
          <w:szCs w:val="28"/>
        </w:rPr>
        <w:t>Д</w:t>
      </w:r>
      <w:r w:rsidR="00BE52ED" w:rsidRPr="00D97334">
        <w:rPr>
          <w:rFonts w:cs="Times New Roman"/>
          <w:bCs/>
          <w:szCs w:val="28"/>
        </w:rPr>
        <w:t>ействующий муниципальный нормативный правовой акт утверждает порядок накопления твердых коммунальных отходов (в том числе их раздельного</w:t>
      </w:r>
      <w:r w:rsidR="00E11052" w:rsidRPr="00D97334">
        <w:rPr>
          <w:rFonts w:cs="Times New Roman"/>
          <w:bCs/>
          <w:szCs w:val="28"/>
        </w:rPr>
        <w:t xml:space="preserve"> </w:t>
      </w:r>
      <w:r w:rsidR="00BE52ED" w:rsidRPr="00D97334">
        <w:rPr>
          <w:rFonts w:cs="Times New Roman"/>
          <w:bCs/>
          <w:szCs w:val="28"/>
        </w:rPr>
        <w:t>накопления) на территории города Сургута</w:t>
      </w:r>
      <w:r w:rsidR="008B585E" w:rsidRPr="00D97334">
        <w:rPr>
          <w:rFonts w:cs="Times New Roman"/>
          <w:bCs/>
          <w:szCs w:val="28"/>
        </w:rPr>
        <w:t xml:space="preserve"> </w:t>
      </w:r>
      <w:r w:rsidR="00C553BA" w:rsidRPr="00D97334">
        <w:rPr>
          <w:rFonts w:cs="Times New Roman"/>
          <w:bCs/>
          <w:szCs w:val="28"/>
        </w:rPr>
        <w:t xml:space="preserve">для </w:t>
      </w:r>
      <w:r w:rsidR="008B585E" w:rsidRPr="00D97334">
        <w:rPr>
          <w:rFonts w:cs="Times New Roman"/>
          <w:bCs/>
          <w:szCs w:val="28"/>
        </w:rPr>
        <w:t>обеспечения</w:t>
      </w:r>
      <w:r w:rsidR="00E11052" w:rsidRPr="00D97334">
        <w:rPr>
          <w:rFonts w:cs="Times New Roman"/>
          <w:bCs/>
          <w:szCs w:val="28"/>
        </w:rPr>
        <w:t xml:space="preserve"> </w:t>
      </w:r>
      <w:r w:rsidR="0078286D" w:rsidRPr="00D97334">
        <w:rPr>
          <w:rFonts w:cs="Times New Roman"/>
          <w:bCs/>
          <w:szCs w:val="28"/>
        </w:rPr>
        <w:lastRenderedPageBreak/>
        <w:t>контроля</w:t>
      </w:r>
      <w:r w:rsidRPr="00D97334">
        <w:rPr>
          <w:rFonts w:cs="Times New Roman"/>
          <w:bCs/>
          <w:szCs w:val="28"/>
        </w:rPr>
        <w:t xml:space="preserve"> </w:t>
      </w:r>
      <w:r w:rsidR="0078286D" w:rsidRPr="00D97334">
        <w:rPr>
          <w:rFonts w:cs="Times New Roman"/>
          <w:bCs/>
          <w:szCs w:val="28"/>
        </w:rPr>
        <w:t xml:space="preserve">за движением твёрдых коммунальных отходов на территории города Сургута, в необходимости вовлечения твёрдых коммунальных отходов во вторичную переработку, в целях снижения наполняемости полигонов по </w:t>
      </w:r>
      <w:r w:rsidR="0078286D" w:rsidRPr="00D97334">
        <w:rPr>
          <w:rFonts w:cs="Times New Roman"/>
          <w:bCs/>
          <w:szCs w:val="28"/>
          <w:u w:val="single"/>
        </w:rPr>
        <w:t>захоронению твёрдых коммунальных отх</w:t>
      </w:r>
      <w:r w:rsidRPr="00D97334">
        <w:rPr>
          <w:rFonts w:cs="Times New Roman"/>
          <w:bCs/>
          <w:szCs w:val="28"/>
          <w:u w:val="single"/>
        </w:rPr>
        <w:t>одов</w:t>
      </w:r>
    </w:p>
    <w:p w:rsidR="0027743D" w:rsidRPr="00D97334" w:rsidRDefault="0071630B" w:rsidP="0071630B">
      <w:pPr>
        <w:tabs>
          <w:tab w:val="left" w:pos="851"/>
        </w:tabs>
        <w:rPr>
          <w:rFonts w:cs="Times New Roman"/>
          <w:bCs/>
          <w:sz w:val="18"/>
          <w:szCs w:val="18"/>
        </w:rPr>
      </w:pPr>
      <w:r w:rsidRPr="00D97334">
        <w:rPr>
          <w:rFonts w:cs="Times New Roman"/>
          <w:bCs/>
          <w:sz w:val="18"/>
          <w:szCs w:val="18"/>
        </w:rPr>
        <w:t xml:space="preserve">                          </w:t>
      </w:r>
      <w:r w:rsidR="0027743D" w:rsidRPr="00D97334">
        <w:rPr>
          <w:rFonts w:cs="Times New Roman"/>
          <w:bCs/>
          <w:sz w:val="18"/>
          <w:szCs w:val="18"/>
        </w:rPr>
        <w:t>(</w:t>
      </w:r>
      <w:r w:rsidR="0027743D" w:rsidRPr="00D97334">
        <w:rPr>
          <w:rFonts w:cs="Times New Roman"/>
          <w:bCs/>
          <w:sz w:val="20"/>
          <w:szCs w:val="20"/>
        </w:rPr>
        <w:t>место для текстового описания</w:t>
      </w:r>
      <w:r w:rsidR="0027743D" w:rsidRPr="00D97334">
        <w:rPr>
          <w:rFonts w:cs="Times New Roman"/>
          <w:bCs/>
          <w:sz w:val="18"/>
          <w:szCs w:val="18"/>
        </w:rPr>
        <w:t>)</w:t>
      </w:r>
    </w:p>
    <w:p w:rsidR="0027743D" w:rsidRPr="00D97334" w:rsidRDefault="0027743D" w:rsidP="0027743D">
      <w:pPr>
        <w:tabs>
          <w:tab w:val="left" w:pos="851"/>
        </w:tabs>
        <w:jc w:val="center"/>
        <w:rPr>
          <w:rFonts w:cs="Times New Roman"/>
          <w:bCs/>
          <w:sz w:val="18"/>
          <w:szCs w:val="18"/>
        </w:rPr>
      </w:pPr>
    </w:p>
    <w:p w:rsidR="0027743D" w:rsidRPr="00D97334" w:rsidRDefault="0027743D" w:rsidP="0027743D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ab/>
        <w:t xml:space="preserve">2.2. Негативные эффекты, которые могут возникнуть в связи </w:t>
      </w:r>
      <w:r w:rsidRPr="00D97334">
        <w:rPr>
          <w:rFonts w:cs="Times New Roman"/>
          <w:bCs/>
          <w:szCs w:val="28"/>
        </w:rPr>
        <w:br/>
        <w:t>с отсутствием правового регулирования в соответствующей сфере деятельности:</w:t>
      </w:r>
    </w:p>
    <w:p w:rsidR="0027743D" w:rsidRPr="00D97334" w:rsidRDefault="00C553BA" w:rsidP="00C553BA">
      <w:pPr>
        <w:tabs>
          <w:tab w:val="left" w:pos="567"/>
        </w:tabs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ab/>
      </w:r>
      <w:r w:rsidR="00286A7B" w:rsidRPr="00D97334">
        <w:rPr>
          <w:rFonts w:cs="Times New Roman"/>
          <w:bCs/>
          <w:szCs w:val="28"/>
        </w:rPr>
        <w:t xml:space="preserve">Отсутствие порядка организации накопления твердых коммунальных отходов (в том числе их раздельного накопления) на территории муниципального образования городской округ город Сургут, </w:t>
      </w:r>
      <w:r w:rsidRPr="00D97334">
        <w:rPr>
          <w:rFonts w:cs="Times New Roman"/>
          <w:bCs/>
          <w:szCs w:val="28"/>
        </w:rPr>
        <w:t xml:space="preserve">повлечет </w:t>
      </w:r>
      <w:r w:rsidR="00286A7B" w:rsidRPr="00D97334">
        <w:rPr>
          <w:rFonts w:cs="Times New Roman"/>
          <w:bCs/>
          <w:szCs w:val="28"/>
        </w:rPr>
        <w:t xml:space="preserve">отсутствие ответственности за обустройство и надлежащее содержание площадок для накопления твердых коммунальных отходов, </w:t>
      </w:r>
      <w:r w:rsidR="0078286D" w:rsidRPr="00D97334">
        <w:rPr>
          <w:rFonts w:cs="Times New Roman"/>
          <w:bCs/>
          <w:szCs w:val="28"/>
        </w:rPr>
        <w:t xml:space="preserve">в том числе крупногабаритных отходов, </w:t>
      </w:r>
      <w:r w:rsidR="00286A7B" w:rsidRPr="00D97334">
        <w:rPr>
          <w:rFonts w:cs="Times New Roman"/>
          <w:bCs/>
          <w:szCs w:val="28"/>
        </w:rPr>
        <w:t>приобретения, содержания контейнеров для накопления твердых коммунальных отходов</w:t>
      </w: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D97334">
        <w:rPr>
          <w:rFonts w:cs="Times New Roman"/>
          <w:sz w:val="18"/>
          <w:szCs w:val="18"/>
        </w:rPr>
        <w:t>(</w:t>
      </w:r>
      <w:r w:rsidRPr="00D97334">
        <w:rPr>
          <w:rFonts w:cs="Times New Roman"/>
          <w:sz w:val="20"/>
          <w:szCs w:val="20"/>
        </w:rPr>
        <w:t>место для текстового описания</w:t>
      </w:r>
      <w:r w:rsidRPr="00D97334">
        <w:rPr>
          <w:rFonts w:cs="Times New Roman"/>
          <w:sz w:val="18"/>
          <w:szCs w:val="18"/>
        </w:rPr>
        <w:t>)</w:t>
      </w: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31171E" w:rsidRPr="00D97334" w:rsidRDefault="0027743D" w:rsidP="008B585E">
      <w:pPr>
        <w:tabs>
          <w:tab w:val="left" w:pos="567"/>
        </w:tabs>
        <w:jc w:val="both"/>
        <w:rPr>
          <w:rFonts w:cs="Times New Roman"/>
          <w:szCs w:val="28"/>
        </w:rPr>
      </w:pPr>
      <w:r w:rsidRPr="00D97334">
        <w:rPr>
          <w:rFonts w:cs="Times New Roman"/>
          <w:bCs/>
          <w:szCs w:val="28"/>
        </w:rPr>
        <w:tab/>
        <w:t xml:space="preserve">2.3. Опыт решения </w:t>
      </w:r>
      <w:r w:rsidRPr="00D97334">
        <w:rPr>
          <w:rFonts w:cs="Times New Roman"/>
          <w:szCs w:val="28"/>
        </w:rPr>
        <w:t>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 в соответствующей сфере деятельности:</w:t>
      </w:r>
    </w:p>
    <w:p w:rsidR="0031171E" w:rsidRPr="00D97334" w:rsidRDefault="0031171E" w:rsidP="0031171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-</w:t>
      </w:r>
      <w:r w:rsidR="008B585E" w:rsidRPr="00D97334">
        <w:t xml:space="preserve"> </w:t>
      </w:r>
      <w:r w:rsidR="008B585E" w:rsidRPr="00D97334">
        <w:rPr>
          <w:rFonts w:cs="Times New Roman"/>
          <w:szCs w:val="28"/>
        </w:rPr>
        <w:t>постановление администрации города Нижневартовска от 22.01.2018 № 65 «Об утверждении Порядка накопления твердых коммунальных отходов (в том числе их раздельного накопления) на территории города Нижневартовска»</w:t>
      </w:r>
      <w:r w:rsidRPr="00D97334">
        <w:rPr>
          <w:rFonts w:cs="Times New Roman"/>
          <w:szCs w:val="28"/>
        </w:rPr>
        <w:t>;</w:t>
      </w:r>
    </w:p>
    <w:p w:rsidR="0027743D" w:rsidRPr="00D97334" w:rsidRDefault="0031171E" w:rsidP="0031171E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-</w:t>
      </w:r>
      <w:r w:rsidR="008B585E" w:rsidRPr="00D97334">
        <w:rPr>
          <w:rFonts w:cs="Times New Roman"/>
          <w:szCs w:val="28"/>
        </w:rPr>
        <w:t xml:space="preserve"> постановление администрации города Когалыма от 09.06.2018 № 1281 «Об утверждении Порядка накопления твердых коммунальных отходов (в том числе их раздельного накопления) на территории города Когалыма»</w:t>
      </w: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D97334">
        <w:rPr>
          <w:rFonts w:cs="Times New Roman"/>
          <w:sz w:val="18"/>
          <w:szCs w:val="18"/>
        </w:rPr>
        <w:t>(</w:t>
      </w:r>
      <w:r w:rsidRPr="00D97334">
        <w:rPr>
          <w:rFonts w:cs="Times New Roman"/>
          <w:sz w:val="20"/>
          <w:szCs w:val="20"/>
        </w:rPr>
        <w:t>место для текстового описания</w:t>
      </w:r>
      <w:r w:rsidRPr="00D97334">
        <w:rPr>
          <w:rFonts w:cs="Times New Roman"/>
          <w:sz w:val="18"/>
          <w:szCs w:val="18"/>
        </w:rPr>
        <w:t>)</w:t>
      </w:r>
    </w:p>
    <w:p w:rsidR="0027743D" w:rsidRPr="00D97334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D97334" w:rsidRDefault="0027743D" w:rsidP="0027743D">
      <w:pPr>
        <w:tabs>
          <w:tab w:val="left" w:pos="567"/>
        </w:tabs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ab/>
        <w:t>2.4. Источники данных:</w:t>
      </w:r>
    </w:p>
    <w:p w:rsidR="0031171E" w:rsidRPr="00D97334" w:rsidRDefault="00AD6AC9" w:rsidP="003801A2">
      <w:pPr>
        <w:rPr>
          <w:u w:val="single"/>
        </w:rPr>
      </w:pPr>
      <w:r w:rsidRPr="00D97334">
        <w:rPr>
          <w:rFonts w:cs="Times New Roman"/>
          <w:bCs/>
          <w:szCs w:val="28"/>
          <w:u w:val="single"/>
          <w:lang w:val="x-none"/>
        </w:rPr>
        <w:t xml:space="preserve">СПС </w:t>
      </w:r>
      <w:r w:rsidRPr="00D97334">
        <w:rPr>
          <w:rFonts w:cs="Times New Roman"/>
          <w:bCs/>
          <w:szCs w:val="28"/>
          <w:u w:val="single"/>
        </w:rPr>
        <w:t>«Гарант»</w:t>
      </w:r>
      <w:r w:rsidR="002E22C3" w:rsidRPr="00D97334">
        <w:rPr>
          <w:rFonts w:cs="Times New Roman"/>
          <w:bCs/>
          <w:szCs w:val="28"/>
          <w:u w:val="single"/>
        </w:rPr>
        <w:t>,</w:t>
      </w:r>
      <w:r w:rsidR="002E22C3" w:rsidRPr="00D97334">
        <w:rPr>
          <w:u w:val="single"/>
        </w:rPr>
        <w:t xml:space="preserve"> </w:t>
      </w:r>
    </w:p>
    <w:p w:rsidR="0031171E" w:rsidRPr="00D97334" w:rsidRDefault="002E22C3" w:rsidP="003801A2">
      <w:pPr>
        <w:rPr>
          <w:rFonts w:cs="Times New Roman"/>
          <w:bCs/>
          <w:szCs w:val="28"/>
          <w:u w:val="single"/>
        </w:rPr>
      </w:pPr>
      <w:r w:rsidRPr="00D97334">
        <w:rPr>
          <w:rFonts w:cs="Times New Roman"/>
          <w:bCs/>
          <w:szCs w:val="28"/>
          <w:u w:val="single"/>
        </w:rPr>
        <w:t xml:space="preserve">социальная сеть Интернет, </w:t>
      </w:r>
    </w:p>
    <w:p w:rsidR="0027743D" w:rsidRPr="00D97334" w:rsidRDefault="002E22C3" w:rsidP="003801A2">
      <w:pPr>
        <w:rPr>
          <w:rFonts w:cs="Times New Roman"/>
          <w:szCs w:val="28"/>
          <w:u w:val="single"/>
        </w:rPr>
      </w:pPr>
      <w:r w:rsidRPr="00D97334">
        <w:rPr>
          <w:rFonts w:cs="Times New Roman"/>
          <w:bCs/>
          <w:szCs w:val="28"/>
          <w:u w:val="single"/>
        </w:rPr>
        <w:t>СПС</w:t>
      </w:r>
      <w:r w:rsidR="003801A2" w:rsidRPr="00D97334">
        <w:rPr>
          <w:rFonts w:cs="Times New Roman"/>
          <w:bCs/>
          <w:szCs w:val="28"/>
          <w:u w:val="single"/>
        </w:rPr>
        <w:t xml:space="preserve"> </w:t>
      </w:r>
      <w:r w:rsidRPr="00D97334">
        <w:rPr>
          <w:rFonts w:cs="Times New Roman"/>
          <w:bCs/>
          <w:szCs w:val="28"/>
          <w:u w:val="single"/>
        </w:rPr>
        <w:t>«КонсультантПлюс»</w:t>
      </w:r>
      <w:r w:rsidR="00C553BA" w:rsidRPr="00D97334">
        <w:rPr>
          <w:rFonts w:cs="Times New Roman"/>
          <w:bCs/>
          <w:szCs w:val="28"/>
          <w:u w:val="single"/>
        </w:rPr>
        <w:t>.</w:t>
      </w: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jc w:val="center"/>
        <w:rPr>
          <w:rFonts w:cs="Times New Roman"/>
          <w:szCs w:val="28"/>
        </w:rPr>
      </w:pPr>
    </w:p>
    <w:p w:rsidR="0027743D" w:rsidRPr="00D97334" w:rsidRDefault="0027743D" w:rsidP="0027743D">
      <w:pPr>
        <w:ind w:firstLine="567"/>
        <w:rPr>
          <w:rFonts w:cs="Times New Roman"/>
          <w:bCs/>
          <w:szCs w:val="28"/>
        </w:rPr>
        <w:sectPr w:rsidR="0027743D" w:rsidRPr="00D97334" w:rsidSect="00E43296"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</w:p>
    <w:p w:rsidR="0027743D" w:rsidRPr="00D97334" w:rsidRDefault="0027743D" w:rsidP="0027743D">
      <w:pPr>
        <w:ind w:firstLine="567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lastRenderedPageBreak/>
        <w:t>3. Определение целей правового регулирования и показателей для оценки их достижения</w:t>
      </w:r>
    </w:p>
    <w:p w:rsidR="0027743D" w:rsidRPr="00D97334" w:rsidRDefault="0027743D" w:rsidP="0027743D">
      <w:pPr>
        <w:ind w:firstLine="567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558"/>
        <w:gridCol w:w="3403"/>
      </w:tblGrid>
      <w:tr w:rsidR="0027743D" w:rsidRPr="00D97334" w:rsidTr="00312C97">
        <w:tc>
          <w:tcPr>
            <w:tcW w:w="3256" w:type="dxa"/>
          </w:tcPr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3.1. Цели правового регулирования</w:t>
            </w:r>
          </w:p>
        </w:tc>
        <w:tc>
          <w:tcPr>
            <w:tcW w:w="2976" w:type="dxa"/>
          </w:tcPr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3.2. Сроки достижения                   целей правового регулирования</w:t>
            </w:r>
          </w:p>
        </w:tc>
        <w:tc>
          <w:tcPr>
            <w:tcW w:w="3828" w:type="dxa"/>
          </w:tcPr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3.3. Наименование показателей</w:t>
            </w:r>
          </w:p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достижения целей правового регулирования </w:t>
            </w:r>
          </w:p>
          <w:p w:rsidR="0027743D" w:rsidRPr="00D97334" w:rsidRDefault="0027743D" w:rsidP="0078286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(</w:t>
            </w:r>
            <w:r w:rsidR="0078286D" w:rsidRPr="00D97334">
              <w:rPr>
                <w:rFonts w:cs="Times New Roman"/>
                <w:szCs w:val="28"/>
              </w:rPr>
              <w:t>ед.изм.</w:t>
            </w:r>
            <w:r w:rsidRPr="00D97334">
              <w:rPr>
                <w:rFonts w:cs="Times New Roman"/>
                <w:szCs w:val="28"/>
              </w:rPr>
              <w:t>)</w:t>
            </w:r>
          </w:p>
        </w:tc>
        <w:tc>
          <w:tcPr>
            <w:tcW w:w="1558" w:type="dxa"/>
          </w:tcPr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3.4. Значения</w:t>
            </w:r>
          </w:p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3403" w:type="dxa"/>
          </w:tcPr>
          <w:p w:rsidR="00312C97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3.5. Источники данных </w:t>
            </w:r>
          </w:p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для расчета</w:t>
            </w:r>
          </w:p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показателей</w:t>
            </w:r>
          </w:p>
        </w:tc>
      </w:tr>
      <w:tr w:rsidR="00E11052" w:rsidRPr="00D97334" w:rsidTr="00312C97">
        <w:tc>
          <w:tcPr>
            <w:tcW w:w="3256" w:type="dxa"/>
          </w:tcPr>
          <w:p w:rsidR="00E11052" w:rsidRPr="00D97334" w:rsidRDefault="005C38EB" w:rsidP="005C38EB">
            <w:pPr>
              <w:spacing w:after="1" w:line="220" w:lineRule="atLeast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Обеспечение экологического и санитарно-эпидемиологического благополучия населения, предотвращения вредного                  воздействия ТКО на окружающую среду и здоровье человека, сбережения                     природных ресурсов, максимального извлечения из ТКО вторичного сырья,                    повышения процента и эффективности его использования в процессе хозяйственной деятельности</w:t>
            </w:r>
          </w:p>
        </w:tc>
        <w:tc>
          <w:tcPr>
            <w:tcW w:w="2976" w:type="dxa"/>
          </w:tcPr>
          <w:p w:rsidR="00E11052" w:rsidRPr="00D97334" w:rsidRDefault="00E11052" w:rsidP="00E1105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3828" w:type="dxa"/>
          </w:tcPr>
          <w:p w:rsidR="00E11052" w:rsidRPr="00D97334" w:rsidRDefault="006647C6" w:rsidP="00051873">
            <w:pPr>
              <w:contextualSpacing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Доля обеспеченности контейнерами и площадками для накопления твёрдых коммунальных отходов</w:t>
            </w:r>
            <w:r w:rsidR="0078286D" w:rsidRPr="00D97334">
              <w:rPr>
                <w:rFonts w:cs="Times New Roman"/>
                <w:iCs/>
                <w:szCs w:val="28"/>
              </w:rPr>
              <w:t>, %</w:t>
            </w:r>
          </w:p>
        </w:tc>
        <w:tc>
          <w:tcPr>
            <w:tcW w:w="1558" w:type="dxa"/>
          </w:tcPr>
          <w:p w:rsidR="00E11052" w:rsidRPr="00D97334" w:rsidRDefault="00C0555F" w:rsidP="00E1105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100% ежегодно</w:t>
            </w:r>
          </w:p>
        </w:tc>
        <w:tc>
          <w:tcPr>
            <w:tcW w:w="3403" w:type="dxa"/>
          </w:tcPr>
          <w:p w:rsidR="00E11052" w:rsidRPr="00D97334" w:rsidRDefault="0078286D" w:rsidP="00CA36CC">
            <w:pPr>
              <w:contextualSpacing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Информация предоставляется региональным оператором</w:t>
            </w:r>
          </w:p>
          <w:p w:rsidR="0078286D" w:rsidRPr="00D97334" w:rsidRDefault="0078286D" w:rsidP="00CA36CC">
            <w:pPr>
              <w:contextualSpacing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(п.</w:t>
            </w:r>
            <w:r w:rsidR="00CA36CC" w:rsidRPr="00D97334">
              <w:rPr>
                <w:rFonts w:cs="Times New Roman"/>
                <w:szCs w:val="28"/>
              </w:rPr>
              <w:t xml:space="preserve"> </w:t>
            </w:r>
            <w:r w:rsidRPr="00D97334">
              <w:rPr>
                <w:rFonts w:cs="Times New Roman"/>
                <w:szCs w:val="28"/>
              </w:rPr>
              <w:t>17</w:t>
            </w:r>
            <w:r w:rsidR="00CA36CC" w:rsidRPr="00D97334">
              <w:rPr>
                <w:rFonts w:cs="Times New Roman"/>
                <w:szCs w:val="28"/>
              </w:rPr>
              <w:t xml:space="preserve"> Раздела </w:t>
            </w:r>
            <w:r w:rsidR="00CA36CC" w:rsidRPr="00D97334">
              <w:rPr>
                <w:rFonts w:cs="Times New Roman"/>
                <w:szCs w:val="28"/>
                <w:lang w:val="en-US"/>
              </w:rPr>
              <w:t>III</w:t>
            </w:r>
            <w:r w:rsidR="00CA36CC" w:rsidRPr="00D97334">
              <w:rPr>
                <w:rFonts w:cs="Times New Roman"/>
                <w:szCs w:val="28"/>
              </w:rPr>
              <w:t xml:space="preserve"> постановления Правительства РФ от 31.08.2019 № 1039 «Об утверждении Правил обустройства мест (площадок) накопления твёрдых коммунальных отходов и ведения их реестра»</w:t>
            </w:r>
            <w:r w:rsidR="00051873" w:rsidRPr="00D97334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D97334" w:rsidRDefault="0027743D" w:rsidP="0027743D">
      <w:pPr>
        <w:rPr>
          <w:rFonts w:cs="Times New Roman"/>
        </w:rPr>
      </w:pPr>
    </w:p>
    <w:p w:rsidR="0027743D" w:rsidRPr="00D97334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p w:rsidR="0027743D" w:rsidRPr="00D97334" w:rsidRDefault="0027743D" w:rsidP="0027743D">
      <w:pPr>
        <w:ind w:firstLine="567"/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lastRenderedPageBreak/>
        <w:t xml:space="preserve">4. Качественная характеристика и оценка численности потенциальных адресатов правового регулирования </w:t>
      </w:r>
      <w:r w:rsidRPr="00D97334">
        <w:rPr>
          <w:rFonts w:cs="Times New Roman"/>
          <w:bCs/>
          <w:szCs w:val="28"/>
        </w:rPr>
        <w:br/>
        <w:t>(их групп)</w:t>
      </w:r>
    </w:p>
    <w:p w:rsidR="0027743D" w:rsidRPr="00D97334" w:rsidRDefault="0027743D" w:rsidP="0027743D">
      <w:pPr>
        <w:ind w:firstLine="567"/>
        <w:jc w:val="both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589"/>
      </w:tblGrid>
      <w:tr w:rsidR="0027743D" w:rsidRPr="00D97334" w:rsidTr="00312C97">
        <w:trPr>
          <w:cantSplit/>
        </w:trPr>
        <w:tc>
          <w:tcPr>
            <w:tcW w:w="6747" w:type="dxa"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4.1. Группы потенциальных адресатов правового </w:t>
            </w:r>
          </w:p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регулирования </w:t>
            </w:r>
          </w:p>
        </w:tc>
        <w:tc>
          <w:tcPr>
            <w:tcW w:w="3685" w:type="dxa"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4589" w:type="dxa"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4.3. Источники данных</w:t>
            </w:r>
          </w:p>
        </w:tc>
      </w:tr>
      <w:tr w:rsidR="00AD6AC9" w:rsidRPr="00D97334" w:rsidTr="00312C97">
        <w:trPr>
          <w:cantSplit/>
          <w:trHeight w:val="579"/>
        </w:trPr>
        <w:tc>
          <w:tcPr>
            <w:tcW w:w="6747" w:type="dxa"/>
          </w:tcPr>
          <w:p w:rsidR="00AD6AC9" w:rsidRPr="00D97334" w:rsidRDefault="00051873" w:rsidP="00C553BA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D97334">
              <w:rPr>
                <w:szCs w:val="28"/>
              </w:rPr>
              <w:t>Юридические лица (независимо от организационно-правовой формы) и индивидуальные предприниматели, в том числе осуществляющи</w:t>
            </w:r>
            <w:r w:rsidR="00C553BA" w:rsidRPr="00D97334">
              <w:rPr>
                <w:szCs w:val="28"/>
              </w:rPr>
              <w:t>е</w:t>
            </w:r>
            <w:r w:rsidRPr="00D97334">
              <w:rPr>
                <w:szCs w:val="28"/>
              </w:rPr>
              <w:t xml:space="preserve"> управление многоквартирными домами на основании заключенного договора или заключивши</w:t>
            </w:r>
            <w:r w:rsidR="00C553BA" w:rsidRPr="00D97334">
              <w:rPr>
                <w:szCs w:val="28"/>
              </w:rPr>
              <w:t>е</w:t>
            </w:r>
            <w:r w:rsidRPr="00D97334">
              <w:rPr>
                <w:szCs w:val="28"/>
              </w:rPr>
              <w:t xml:space="preserve"> с собственниками помещений многоквартирного дома договоры на оказание услуг по содержанию и ремонту общего имущества в таком доме</w:t>
            </w:r>
          </w:p>
        </w:tc>
        <w:tc>
          <w:tcPr>
            <w:tcW w:w="3685" w:type="dxa"/>
          </w:tcPr>
          <w:p w:rsidR="00AD6AC9" w:rsidRPr="00D97334" w:rsidRDefault="002A5C3D" w:rsidP="00AD6AC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7334">
              <w:rPr>
                <w:rFonts w:eastAsia="Times New Roman" w:cs="Times New Roman"/>
                <w:szCs w:val="28"/>
                <w:lang w:eastAsia="ru-RU"/>
              </w:rPr>
              <w:t>625</w:t>
            </w:r>
          </w:p>
        </w:tc>
        <w:tc>
          <w:tcPr>
            <w:tcW w:w="4589" w:type="dxa"/>
          </w:tcPr>
          <w:p w:rsidR="00AD6AC9" w:rsidRPr="00D97334" w:rsidRDefault="002A5C3D" w:rsidP="00AD6AC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97334">
              <w:rPr>
                <w:rFonts w:eastAsia="Times New Roman" w:cs="Times New Roman"/>
                <w:szCs w:val="28"/>
                <w:lang w:eastAsia="ru-RU"/>
              </w:rPr>
              <w:t>Реестр мест (площадок) накопления твёрдых коммунальных отходов территории города Сургута</w:t>
            </w:r>
          </w:p>
        </w:tc>
      </w:tr>
    </w:tbl>
    <w:p w:rsidR="0027743D" w:rsidRPr="00D97334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</w:p>
    <w:p w:rsidR="0027743D" w:rsidRPr="00D97334" w:rsidRDefault="0027743D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 xml:space="preserve">5. Функции (полномочия, обязанности, права) структурных подразделений Администрации города, муниципальных                       учреждений </w:t>
      </w:r>
    </w:p>
    <w:p w:rsidR="00C0555F" w:rsidRPr="00D97334" w:rsidRDefault="00C0555F" w:rsidP="0027743D">
      <w:pPr>
        <w:spacing w:before="120"/>
        <w:ind w:firstLine="567"/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>Функции и полномочия правовым актом не предусмотрены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  <w:gridCol w:w="2551"/>
        <w:gridCol w:w="2944"/>
      </w:tblGrid>
      <w:tr w:rsidR="0027743D" w:rsidRPr="00D97334" w:rsidTr="00312C97">
        <w:tc>
          <w:tcPr>
            <w:tcW w:w="5273" w:type="dxa"/>
            <w:tcBorders>
              <w:bottom w:val="single" w:sz="4" w:space="0" w:color="auto"/>
            </w:tcBorders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5.1. Наименование функции </w:t>
            </w:r>
          </w:p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(полномочия/обязанности/права)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5.2. Виды расходов (доходов) </w:t>
            </w:r>
          </w:p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5.3. Количественная оценка расходов </w:t>
            </w:r>
          </w:p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и доходов бюджета (руб.)</w:t>
            </w:r>
          </w:p>
        </w:tc>
        <w:tc>
          <w:tcPr>
            <w:tcW w:w="2944" w:type="dxa"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данных для расчетов</w:t>
            </w:r>
          </w:p>
        </w:tc>
      </w:tr>
      <w:tr w:rsidR="0027743D" w:rsidRPr="00D97334" w:rsidTr="00312C97">
        <w:trPr>
          <w:cantSplit/>
          <w:trHeight w:val="425"/>
        </w:trPr>
        <w:tc>
          <w:tcPr>
            <w:tcW w:w="15021" w:type="dxa"/>
            <w:gridSpan w:val="4"/>
          </w:tcPr>
          <w:p w:rsidR="002A5C3D" w:rsidRPr="00D97334" w:rsidRDefault="0027743D" w:rsidP="00EF4D73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</w:tc>
      </w:tr>
      <w:tr w:rsidR="0027743D" w:rsidRPr="00D97334" w:rsidTr="00312C97">
        <w:trPr>
          <w:trHeight w:val="645"/>
        </w:trPr>
        <w:tc>
          <w:tcPr>
            <w:tcW w:w="5273" w:type="dxa"/>
            <w:vMerge w:val="restart"/>
            <w:tcBorders>
              <w:top w:val="single" w:sz="4" w:space="0" w:color="auto"/>
            </w:tcBorders>
          </w:tcPr>
          <w:p w:rsidR="00AD1AAB" w:rsidRPr="00D97334" w:rsidRDefault="00AD1AAB" w:rsidP="00AD1AAB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Функция </w:t>
            </w:r>
          </w:p>
          <w:p w:rsidR="00AD1AAB" w:rsidRPr="00D97334" w:rsidRDefault="00AD1AAB" w:rsidP="00AD1AAB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(полномочие/ </w:t>
            </w:r>
          </w:p>
          <w:p w:rsidR="0027743D" w:rsidRPr="00D97334" w:rsidRDefault="00AD1AAB" w:rsidP="00AD1AAB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обязанность/право) 1.N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7743D" w:rsidRPr="00D97334" w:rsidRDefault="0027743D" w:rsidP="00E43296">
            <w:pPr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27743D" w:rsidRPr="00D97334" w:rsidRDefault="0027743D" w:rsidP="002E22C3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в </w:t>
            </w:r>
            <w:r w:rsidR="002A5C3D" w:rsidRPr="00D97334">
              <w:rPr>
                <w:rFonts w:cs="Times New Roman"/>
                <w:iCs/>
                <w:szCs w:val="28"/>
              </w:rPr>
              <w:t>2019</w:t>
            </w:r>
            <w:r w:rsidRPr="00D97334">
              <w:rPr>
                <w:rFonts w:cs="Times New Roman"/>
                <w:iCs/>
                <w:szCs w:val="28"/>
              </w:rPr>
              <w:t xml:space="preserve"> году:</w:t>
            </w:r>
            <w:r w:rsidR="002A5C3D" w:rsidRPr="00D97334">
              <w:rPr>
                <w:rFonts w:cs="Times New Roman"/>
                <w:iCs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743D" w:rsidRPr="00D97334" w:rsidRDefault="00C0555F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D97334" w:rsidRDefault="00C0555F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312C97">
        <w:trPr>
          <w:trHeight w:val="844"/>
        </w:trPr>
        <w:tc>
          <w:tcPr>
            <w:tcW w:w="5273" w:type="dxa"/>
            <w:vMerge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D97334" w:rsidRDefault="0027743D" w:rsidP="00E43296">
            <w:pPr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27743D" w:rsidRPr="00D97334" w:rsidRDefault="0027743D" w:rsidP="00E43296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за период _____ </w:t>
            </w:r>
            <w:r w:rsidRPr="00D97334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27743D" w:rsidRPr="00D97334" w:rsidRDefault="00C0555F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D97334" w:rsidRDefault="00C0555F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312C97">
        <w:trPr>
          <w:trHeight w:val="699"/>
        </w:trPr>
        <w:tc>
          <w:tcPr>
            <w:tcW w:w="5273" w:type="dxa"/>
            <w:vMerge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D97334" w:rsidRDefault="0027743D" w:rsidP="00E43296">
            <w:pPr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возможные доходы </w:t>
            </w:r>
          </w:p>
          <w:p w:rsidR="0027743D" w:rsidRPr="00D97334" w:rsidRDefault="0027743D" w:rsidP="00E43296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за период ________ г.:</w:t>
            </w:r>
          </w:p>
        </w:tc>
        <w:tc>
          <w:tcPr>
            <w:tcW w:w="2551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312C97">
        <w:trPr>
          <w:trHeight w:val="698"/>
        </w:trPr>
        <w:tc>
          <w:tcPr>
            <w:tcW w:w="5273" w:type="dxa"/>
            <w:vMerge w:val="restart"/>
          </w:tcPr>
          <w:p w:rsidR="0027743D" w:rsidRPr="00D97334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27743D" w:rsidRPr="00D97334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27743D" w:rsidRPr="00D97334" w:rsidRDefault="0027743D" w:rsidP="00E43296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обязанность/право) 1.</w:t>
            </w:r>
            <w:r w:rsidRPr="00D97334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4253" w:type="dxa"/>
          </w:tcPr>
          <w:p w:rsidR="0027743D" w:rsidRPr="00D97334" w:rsidRDefault="0027743D" w:rsidP="00E43296">
            <w:pPr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единовременные расходы </w:t>
            </w:r>
          </w:p>
          <w:p w:rsidR="0027743D" w:rsidRPr="00D97334" w:rsidRDefault="0027743D" w:rsidP="00E43296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в _____ году:</w:t>
            </w:r>
          </w:p>
        </w:tc>
        <w:tc>
          <w:tcPr>
            <w:tcW w:w="2551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312C97">
        <w:trPr>
          <w:trHeight w:val="708"/>
        </w:trPr>
        <w:tc>
          <w:tcPr>
            <w:tcW w:w="5273" w:type="dxa"/>
            <w:vMerge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D97334" w:rsidRDefault="0027743D" w:rsidP="00E43296">
            <w:pPr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27743D" w:rsidRPr="00D97334" w:rsidRDefault="0027743D" w:rsidP="00E43296">
            <w:pPr>
              <w:rPr>
                <w:rFonts w:cs="Times New Roman"/>
                <w:sz w:val="16"/>
                <w:szCs w:val="16"/>
              </w:rPr>
            </w:pPr>
            <w:r w:rsidRPr="00D97334">
              <w:rPr>
                <w:rFonts w:cs="Times New Roman"/>
                <w:iCs/>
                <w:szCs w:val="28"/>
              </w:rPr>
              <w:t>за период _____ – _____ г.:</w:t>
            </w:r>
          </w:p>
        </w:tc>
        <w:tc>
          <w:tcPr>
            <w:tcW w:w="2551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EF4D73">
        <w:trPr>
          <w:trHeight w:val="373"/>
        </w:trPr>
        <w:tc>
          <w:tcPr>
            <w:tcW w:w="5273" w:type="dxa"/>
            <w:vMerge/>
          </w:tcPr>
          <w:p w:rsidR="0027743D" w:rsidRPr="00D97334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27743D" w:rsidRPr="00D97334" w:rsidRDefault="0027743D" w:rsidP="00EF4D73">
            <w:pPr>
              <w:rPr>
                <w:rFonts w:cs="Times New Roman"/>
                <w:sz w:val="16"/>
                <w:szCs w:val="16"/>
              </w:rPr>
            </w:pPr>
            <w:r w:rsidRPr="00D97334">
              <w:rPr>
                <w:rFonts w:cs="Times New Roman"/>
                <w:iCs/>
                <w:szCs w:val="28"/>
              </w:rPr>
              <w:t>возможные доходы за период _г.:</w:t>
            </w:r>
          </w:p>
        </w:tc>
        <w:tc>
          <w:tcPr>
            <w:tcW w:w="2551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D97334" w:rsidRDefault="006647C6" w:rsidP="00EF4D73">
            <w:pPr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312C97">
        <w:tc>
          <w:tcPr>
            <w:tcW w:w="9526" w:type="dxa"/>
            <w:gridSpan w:val="2"/>
          </w:tcPr>
          <w:p w:rsidR="0027743D" w:rsidRPr="00D97334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Итого единовременные расходы за период __________________ г.г.:</w:t>
            </w:r>
          </w:p>
          <w:p w:rsidR="0027743D" w:rsidRPr="00D97334" w:rsidRDefault="0027743D" w:rsidP="00E43296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7743D" w:rsidRPr="00D97334" w:rsidRDefault="006647C6" w:rsidP="00EF4D73">
            <w:pPr>
              <w:ind w:firstLine="54"/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</w:tcPr>
          <w:p w:rsidR="0027743D" w:rsidRPr="00D97334" w:rsidRDefault="006647C6" w:rsidP="00EF4D73">
            <w:pPr>
              <w:ind w:firstLine="54"/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312C97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D97334" w:rsidRDefault="0027743D" w:rsidP="00E43296">
            <w:pPr>
              <w:ind w:firstLine="54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Итого периодические расходы за период __________________ г.г.:</w:t>
            </w:r>
          </w:p>
          <w:p w:rsidR="0027743D" w:rsidRPr="00D97334" w:rsidRDefault="0027743D" w:rsidP="00E43296">
            <w:pPr>
              <w:ind w:firstLine="5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D97334" w:rsidRDefault="006647C6" w:rsidP="00EF4D73">
            <w:pPr>
              <w:ind w:firstLine="54"/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D97334" w:rsidRDefault="006647C6" w:rsidP="00EF4D73">
            <w:pPr>
              <w:ind w:firstLine="54"/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  <w:tr w:rsidR="0027743D" w:rsidRPr="00D97334" w:rsidTr="00312C97">
        <w:trPr>
          <w:trHeight w:val="372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D97334" w:rsidRDefault="0027743D" w:rsidP="00E43296">
            <w:pPr>
              <w:ind w:firstLine="54"/>
              <w:rPr>
                <w:rFonts w:cs="Times New Roman"/>
                <w:sz w:val="16"/>
                <w:szCs w:val="16"/>
              </w:rPr>
            </w:pPr>
            <w:r w:rsidRPr="00D97334">
              <w:rPr>
                <w:rFonts w:cs="Times New Roman"/>
                <w:iCs/>
                <w:szCs w:val="28"/>
              </w:rPr>
              <w:t>Итого возможные доходы за период __________________ г.г.: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D97334" w:rsidRDefault="006647C6" w:rsidP="00EF4D73">
            <w:pPr>
              <w:ind w:firstLine="54"/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3D" w:rsidRPr="00D97334" w:rsidRDefault="006647C6" w:rsidP="00EF4D73">
            <w:pPr>
              <w:ind w:firstLine="54"/>
              <w:jc w:val="center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>-</w:t>
            </w:r>
          </w:p>
        </w:tc>
      </w:tr>
    </w:tbl>
    <w:p w:rsidR="0027743D" w:rsidRPr="00D97334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27743D" w:rsidRPr="00D97334" w:rsidRDefault="0027743D" w:rsidP="00312C97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D97334">
        <w:rPr>
          <w:rFonts w:cs="Times New Roman"/>
          <w:bCs/>
          <w:szCs w:val="28"/>
        </w:rPr>
        <w:t>6. Обязанности, запреты и ограничения потенциальных адресатов правового регулирования и связанные с ними расходы</w:t>
      </w:r>
      <w:r w:rsidR="00312C97" w:rsidRPr="00D97334">
        <w:rPr>
          <w:rFonts w:cs="Times New Roman"/>
          <w:bCs/>
          <w:szCs w:val="28"/>
        </w:rPr>
        <w:t xml:space="preserve"> </w:t>
      </w:r>
      <w:r w:rsidRPr="00D97334">
        <w:rPr>
          <w:rFonts w:cs="Times New Roman"/>
          <w:bCs/>
          <w:szCs w:val="28"/>
        </w:rPr>
        <w:t>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2693"/>
        <w:gridCol w:w="3402"/>
        <w:gridCol w:w="2410"/>
      </w:tblGrid>
      <w:tr w:rsidR="0027743D" w:rsidRPr="00D97334" w:rsidTr="00A51F55">
        <w:tc>
          <w:tcPr>
            <w:tcW w:w="6516" w:type="dxa"/>
          </w:tcPr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6.1. Обязанности, запреты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и ограничения, установленные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>правовым регулированием,</w:t>
            </w:r>
          </w:p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для потенциальных адресатов </w:t>
            </w:r>
          </w:p>
          <w:p w:rsidR="0027743D" w:rsidRPr="00D97334" w:rsidRDefault="0027743D" w:rsidP="00E43296">
            <w:pPr>
              <w:contextualSpacing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>правового регулирования</w:t>
            </w:r>
            <w:r w:rsidRPr="00D97334">
              <w:rPr>
                <w:rFonts w:cs="Times New Roman"/>
                <w:sz w:val="24"/>
                <w:szCs w:val="24"/>
              </w:rPr>
              <w:br/>
            </w:r>
            <w:r w:rsidRPr="00D97334">
              <w:rPr>
                <w:rFonts w:cs="Times New Roman"/>
                <w:iCs/>
                <w:sz w:val="24"/>
                <w:szCs w:val="24"/>
              </w:rPr>
              <w:t xml:space="preserve">(с указанием соответствующих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97334">
              <w:rPr>
                <w:rFonts w:cs="Times New Roman"/>
                <w:iCs/>
                <w:sz w:val="24"/>
                <w:szCs w:val="24"/>
              </w:rPr>
              <w:t xml:space="preserve">положений нормативного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iCs/>
                <w:sz w:val="24"/>
                <w:szCs w:val="24"/>
              </w:rPr>
              <w:t>правового акта)</w:t>
            </w:r>
          </w:p>
        </w:tc>
        <w:tc>
          <w:tcPr>
            <w:tcW w:w="2693" w:type="dxa"/>
          </w:tcPr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6.2. Описание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расходов и возможных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доходов, связанных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с правовым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>регулированием</w:t>
            </w:r>
          </w:p>
        </w:tc>
        <w:tc>
          <w:tcPr>
            <w:tcW w:w="3402" w:type="dxa"/>
          </w:tcPr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>6.3. Количественная оценка</w:t>
            </w:r>
          </w:p>
          <w:p w:rsidR="0027743D" w:rsidRPr="00D97334" w:rsidRDefault="0027743D" w:rsidP="00493233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2410" w:type="dxa"/>
          </w:tcPr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6.4. Источники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 xml:space="preserve">данных </w:t>
            </w:r>
          </w:p>
          <w:p w:rsidR="0027743D" w:rsidRPr="00D97334" w:rsidRDefault="0027743D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 w:val="24"/>
                <w:szCs w:val="24"/>
              </w:rPr>
              <w:t>для расчетов</w:t>
            </w:r>
          </w:p>
        </w:tc>
      </w:tr>
      <w:tr w:rsidR="0053792C" w:rsidRPr="00D97334" w:rsidTr="00A51F55">
        <w:tc>
          <w:tcPr>
            <w:tcW w:w="6516" w:type="dxa"/>
          </w:tcPr>
          <w:p w:rsidR="0053792C" w:rsidRPr="00D97334" w:rsidRDefault="0053792C" w:rsidP="00CE302F">
            <w:pPr>
              <w:ind w:left="57" w:right="57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1) Пунктами 2, 3.5, 3.9 раздела </w:t>
            </w:r>
            <w:r w:rsidRPr="00D97334">
              <w:rPr>
                <w:rFonts w:cs="Times New Roman"/>
                <w:szCs w:val="28"/>
                <w:lang w:val="en-US"/>
              </w:rPr>
              <w:t>II</w:t>
            </w:r>
            <w:r w:rsidRPr="00D97334">
              <w:rPr>
                <w:rFonts w:cs="Times New Roman"/>
                <w:iCs/>
                <w:szCs w:val="28"/>
              </w:rPr>
              <w:t xml:space="preserve"> Порядка предусмотрено накопление, в том числе раздельное накопление ТКО в контейнеры, бункеры, расположенные на контейнерных площадках и требования к используемым контейнерам.</w:t>
            </w:r>
          </w:p>
        </w:tc>
        <w:tc>
          <w:tcPr>
            <w:tcW w:w="2693" w:type="dxa"/>
            <w:vMerge w:val="restart"/>
          </w:tcPr>
          <w:p w:rsidR="0053792C" w:rsidRPr="00D97334" w:rsidRDefault="0053792C" w:rsidP="006D35CD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Содержательные издержки </w:t>
            </w:r>
          </w:p>
          <w:p w:rsidR="0053792C" w:rsidRPr="00D97334" w:rsidRDefault="0053792C" w:rsidP="006D35CD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(расходы на приобретение контейнеров для </w:t>
            </w:r>
            <w:r w:rsidRPr="00D97334">
              <w:rPr>
                <w:rFonts w:cs="Times New Roman"/>
                <w:szCs w:val="28"/>
              </w:rPr>
              <w:lastRenderedPageBreak/>
              <w:t xml:space="preserve">накопления ТКО; расходы на обустройство площадки для накопления ТКО и КГО; </w:t>
            </w:r>
          </w:p>
          <w:p w:rsidR="0053792C" w:rsidRPr="00D97334" w:rsidRDefault="0053792C" w:rsidP="006D35CD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>расходы на содержание контейнерной площадки, включая разборку предметов мебели;</w:t>
            </w:r>
          </w:p>
          <w:p w:rsidR="0053792C" w:rsidRPr="00D97334" w:rsidRDefault="0053792C" w:rsidP="006D35CD">
            <w:pPr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расходы на изготовление и размещение информационных табличек; </w:t>
            </w:r>
          </w:p>
          <w:p w:rsidR="0053792C" w:rsidRPr="00D97334" w:rsidRDefault="0053792C" w:rsidP="000C3C03">
            <w:pPr>
              <w:ind w:right="57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szCs w:val="28"/>
              </w:rPr>
              <w:t>расходы на поставку и обслуживание контейнеров для накопления опасных (ртутьсодержащих) отходов))</w:t>
            </w:r>
          </w:p>
        </w:tc>
        <w:tc>
          <w:tcPr>
            <w:tcW w:w="3402" w:type="dxa"/>
            <w:vMerge w:val="restart"/>
          </w:tcPr>
          <w:p w:rsidR="005C6ACD" w:rsidRPr="00D97334" w:rsidRDefault="00B92305" w:rsidP="005C6ACD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lastRenderedPageBreak/>
              <w:t>расходы 1 субъекта -</w:t>
            </w:r>
            <w:r w:rsidR="005C6ACD" w:rsidRPr="00D97334">
              <w:rPr>
                <w:rFonts w:cs="Times New Roman"/>
                <w:szCs w:val="28"/>
              </w:rPr>
              <w:t>660 732,02 руб.</w:t>
            </w:r>
          </w:p>
          <w:p w:rsidR="0053792C" w:rsidRPr="00D97334" w:rsidRDefault="005C6ACD" w:rsidP="005C6ACD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 </w:t>
            </w:r>
            <w:r w:rsidR="0053792C" w:rsidRPr="00D97334">
              <w:rPr>
                <w:rFonts w:cs="Times New Roman"/>
                <w:szCs w:val="28"/>
              </w:rPr>
              <w:t>(</w:t>
            </w:r>
            <w:r w:rsidR="00B92305" w:rsidRPr="00D97334">
              <w:rPr>
                <w:rFonts w:cs="Times New Roman"/>
                <w:szCs w:val="28"/>
              </w:rPr>
              <w:t>расчет расходов прилагается</w:t>
            </w:r>
            <w:r w:rsidR="0053792C" w:rsidRPr="00D97334">
              <w:rPr>
                <w:rFonts w:cs="Times New Roman"/>
                <w:szCs w:val="28"/>
              </w:rPr>
              <w:t>)</w:t>
            </w: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  <w:p w:rsidR="0053792C" w:rsidRPr="00D97334" w:rsidRDefault="0053792C" w:rsidP="006D35CD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D5310" w:rsidRPr="00D97334" w:rsidRDefault="003D5310" w:rsidP="003D5310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lastRenderedPageBreak/>
              <w:t>Данные из сети интернет,</w:t>
            </w:r>
          </w:p>
          <w:p w:rsidR="003D5310" w:rsidRPr="00D97334" w:rsidRDefault="003D5310" w:rsidP="003D5310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с официальных сайтов </w:t>
            </w:r>
            <w:r w:rsidRPr="00D97334">
              <w:rPr>
                <w:rFonts w:cs="Times New Roman"/>
                <w:szCs w:val="28"/>
              </w:rPr>
              <w:lastRenderedPageBreak/>
              <w:t xml:space="preserve">предприятий продажи, </w:t>
            </w:r>
          </w:p>
          <w:p w:rsidR="0053792C" w:rsidRPr="00D97334" w:rsidRDefault="003D5310" w:rsidP="003D5310">
            <w:pPr>
              <w:jc w:val="center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смета расходов управляющей организации </w:t>
            </w: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6D35CD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92C" w:rsidRPr="00D97334" w:rsidTr="00A51F55">
        <w:tc>
          <w:tcPr>
            <w:tcW w:w="6516" w:type="dxa"/>
          </w:tcPr>
          <w:p w:rsidR="0053792C" w:rsidRPr="00D97334" w:rsidRDefault="0053792C" w:rsidP="00CE302F">
            <w:pPr>
              <w:ind w:left="57" w:right="57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iCs/>
                <w:szCs w:val="28"/>
              </w:rPr>
              <w:lastRenderedPageBreak/>
              <w:t xml:space="preserve">2) Пунктами 3.1, 3.3, 3.9 раздела </w:t>
            </w:r>
            <w:r w:rsidRPr="00D97334">
              <w:rPr>
                <w:rFonts w:cs="Times New Roman"/>
                <w:szCs w:val="28"/>
                <w:lang w:val="en-US"/>
              </w:rPr>
              <w:t>II</w:t>
            </w:r>
            <w:r w:rsidRPr="00D97334">
              <w:rPr>
                <w:rFonts w:cs="Times New Roman"/>
                <w:iCs/>
                <w:szCs w:val="28"/>
              </w:rPr>
              <w:t xml:space="preserve"> Порядка предусмотрено, требование об осуществлении накопления ТКО на контейнерных площадках, и требования к их обустройству.</w:t>
            </w:r>
          </w:p>
        </w:tc>
        <w:tc>
          <w:tcPr>
            <w:tcW w:w="2693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92C" w:rsidRPr="00D97334" w:rsidTr="00A51F55">
        <w:tc>
          <w:tcPr>
            <w:tcW w:w="6516" w:type="dxa"/>
          </w:tcPr>
          <w:p w:rsidR="0053792C" w:rsidRPr="00D97334" w:rsidRDefault="0053792C" w:rsidP="0053792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3) </w:t>
            </w:r>
            <w:r w:rsidRPr="00D97334">
              <w:rPr>
                <w:rFonts w:cs="Times New Roman"/>
                <w:szCs w:val="28"/>
              </w:rPr>
              <w:t xml:space="preserve">Пунктом 1 раздела </w:t>
            </w:r>
            <w:r w:rsidRPr="00D97334">
              <w:rPr>
                <w:rFonts w:cs="Times New Roman"/>
                <w:szCs w:val="28"/>
                <w:lang w:val="en-US"/>
              </w:rPr>
              <w:t>IV</w:t>
            </w:r>
            <w:r w:rsidRPr="00D97334">
              <w:rPr>
                <w:rFonts w:cs="Times New Roman"/>
                <w:szCs w:val="28"/>
              </w:rPr>
              <w:t xml:space="preserve"> предусмотрено, требование об осуществлении накопления </w:t>
            </w:r>
            <w:r w:rsidRPr="00D97334">
              <w:rPr>
                <w:rFonts w:cs="Times New Roman"/>
                <w:iCs/>
                <w:szCs w:val="28"/>
              </w:rPr>
              <w:t>крупногабаритных отходов</w:t>
            </w:r>
            <w:r w:rsidR="003E4645" w:rsidRPr="00D97334">
              <w:rPr>
                <w:rFonts w:cs="Times New Roman"/>
                <w:iCs/>
                <w:szCs w:val="28"/>
              </w:rPr>
              <w:t xml:space="preserve"> на специализированных площадках.</w:t>
            </w:r>
          </w:p>
        </w:tc>
        <w:tc>
          <w:tcPr>
            <w:tcW w:w="2693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92C" w:rsidRPr="00D97334" w:rsidTr="0053792C">
        <w:trPr>
          <w:trHeight w:val="2847"/>
        </w:trPr>
        <w:tc>
          <w:tcPr>
            <w:tcW w:w="6516" w:type="dxa"/>
          </w:tcPr>
          <w:p w:rsidR="0053792C" w:rsidRPr="00D97334" w:rsidRDefault="0053792C" w:rsidP="00CE302F">
            <w:pPr>
              <w:ind w:left="57" w:right="57"/>
              <w:rPr>
                <w:rFonts w:cs="Times New Roman"/>
                <w:sz w:val="24"/>
                <w:szCs w:val="24"/>
              </w:rPr>
            </w:pPr>
            <w:r w:rsidRPr="00D97334">
              <w:rPr>
                <w:rFonts w:cs="Times New Roman"/>
                <w:iCs/>
                <w:szCs w:val="28"/>
              </w:rPr>
              <w:t xml:space="preserve">4) Пунктом 3.12. раздела </w:t>
            </w:r>
            <w:r w:rsidRPr="00D97334">
              <w:rPr>
                <w:rFonts w:cs="Times New Roman"/>
                <w:szCs w:val="28"/>
                <w:lang w:val="en-US"/>
              </w:rPr>
              <w:t>II</w:t>
            </w:r>
            <w:r w:rsidRPr="00D97334">
              <w:rPr>
                <w:rFonts w:cs="Times New Roman"/>
                <w:iCs/>
                <w:szCs w:val="28"/>
              </w:rPr>
              <w:t xml:space="preserve"> Порядка предусмотрена, обязанность содержания контейнерных площадок, специальных площадок для складирования крупногабаритных отходов (далее – КГО) и территории, 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доме.</w:t>
            </w:r>
          </w:p>
        </w:tc>
        <w:tc>
          <w:tcPr>
            <w:tcW w:w="2693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92C" w:rsidRPr="00D97334" w:rsidTr="00A51F55">
        <w:tc>
          <w:tcPr>
            <w:tcW w:w="6516" w:type="dxa"/>
          </w:tcPr>
          <w:p w:rsidR="0053792C" w:rsidRPr="00D97334" w:rsidRDefault="0053792C" w:rsidP="00CE302F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5) Пунктом 3.14 раздела </w:t>
            </w:r>
            <w:r w:rsidRPr="00D97334">
              <w:rPr>
                <w:rFonts w:cs="Times New Roman"/>
                <w:szCs w:val="28"/>
                <w:lang w:val="en-US"/>
              </w:rPr>
              <w:t>II</w:t>
            </w:r>
            <w:r w:rsidRPr="00D97334">
              <w:rPr>
                <w:rFonts w:cs="Times New Roman"/>
                <w:szCs w:val="28"/>
              </w:rPr>
              <w:t xml:space="preserve"> Порядка предусмотрено, что лица, ответственные за содержание контейнерных площадок, специальных площадок для складирования КГО, обязаны обеспечить размещение на них информации о собственнике контейнерных площадок, обслуживаемых объектах потребителей, а также об организации, осуществляющей вывоз отходов с данной площадки, телефона для обращений и графика вывоза отходов.</w:t>
            </w:r>
          </w:p>
        </w:tc>
        <w:tc>
          <w:tcPr>
            <w:tcW w:w="2693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92C" w:rsidRPr="00D97334" w:rsidTr="00A51F55">
        <w:tc>
          <w:tcPr>
            <w:tcW w:w="6516" w:type="dxa"/>
          </w:tcPr>
          <w:p w:rsidR="0053792C" w:rsidRPr="00D97334" w:rsidRDefault="0053792C" w:rsidP="00CE302F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lastRenderedPageBreak/>
              <w:t xml:space="preserve">6) Пунктом 1.2 раздела </w:t>
            </w:r>
            <w:r w:rsidRPr="00D97334">
              <w:rPr>
                <w:rFonts w:cs="Times New Roman"/>
                <w:szCs w:val="28"/>
                <w:lang w:val="en-US"/>
              </w:rPr>
              <w:t>IV</w:t>
            </w:r>
            <w:r w:rsidRPr="00D97334">
              <w:rPr>
                <w:rFonts w:cs="Times New Roman"/>
                <w:szCs w:val="28"/>
              </w:rPr>
              <w:t xml:space="preserve"> предусмотрено, что КГО, в частности </w:t>
            </w:r>
            <w:r w:rsidRPr="00D97334">
              <w:rPr>
                <w:szCs w:val="28"/>
              </w:rPr>
              <w:t>предметы мебели должны быть в разобранном состоянии.</w:t>
            </w:r>
          </w:p>
        </w:tc>
        <w:tc>
          <w:tcPr>
            <w:tcW w:w="2693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92C" w:rsidRPr="00D97334" w:rsidTr="00A51F55">
        <w:tc>
          <w:tcPr>
            <w:tcW w:w="6516" w:type="dxa"/>
          </w:tcPr>
          <w:p w:rsidR="0053792C" w:rsidRPr="00D97334" w:rsidRDefault="0053792C" w:rsidP="00CE302F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7) Пунктом 3.1 раздела </w:t>
            </w:r>
            <w:r w:rsidRPr="00D97334">
              <w:rPr>
                <w:rFonts w:cs="Times New Roman"/>
                <w:szCs w:val="28"/>
                <w:lang w:val="en-US"/>
              </w:rPr>
              <w:t>IV</w:t>
            </w:r>
            <w:r w:rsidRPr="00D97334">
              <w:rPr>
                <w:rFonts w:cs="Times New Roman"/>
                <w:szCs w:val="28"/>
              </w:rPr>
              <w:t xml:space="preserve"> предусмотрено, что для накопления опасных отходов используются специализированные контейнеры, позволяющие избежать попадания опасных компонентов                                 в окружающую среду.</w:t>
            </w:r>
          </w:p>
        </w:tc>
        <w:tc>
          <w:tcPr>
            <w:tcW w:w="2693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92C" w:rsidRPr="00D97334" w:rsidTr="00A51F55">
        <w:tc>
          <w:tcPr>
            <w:tcW w:w="6516" w:type="dxa"/>
          </w:tcPr>
          <w:p w:rsidR="0053792C" w:rsidRPr="00D97334" w:rsidRDefault="0053792C" w:rsidP="006D35CD">
            <w:pPr>
              <w:ind w:left="57" w:right="57"/>
              <w:rPr>
                <w:rFonts w:cs="Times New Roman"/>
                <w:szCs w:val="28"/>
              </w:rPr>
            </w:pPr>
            <w:r w:rsidRPr="00D97334">
              <w:rPr>
                <w:rFonts w:cs="Times New Roman"/>
                <w:szCs w:val="28"/>
              </w:rPr>
              <w:t xml:space="preserve">8) Пунктом 3.3 раздела </w:t>
            </w:r>
            <w:r w:rsidRPr="00D97334">
              <w:rPr>
                <w:rFonts w:cs="Times New Roman"/>
                <w:szCs w:val="28"/>
                <w:lang w:val="en-US"/>
              </w:rPr>
              <w:t>IV</w:t>
            </w:r>
            <w:r w:rsidRPr="00D97334">
              <w:rPr>
                <w:rFonts w:cs="Times New Roman"/>
                <w:szCs w:val="28"/>
              </w:rPr>
              <w:t xml:space="preserve"> предусмотрено, что н</w:t>
            </w:r>
            <w:r w:rsidRPr="00D97334">
              <w:rPr>
                <w:szCs w:val="28"/>
              </w:rPr>
              <w:t>акопленные опасные отходы передаются на утилизацию, в лицензированные специализированные организации.</w:t>
            </w:r>
          </w:p>
        </w:tc>
        <w:tc>
          <w:tcPr>
            <w:tcW w:w="2693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792C" w:rsidRPr="00D97334" w:rsidRDefault="0053792C" w:rsidP="00E43296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7743D" w:rsidRPr="00D97334" w:rsidRDefault="0027743D" w:rsidP="0027743D">
      <w:pPr>
        <w:rPr>
          <w:rFonts w:cs="Times New Roman"/>
          <w:sz w:val="10"/>
          <w:szCs w:val="10"/>
        </w:rPr>
      </w:pPr>
    </w:p>
    <w:p w:rsidR="0027743D" w:rsidRPr="00D97334" w:rsidRDefault="0027743D" w:rsidP="0027743D">
      <w:pPr>
        <w:jc w:val="center"/>
        <w:rPr>
          <w:rFonts w:cs="Times New Roman"/>
          <w:sz w:val="18"/>
          <w:szCs w:val="18"/>
        </w:rPr>
      </w:pPr>
    </w:p>
    <w:p w:rsidR="0027743D" w:rsidRPr="00D97334" w:rsidRDefault="0027743D" w:rsidP="0027743D">
      <w:pPr>
        <w:ind w:firstLine="567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Приложения: </w:t>
      </w:r>
    </w:p>
    <w:p w:rsidR="0027743D" w:rsidRPr="00D97334" w:rsidRDefault="0027743D" w:rsidP="0027743D">
      <w:pPr>
        <w:ind w:firstLine="567"/>
        <w:rPr>
          <w:rFonts w:cs="Times New Roman"/>
          <w:sz w:val="18"/>
          <w:szCs w:val="18"/>
        </w:rPr>
      </w:pPr>
      <w:r w:rsidRPr="00D97334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EF4D73" w:rsidRPr="00D97334" w:rsidRDefault="0027743D" w:rsidP="006240EB">
      <w:pPr>
        <w:ind w:firstLine="567"/>
        <w:contextualSpacing/>
        <w:jc w:val="both"/>
        <w:rPr>
          <w:rFonts w:eastAsia="Calibri" w:cs="Times New Roman"/>
          <w:szCs w:val="28"/>
        </w:rPr>
        <w:sectPr w:rsidR="00EF4D73" w:rsidRPr="00D97334" w:rsidSect="00312C97">
          <w:headerReference w:type="default" r:id="rId7"/>
          <w:pgSz w:w="16838" w:h="11906" w:orient="landscape" w:code="9"/>
          <w:pgMar w:top="567" w:right="1134" w:bottom="1701" w:left="1134" w:header="720" w:footer="720" w:gutter="0"/>
          <w:cols w:space="720"/>
          <w:noEndnote/>
          <w:docGrid w:linePitch="326"/>
        </w:sectPr>
      </w:pPr>
      <w:r w:rsidRPr="00D97334">
        <w:rPr>
          <w:rFonts w:cs="Times New Roman"/>
          <w:szCs w:val="28"/>
        </w:rPr>
        <w:t>2. Свод предложений о результатах проведения публичных консультаций.</w:t>
      </w:r>
      <w:bookmarkEnd w:id="0"/>
    </w:p>
    <w:p w:rsidR="00440BDB" w:rsidRPr="00D97334" w:rsidRDefault="00440BDB" w:rsidP="00440BDB">
      <w:pPr>
        <w:jc w:val="right"/>
        <w:rPr>
          <w:rFonts w:eastAsia="Calibri" w:cs="Times New Roman"/>
          <w:szCs w:val="28"/>
        </w:rPr>
      </w:pPr>
      <w:r w:rsidRPr="00D97334">
        <w:rPr>
          <w:rFonts w:eastAsia="Calibri" w:cs="Times New Roman"/>
          <w:szCs w:val="28"/>
        </w:rPr>
        <w:lastRenderedPageBreak/>
        <w:t>Приложение</w:t>
      </w:r>
    </w:p>
    <w:p w:rsidR="00440BDB" w:rsidRPr="00D97334" w:rsidRDefault="00440BDB" w:rsidP="00440BDB">
      <w:pPr>
        <w:jc w:val="right"/>
        <w:rPr>
          <w:rFonts w:eastAsia="Calibri" w:cs="Times New Roman"/>
          <w:szCs w:val="28"/>
        </w:rPr>
      </w:pPr>
      <w:r w:rsidRPr="00D97334">
        <w:rPr>
          <w:rFonts w:eastAsia="Calibri" w:cs="Times New Roman"/>
          <w:szCs w:val="28"/>
        </w:rPr>
        <w:t>к отчету об экспертизе</w:t>
      </w:r>
    </w:p>
    <w:p w:rsidR="00440BDB" w:rsidRPr="00D97334" w:rsidRDefault="00440BDB" w:rsidP="00440BDB">
      <w:pPr>
        <w:jc w:val="right"/>
        <w:rPr>
          <w:rFonts w:eastAsia="Calibri" w:cs="Times New Roman"/>
          <w:szCs w:val="28"/>
        </w:rPr>
      </w:pPr>
      <w:r w:rsidRPr="00D97334">
        <w:rPr>
          <w:rFonts w:eastAsia="Calibri" w:cs="Times New Roman"/>
          <w:szCs w:val="28"/>
        </w:rPr>
        <w:t xml:space="preserve">действующего муниципального </w:t>
      </w:r>
    </w:p>
    <w:p w:rsidR="00440BDB" w:rsidRPr="00D97334" w:rsidRDefault="00440BDB" w:rsidP="00440BDB">
      <w:pPr>
        <w:jc w:val="right"/>
        <w:rPr>
          <w:rFonts w:eastAsia="Calibri" w:cs="Times New Roman"/>
          <w:szCs w:val="28"/>
        </w:rPr>
      </w:pPr>
      <w:r w:rsidRPr="00D97334">
        <w:rPr>
          <w:rFonts w:eastAsia="Calibri" w:cs="Times New Roman"/>
          <w:szCs w:val="28"/>
        </w:rPr>
        <w:t>нормативного правового акта</w:t>
      </w:r>
    </w:p>
    <w:p w:rsidR="00440BDB" w:rsidRPr="00D97334" w:rsidRDefault="00440BDB" w:rsidP="00440BDB">
      <w:pPr>
        <w:jc w:val="center"/>
        <w:rPr>
          <w:rFonts w:eastAsia="Calibri" w:cs="Times New Roman"/>
          <w:szCs w:val="28"/>
        </w:rPr>
      </w:pPr>
    </w:p>
    <w:p w:rsidR="00440BDB" w:rsidRPr="00D97334" w:rsidRDefault="00440BDB" w:rsidP="00440BDB">
      <w:pPr>
        <w:jc w:val="center"/>
        <w:rPr>
          <w:rFonts w:eastAsia="Calibri" w:cs="Times New Roman"/>
          <w:szCs w:val="28"/>
        </w:rPr>
      </w:pPr>
      <w:r w:rsidRPr="00D97334">
        <w:rPr>
          <w:rFonts w:eastAsia="Calibri" w:cs="Times New Roman"/>
          <w:szCs w:val="28"/>
        </w:rPr>
        <w:t>Расчет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</w:t>
      </w:r>
    </w:p>
    <w:p w:rsidR="00440BDB" w:rsidRPr="00D97334" w:rsidRDefault="00440BDB" w:rsidP="00440BDB">
      <w:pPr>
        <w:jc w:val="center"/>
        <w:rPr>
          <w:rFonts w:eastAsia="Times New Roman" w:cs="Times New Roman"/>
          <w:szCs w:val="28"/>
          <w:lang w:eastAsia="ru-RU"/>
        </w:rPr>
      </w:pPr>
    </w:p>
    <w:p w:rsidR="00440BDB" w:rsidRPr="00D97334" w:rsidRDefault="00440BDB" w:rsidP="00440BD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97334">
        <w:rPr>
          <w:rFonts w:eastAsia="Times New Roman" w:cs="Times New Roman"/>
          <w:b/>
          <w:szCs w:val="28"/>
          <w:lang w:eastAsia="ru-RU"/>
        </w:rPr>
        <w:t>Сумма содержательных издержек</w:t>
      </w:r>
    </w:p>
    <w:p w:rsidR="00440BDB" w:rsidRPr="00D97334" w:rsidRDefault="00440BDB" w:rsidP="00440BDB">
      <w:pPr>
        <w:jc w:val="center"/>
        <w:rPr>
          <w:rFonts w:eastAsia="Times New Roman" w:cs="Times New Roman"/>
          <w:szCs w:val="28"/>
          <w:lang w:eastAsia="ru-RU"/>
        </w:rPr>
      </w:pPr>
    </w:p>
    <w:p w:rsidR="0053792C" w:rsidRPr="00D97334" w:rsidRDefault="00533838" w:rsidP="00047BF0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1)</w:t>
      </w:r>
      <w:r w:rsidR="00440BDB" w:rsidRPr="00D97334">
        <w:rPr>
          <w:rFonts w:cs="Times New Roman"/>
          <w:szCs w:val="28"/>
        </w:rPr>
        <w:t xml:space="preserve">  </w:t>
      </w:r>
      <w:r w:rsidR="0053792C" w:rsidRPr="00D97334">
        <w:rPr>
          <w:rFonts w:cs="Times New Roman"/>
          <w:iCs/>
          <w:szCs w:val="28"/>
        </w:rPr>
        <w:t xml:space="preserve">Пунктами 2, 3.5, 3.9 раздела </w:t>
      </w:r>
      <w:r w:rsidR="0053792C" w:rsidRPr="00D97334">
        <w:rPr>
          <w:rFonts w:cs="Times New Roman"/>
          <w:szCs w:val="28"/>
          <w:lang w:val="en-US"/>
        </w:rPr>
        <w:t>II</w:t>
      </w:r>
      <w:r w:rsidR="0053792C" w:rsidRPr="00D97334">
        <w:rPr>
          <w:rFonts w:cs="Times New Roman"/>
          <w:iCs/>
          <w:szCs w:val="28"/>
        </w:rPr>
        <w:t xml:space="preserve"> Порядка предусмотрено накопление, в том числе раздельное накопление ТКО в контейнеры, бункеры, расположенные на контейнерных площадках и требования к используемым контейнерам.</w:t>
      </w:r>
    </w:p>
    <w:p w:rsidR="00440BDB" w:rsidRPr="00D97334" w:rsidRDefault="00440BDB" w:rsidP="00047BF0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Приобретение контейнера для накопления твёрдых коммунальных отходов (информация из сети интернет,</w:t>
      </w:r>
      <w:r w:rsidR="00EF4D73" w:rsidRPr="00D97334">
        <w:rPr>
          <w:rFonts w:cs="Times New Roman"/>
          <w:szCs w:val="28"/>
        </w:rPr>
        <w:t xml:space="preserve"> </w:t>
      </w:r>
      <w:r w:rsidRPr="00D97334">
        <w:rPr>
          <w:rFonts w:cs="Times New Roman"/>
          <w:szCs w:val="28"/>
        </w:rPr>
        <w:t>с о</w:t>
      </w:r>
      <w:r w:rsidR="0053792C" w:rsidRPr="00D97334">
        <w:rPr>
          <w:rFonts w:cs="Times New Roman"/>
          <w:szCs w:val="28"/>
        </w:rPr>
        <w:t>фициальных сайтов предприятий)</w:t>
      </w:r>
      <w:r w:rsidRPr="00D97334">
        <w:rPr>
          <w:rFonts w:cs="Times New Roman"/>
          <w:szCs w:val="28"/>
        </w:rPr>
        <w:t xml:space="preserve"> – </w:t>
      </w:r>
      <w:r w:rsidRPr="00D97334">
        <w:rPr>
          <w:rFonts w:cs="Times New Roman"/>
          <w:b/>
          <w:szCs w:val="28"/>
        </w:rPr>
        <w:t>15000</w:t>
      </w:r>
      <w:r w:rsidRPr="00D97334">
        <w:rPr>
          <w:rFonts w:cs="Times New Roman"/>
          <w:szCs w:val="28"/>
        </w:rPr>
        <w:t xml:space="preserve"> </w:t>
      </w:r>
      <w:r w:rsidRPr="00D97334">
        <w:rPr>
          <w:rFonts w:cs="Times New Roman"/>
          <w:b/>
          <w:szCs w:val="28"/>
        </w:rPr>
        <w:t>руб.</w:t>
      </w:r>
      <w:r w:rsidR="00A51F55" w:rsidRPr="00D97334">
        <w:rPr>
          <w:rFonts w:cs="Times New Roman"/>
          <w:szCs w:val="28"/>
        </w:rPr>
        <w:t xml:space="preserve"> (в среднем на</w:t>
      </w:r>
      <w:r w:rsidR="00AB4D22" w:rsidRPr="00D97334">
        <w:rPr>
          <w:rFonts w:cs="Times New Roman"/>
          <w:szCs w:val="28"/>
        </w:rPr>
        <w:t xml:space="preserve"> 1</w:t>
      </w:r>
      <w:r w:rsidR="00A51F55" w:rsidRPr="00D97334">
        <w:rPr>
          <w:rFonts w:cs="Times New Roman"/>
          <w:szCs w:val="28"/>
        </w:rPr>
        <w:t xml:space="preserve"> площадке </w:t>
      </w:r>
      <w:r w:rsidR="00470853" w:rsidRPr="00D97334">
        <w:rPr>
          <w:rFonts w:cs="Times New Roman"/>
          <w:szCs w:val="28"/>
        </w:rPr>
        <w:t>устанавливается</w:t>
      </w:r>
      <w:r w:rsidR="00A51F55" w:rsidRPr="00D97334">
        <w:rPr>
          <w:rFonts w:cs="Times New Roman"/>
          <w:szCs w:val="28"/>
        </w:rPr>
        <w:t xml:space="preserve"> </w:t>
      </w:r>
      <w:r w:rsidR="00CA36CC" w:rsidRPr="00D97334">
        <w:rPr>
          <w:rFonts w:cs="Times New Roman"/>
          <w:szCs w:val="28"/>
        </w:rPr>
        <w:t>5</w:t>
      </w:r>
      <w:r w:rsidR="00A51F55" w:rsidRPr="00D97334">
        <w:rPr>
          <w:rFonts w:cs="Times New Roman"/>
          <w:szCs w:val="28"/>
        </w:rPr>
        <w:t xml:space="preserve"> контейнер</w:t>
      </w:r>
      <w:r w:rsidR="00CA36CC" w:rsidRPr="00D97334">
        <w:rPr>
          <w:rFonts w:cs="Times New Roman"/>
          <w:szCs w:val="28"/>
        </w:rPr>
        <w:t>ов</w:t>
      </w:r>
      <w:r w:rsidR="00A51F55" w:rsidRPr="00D97334">
        <w:rPr>
          <w:rFonts w:cs="Times New Roman"/>
          <w:szCs w:val="28"/>
        </w:rPr>
        <w:t>)</w:t>
      </w:r>
      <w:r w:rsidR="00EF4D73" w:rsidRPr="00D97334">
        <w:rPr>
          <w:rFonts w:cs="Times New Roman"/>
          <w:szCs w:val="28"/>
        </w:rPr>
        <w:t>.</w:t>
      </w:r>
    </w:p>
    <w:p w:rsidR="0053792C" w:rsidRPr="00D97334" w:rsidRDefault="0053792C" w:rsidP="00047BF0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iCs/>
          <w:szCs w:val="28"/>
        </w:rPr>
        <w:t xml:space="preserve">2) Пунктами 3.1, 3.3, 3.9 раздела </w:t>
      </w:r>
      <w:r w:rsidRPr="00D97334">
        <w:rPr>
          <w:rFonts w:cs="Times New Roman"/>
          <w:szCs w:val="28"/>
          <w:lang w:val="en-US"/>
        </w:rPr>
        <w:t>II</w:t>
      </w:r>
      <w:r w:rsidRPr="00D97334">
        <w:rPr>
          <w:rFonts w:cs="Times New Roman"/>
          <w:iCs/>
          <w:szCs w:val="28"/>
        </w:rPr>
        <w:t xml:space="preserve"> Порядка предусмотрено, требование об осуществлении накопления ТКО на контейнерных площадках, и требования к их обустройству.</w:t>
      </w:r>
    </w:p>
    <w:p w:rsidR="00440BDB" w:rsidRPr="00D97334" w:rsidRDefault="00440BDB" w:rsidP="00047BF0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 xml:space="preserve">Обустройство площадки для накопления твёрдых коммунальных отходов </w:t>
      </w:r>
      <w:r w:rsidR="00047BF0" w:rsidRPr="00D97334">
        <w:rPr>
          <w:rFonts w:cs="Times New Roman"/>
          <w:szCs w:val="28"/>
        </w:rPr>
        <w:t xml:space="preserve">(информация из сети интернет) </w:t>
      </w:r>
      <w:r w:rsidRPr="00D97334">
        <w:rPr>
          <w:rFonts w:cs="Times New Roman"/>
          <w:szCs w:val="28"/>
        </w:rPr>
        <w:t xml:space="preserve">– </w:t>
      </w:r>
      <w:r w:rsidRPr="00D97334">
        <w:rPr>
          <w:rFonts w:cs="Times New Roman"/>
          <w:b/>
          <w:szCs w:val="28"/>
        </w:rPr>
        <w:t>227</w:t>
      </w:r>
      <w:r w:rsidR="00047BF0" w:rsidRPr="00D97334">
        <w:rPr>
          <w:rFonts w:cs="Times New Roman"/>
          <w:b/>
          <w:szCs w:val="28"/>
        </w:rPr>
        <w:t xml:space="preserve"> </w:t>
      </w:r>
      <w:r w:rsidRPr="00D97334">
        <w:rPr>
          <w:rFonts w:cs="Times New Roman"/>
          <w:b/>
          <w:szCs w:val="28"/>
        </w:rPr>
        <w:t>000,21</w:t>
      </w:r>
      <w:r w:rsidRPr="00D97334">
        <w:rPr>
          <w:rFonts w:cs="Times New Roman"/>
          <w:szCs w:val="28"/>
        </w:rPr>
        <w:t xml:space="preserve"> </w:t>
      </w:r>
      <w:r w:rsidRPr="00D97334">
        <w:rPr>
          <w:rFonts w:cs="Times New Roman"/>
          <w:b/>
          <w:szCs w:val="28"/>
        </w:rPr>
        <w:t>руб.</w:t>
      </w:r>
      <w:r w:rsidR="00AB4D22" w:rsidRPr="00D97334">
        <w:t xml:space="preserve"> </w:t>
      </w:r>
    </w:p>
    <w:p w:rsidR="0053792C" w:rsidRPr="00D97334" w:rsidRDefault="00047BF0" w:rsidP="00047BF0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iCs/>
          <w:szCs w:val="28"/>
        </w:rPr>
        <w:t xml:space="preserve">3) </w:t>
      </w:r>
      <w:r w:rsidRPr="00D97334">
        <w:rPr>
          <w:rFonts w:cs="Times New Roman"/>
          <w:szCs w:val="28"/>
        </w:rPr>
        <w:t xml:space="preserve">Пунктом 1 раздела </w:t>
      </w:r>
      <w:r w:rsidRPr="00D97334">
        <w:rPr>
          <w:rFonts w:cs="Times New Roman"/>
          <w:szCs w:val="28"/>
          <w:lang w:val="en-US"/>
        </w:rPr>
        <w:t>IV</w:t>
      </w:r>
      <w:r w:rsidRPr="00D97334">
        <w:rPr>
          <w:rFonts w:cs="Times New Roman"/>
          <w:szCs w:val="28"/>
        </w:rPr>
        <w:t xml:space="preserve"> предусмотрено, требование об осуществлении накопления </w:t>
      </w:r>
      <w:r w:rsidRPr="00D97334">
        <w:rPr>
          <w:rFonts w:cs="Times New Roman"/>
          <w:iCs/>
          <w:szCs w:val="28"/>
        </w:rPr>
        <w:t>крупногабаритных отходов на специализированных площадках.</w:t>
      </w:r>
    </w:p>
    <w:p w:rsidR="00047BF0" w:rsidRPr="00D97334" w:rsidRDefault="00B46129" w:rsidP="00047BF0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 xml:space="preserve">Обустройство площадки для накопления крупногабаритных отходов </w:t>
      </w:r>
      <w:r w:rsidR="00047BF0" w:rsidRPr="00D97334">
        <w:rPr>
          <w:rFonts w:cs="Times New Roman"/>
          <w:szCs w:val="28"/>
        </w:rPr>
        <w:t xml:space="preserve">(информация из сети интернет) </w:t>
      </w:r>
      <w:r w:rsidRPr="00D97334">
        <w:rPr>
          <w:rFonts w:cs="Times New Roman"/>
          <w:szCs w:val="28"/>
        </w:rPr>
        <w:t xml:space="preserve">– </w:t>
      </w:r>
      <w:r w:rsidRPr="00D97334">
        <w:rPr>
          <w:rFonts w:cs="Times New Roman"/>
          <w:b/>
          <w:szCs w:val="28"/>
        </w:rPr>
        <w:t>227</w:t>
      </w:r>
      <w:r w:rsidR="00047BF0" w:rsidRPr="00D97334">
        <w:rPr>
          <w:rFonts w:cs="Times New Roman"/>
          <w:b/>
          <w:szCs w:val="28"/>
        </w:rPr>
        <w:t xml:space="preserve"> </w:t>
      </w:r>
      <w:r w:rsidRPr="00D97334">
        <w:rPr>
          <w:rFonts w:cs="Times New Roman"/>
          <w:b/>
          <w:szCs w:val="28"/>
        </w:rPr>
        <w:t>000,21 руб.</w:t>
      </w:r>
      <w:r w:rsidRPr="00D97334">
        <w:rPr>
          <w:rFonts w:cs="Times New Roman"/>
          <w:szCs w:val="28"/>
        </w:rPr>
        <w:t xml:space="preserve"> </w:t>
      </w:r>
    </w:p>
    <w:p w:rsidR="00047BF0" w:rsidRPr="00D97334" w:rsidRDefault="00047BF0" w:rsidP="00047BF0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iCs/>
          <w:szCs w:val="28"/>
        </w:rPr>
        <w:t xml:space="preserve">4) Пунктом 3.12. раздела </w:t>
      </w:r>
      <w:r w:rsidRPr="00D97334">
        <w:rPr>
          <w:rFonts w:cs="Times New Roman"/>
          <w:szCs w:val="28"/>
          <w:lang w:val="en-US"/>
        </w:rPr>
        <w:t>II</w:t>
      </w:r>
      <w:r w:rsidRPr="00D97334">
        <w:rPr>
          <w:rFonts w:cs="Times New Roman"/>
          <w:iCs/>
          <w:szCs w:val="28"/>
        </w:rPr>
        <w:t xml:space="preserve"> Порядка предусмотрена, обязанность содержания контейнерных площадок, специальных площадок для складирования крупногабаритных отходов (далее – КГО)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доме.</w:t>
      </w:r>
      <w:r w:rsidR="00470853" w:rsidRPr="00D97334">
        <w:rPr>
          <w:rFonts w:cs="Times New Roman"/>
          <w:iCs/>
          <w:szCs w:val="28"/>
        </w:rPr>
        <w:t xml:space="preserve"> </w:t>
      </w:r>
      <w:r w:rsidR="00470853" w:rsidRPr="00D97334">
        <w:rPr>
          <w:rFonts w:cs="Times New Roman"/>
          <w:szCs w:val="28"/>
        </w:rPr>
        <w:t xml:space="preserve">Пунктом 1.2 раздела </w:t>
      </w:r>
      <w:r w:rsidR="00470853" w:rsidRPr="00D97334">
        <w:rPr>
          <w:rFonts w:cs="Times New Roman"/>
          <w:szCs w:val="28"/>
          <w:lang w:val="en-US"/>
        </w:rPr>
        <w:t>IV</w:t>
      </w:r>
      <w:r w:rsidR="00470853" w:rsidRPr="00D97334">
        <w:rPr>
          <w:rFonts w:cs="Times New Roman"/>
          <w:szCs w:val="28"/>
        </w:rPr>
        <w:t xml:space="preserve"> предусмотрено, что КГО, в частности </w:t>
      </w:r>
      <w:r w:rsidR="00470853" w:rsidRPr="00D97334">
        <w:rPr>
          <w:szCs w:val="28"/>
        </w:rPr>
        <w:t>предметы мебели должны быть в разобранном состоянии.</w:t>
      </w:r>
    </w:p>
    <w:p w:rsidR="00A51F55" w:rsidRPr="00D97334" w:rsidRDefault="00A51F55" w:rsidP="00047BF0">
      <w:pPr>
        <w:ind w:firstLine="708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Содержание контейнерной площадки</w:t>
      </w:r>
      <w:r w:rsidR="00047BF0" w:rsidRPr="00D97334">
        <w:rPr>
          <w:rFonts w:cs="Times New Roman"/>
          <w:szCs w:val="28"/>
        </w:rPr>
        <w:t>, специальной площадки для складирования КГО</w:t>
      </w:r>
      <w:r w:rsidR="0085766A" w:rsidRPr="00D97334">
        <w:rPr>
          <w:rFonts w:cs="Times New Roman"/>
          <w:szCs w:val="28"/>
        </w:rPr>
        <w:t xml:space="preserve"> в год</w:t>
      </w:r>
      <w:r w:rsidR="006E1058" w:rsidRPr="00D97334">
        <w:rPr>
          <w:rFonts w:cs="Times New Roman"/>
          <w:szCs w:val="28"/>
        </w:rPr>
        <w:t>, включая разборку мебели</w:t>
      </w:r>
      <w:r w:rsidR="00AB4D22" w:rsidRPr="00D97334">
        <w:rPr>
          <w:rFonts w:cs="Times New Roman"/>
          <w:szCs w:val="28"/>
        </w:rPr>
        <w:t xml:space="preserve"> </w:t>
      </w:r>
      <w:r w:rsidR="00047BF0" w:rsidRPr="00D97334">
        <w:rPr>
          <w:rFonts w:cs="Times New Roman"/>
          <w:szCs w:val="28"/>
        </w:rPr>
        <w:t xml:space="preserve">(смета расходов управляющей организации) - </w:t>
      </w:r>
      <w:r w:rsidR="0008095D" w:rsidRPr="00D97334">
        <w:rPr>
          <w:rFonts w:cs="Times New Roman"/>
          <w:b/>
          <w:szCs w:val="28"/>
        </w:rPr>
        <w:t>24 706,44</w:t>
      </w:r>
      <w:r w:rsidR="00047BF0" w:rsidRPr="00D97334">
        <w:rPr>
          <w:rFonts w:cs="Times New Roman"/>
          <w:szCs w:val="28"/>
        </w:rPr>
        <w:t xml:space="preserve"> </w:t>
      </w:r>
      <w:r w:rsidR="00047BF0" w:rsidRPr="00D97334">
        <w:rPr>
          <w:rFonts w:cs="Times New Roman"/>
          <w:b/>
          <w:szCs w:val="28"/>
        </w:rPr>
        <w:t>руб.</w:t>
      </w:r>
      <w:r w:rsidR="00AB4D22" w:rsidRPr="00D97334">
        <w:rPr>
          <w:rFonts w:cs="Times New Roman"/>
          <w:szCs w:val="28"/>
        </w:rPr>
        <w:t xml:space="preserve"> </w:t>
      </w:r>
    </w:p>
    <w:p w:rsidR="00135134" w:rsidRPr="00D97334" w:rsidRDefault="00B46129" w:rsidP="00440BDB">
      <w:pPr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 xml:space="preserve">        </w:t>
      </w:r>
      <w:r w:rsidR="00C87AEF" w:rsidRPr="00D97334">
        <w:rPr>
          <w:rFonts w:cs="Times New Roman"/>
          <w:szCs w:val="28"/>
        </w:rPr>
        <w:t xml:space="preserve">5) </w:t>
      </w:r>
      <w:r w:rsidR="00135134" w:rsidRPr="00D97334">
        <w:rPr>
          <w:rFonts w:cs="Times New Roman"/>
          <w:szCs w:val="28"/>
        </w:rPr>
        <w:t xml:space="preserve">Пунктом 3.14 раздела </w:t>
      </w:r>
      <w:r w:rsidR="00135134" w:rsidRPr="00D97334">
        <w:rPr>
          <w:rFonts w:cs="Times New Roman"/>
          <w:szCs w:val="28"/>
          <w:lang w:val="en-US"/>
        </w:rPr>
        <w:t>II</w:t>
      </w:r>
      <w:r w:rsidR="00135134" w:rsidRPr="00D97334">
        <w:rPr>
          <w:rFonts w:cs="Times New Roman"/>
          <w:szCs w:val="28"/>
        </w:rPr>
        <w:t xml:space="preserve"> Порядка предусмотрено, что лица, ответственные за содержание контейнерных площадок, специальных площадок для складирования КГО, обязаны обеспечить размещение на них информации о собственнике контейнерных площадок, обслуживаемых объектах потребителей, а также об организации, осуществляющей вывоз отходов с данной площадки, телефона для обращений и графика вывоза отходов.</w:t>
      </w:r>
    </w:p>
    <w:p w:rsidR="00B46129" w:rsidRPr="00D97334" w:rsidRDefault="00B46129" w:rsidP="00135134">
      <w:pPr>
        <w:ind w:firstLine="708"/>
        <w:jc w:val="both"/>
        <w:rPr>
          <w:rFonts w:cs="Times New Roman"/>
          <w:b/>
          <w:szCs w:val="28"/>
        </w:rPr>
      </w:pPr>
      <w:r w:rsidRPr="00D97334">
        <w:rPr>
          <w:rFonts w:cs="Times New Roman"/>
          <w:szCs w:val="28"/>
        </w:rPr>
        <w:t>Договор на изготовление и размещение информационных табличек (из расчёта стоимости</w:t>
      </w:r>
      <w:r w:rsidR="008F647E" w:rsidRPr="00D97334">
        <w:rPr>
          <w:rFonts w:cs="Times New Roman"/>
          <w:szCs w:val="28"/>
        </w:rPr>
        <w:t xml:space="preserve"> и крепления</w:t>
      </w:r>
      <w:r w:rsidRPr="00D97334">
        <w:rPr>
          <w:rFonts w:cs="Times New Roman"/>
          <w:szCs w:val="28"/>
        </w:rPr>
        <w:t xml:space="preserve"> 1 таблички) –</w:t>
      </w:r>
      <w:r w:rsidR="008F647E" w:rsidRPr="00D97334">
        <w:rPr>
          <w:rFonts w:cs="Times New Roman"/>
          <w:szCs w:val="28"/>
        </w:rPr>
        <w:t xml:space="preserve">  </w:t>
      </w:r>
      <w:r w:rsidRPr="00D97334">
        <w:rPr>
          <w:rFonts w:cs="Times New Roman"/>
          <w:b/>
          <w:szCs w:val="28"/>
        </w:rPr>
        <w:t>1</w:t>
      </w:r>
      <w:r w:rsidR="008F647E" w:rsidRPr="00D97334">
        <w:rPr>
          <w:rFonts w:cs="Times New Roman"/>
          <w:b/>
          <w:szCs w:val="28"/>
        </w:rPr>
        <w:t xml:space="preserve"> </w:t>
      </w:r>
      <w:r w:rsidRPr="00D97334">
        <w:rPr>
          <w:rFonts w:cs="Times New Roman"/>
          <w:b/>
          <w:szCs w:val="28"/>
        </w:rPr>
        <w:t>159,36 руб</w:t>
      </w:r>
      <w:r w:rsidR="00EF4D73" w:rsidRPr="00D97334">
        <w:rPr>
          <w:rFonts w:cs="Times New Roman"/>
          <w:b/>
          <w:szCs w:val="28"/>
        </w:rPr>
        <w:t>.</w:t>
      </w:r>
    </w:p>
    <w:p w:rsidR="00470853" w:rsidRPr="00D97334" w:rsidRDefault="008F647E" w:rsidP="00440BDB">
      <w:pPr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 xml:space="preserve">         </w:t>
      </w:r>
      <w:r w:rsidR="00C87AEF" w:rsidRPr="00D97334">
        <w:rPr>
          <w:rFonts w:cs="Times New Roman"/>
          <w:szCs w:val="28"/>
        </w:rPr>
        <w:t xml:space="preserve">6) </w:t>
      </w:r>
      <w:r w:rsidR="00470853" w:rsidRPr="00D97334">
        <w:rPr>
          <w:rFonts w:cs="Times New Roman"/>
          <w:szCs w:val="28"/>
        </w:rPr>
        <w:t xml:space="preserve">Пунктом 3.1 раздела </w:t>
      </w:r>
      <w:r w:rsidR="00470853" w:rsidRPr="00D97334">
        <w:rPr>
          <w:rFonts w:cs="Times New Roman"/>
          <w:szCs w:val="28"/>
          <w:lang w:val="en-US"/>
        </w:rPr>
        <w:t>IV</w:t>
      </w:r>
      <w:r w:rsidR="00470853" w:rsidRPr="00D97334">
        <w:rPr>
          <w:rFonts w:cs="Times New Roman"/>
          <w:szCs w:val="28"/>
        </w:rPr>
        <w:t xml:space="preserve"> предусмотрено, что для накопления опасных отходов используются специализированные контейнеры, позволяющие избежать </w:t>
      </w:r>
      <w:r w:rsidR="00470853" w:rsidRPr="00D97334">
        <w:rPr>
          <w:rFonts w:cs="Times New Roman"/>
          <w:szCs w:val="28"/>
        </w:rPr>
        <w:lastRenderedPageBreak/>
        <w:t xml:space="preserve">попадания опасных компонентов в окружающую среду. Пунктом 3.3 раздела </w:t>
      </w:r>
      <w:r w:rsidR="00470853" w:rsidRPr="00D97334">
        <w:rPr>
          <w:rFonts w:cs="Times New Roman"/>
          <w:szCs w:val="28"/>
          <w:lang w:val="en-US"/>
        </w:rPr>
        <w:t>IV</w:t>
      </w:r>
      <w:r w:rsidR="00470853" w:rsidRPr="00D97334">
        <w:rPr>
          <w:rFonts w:cs="Times New Roman"/>
          <w:szCs w:val="28"/>
        </w:rPr>
        <w:t xml:space="preserve"> предусмотрено, что н</w:t>
      </w:r>
      <w:r w:rsidR="00470853" w:rsidRPr="00D97334">
        <w:rPr>
          <w:szCs w:val="28"/>
        </w:rPr>
        <w:t>акопленные опасные отходы передаются на утилизацию, в лицензированные специализированные организации.</w:t>
      </w:r>
    </w:p>
    <w:p w:rsidR="008F647E" w:rsidRPr="00D97334" w:rsidRDefault="008F647E" w:rsidP="00470853">
      <w:pPr>
        <w:ind w:firstLine="708"/>
        <w:jc w:val="both"/>
        <w:rPr>
          <w:rFonts w:cs="Times New Roman"/>
          <w:b/>
          <w:szCs w:val="28"/>
        </w:rPr>
      </w:pPr>
      <w:r w:rsidRPr="00D97334">
        <w:rPr>
          <w:rFonts w:cs="Times New Roman"/>
          <w:szCs w:val="28"/>
        </w:rPr>
        <w:t>Договор на поставку и обслуживание контейнеров для накопления опасных (ртутьсодержащих) отходов</w:t>
      </w:r>
      <w:r w:rsidR="0085766A" w:rsidRPr="00D97334">
        <w:rPr>
          <w:rFonts w:cs="Times New Roman"/>
          <w:szCs w:val="28"/>
        </w:rPr>
        <w:t xml:space="preserve"> в год</w:t>
      </w:r>
      <w:r w:rsidRPr="00D97334">
        <w:rPr>
          <w:rFonts w:cs="Times New Roman"/>
          <w:szCs w:val="28"/>
        </w:rPr>
        <w:t xml:space="preserve"> (из расчёта</w:t>
      </w:r>
      <w:r w:rsidR="0085766A" w:rsidRPr="00D97334">
        <w:rPr>
          <w:rFonts w:cs="Times New Roman"/>
          <w:szCs w:val="28"/>
        </w:rPr>
        <w:t xml:space="preserve"> </w:t>
      </w:r>
      <w:r w:rsidRPr="00D97334">
        <w:rPr>
          <w:rFonts w:cs="Times New Roman"/>
          <w:szCs w:val="28"/>
        </w:rPr>
        <w:t xml:space="preserve">1 контейнер) </w:t>
      </w:r>
      <w:r w:rsidR="006E1058" w:rsidRPr="00D97334">
        <w:rPr>
          <w:rFonts w:cs="Times New Roman"/>
          <w:szCs w:val="28"/>
        </w:rPr>
        <w:t>–</w:t>
      </w:r>
      <w:r w:rsidRPr="00D97334">
        <w:rPr>
          <w:rFonts w:cs="Times New Roman"/>
          <w:szCs w:val="28"/>
        </w:rPr>
        <w:t xml:space="preserve"> </w:t>
      </w:r>
      <w:r w:rsidR="0085766A" w:rsidRPr="00D97334">
        <w:rPr>
          <w:rFonts w:cs="Times New Roman"/>
          <w:b/>
          <w:szCs w:val="28"/>
        </w:rPr>
        <w:t>80 000 руб.</w:t>
      </w:r>
    </w:p>
    <w:p w:rsidR="008F647E" w:rsidRPr="00D97334" w:rsidRDefault="008F647E" w:rsidP="00440BDB">
      <w:pPr>
        <w:jc w:val="both"/>
        <w:rPr>
          <w:rFonts w:cs="Times New Roman"/>
          <w:b/>
          <w:szCs w:val="28"/>
        </w:rPr>
      </w:pPr>
    </w:p>
    <w:p w:rsidR="00440BDB" w:rsidRPr="00D97334" w:rsidRDefault="00440BDB" w:rsidP="00440BDB">
      <w:pPr>
        <w:jc w:val="center"/>
        <w:rPr>
          <w:rFonts w:eastAsia="Times New Roman" w:cs="Times New Roman"/>
          <w:szCs w:val="28"/>
          <w:lang w:eastAsia="ru-RU"/>
        </w:rPr>
      </w:pPr>
      <w:r w:rsidRPr="00D97334">
        <w:rPr>
          <w:rFonts w:eastAsia="Times New Roman" w:cs="Times New Roman"/>
          <w:szCs w:val="28"/>
          <w:lang w:eastAsia="ru-RU"/>
        </w:rPr>
        <w:t>Ис</w:t>
      </w:r>
      <w:r w:rsidR="00A51F55" w:rsidRPr="00D97334">
        <w:rPr>
          <w:rFonts w:eastAsia="Times New Roman" w:cs="Times New Roman"/>
          <w:szCs w:val="28"/>
          <w:lang w:eastAsia="ru-RU"/>
        </w:rPr>
        <w:t xml:space="preserve"> </w:t>
      </w:r>
      <w:r w:rsidRPr="00D97334">
        <w:rPr>
          <w:rFonts w:eastAsia="Times New Roman" w:cs="Times New Roman"/>
          <w:szCs w:val="28"/>
          <w:lang w:eastAsia="ru-RU"/>
        </w:rPr>
        <w:t>=</w:t>
      </w:r>
      <w:r w:rsidR="00A51F55" w:rsidRPr="00D97334">
        <w:rPr>
          <w:rFonts w:eastAsia="Times New Roman" w:cs="Times New Roman"/>
          <w:szCs w:val="28"/>
          <w:lang w:eastAsia="ru-RU"/>
        </w:rPr>
        <w:t xml:space="preserve"> </w:t>
      </w:r>
      <w:r w:rsidRPr="00D97334">
        <w:rPr>
          <w:rFonts w:eastAsia="Times New Roman" w:cs="Times New Roman"/>
          <w:szCs w:val="28"/>
          <w:lang w:eastAsia="ru-RU"/>
        </w:rPr>
        <w:t>Тс*</w:t>
      </w:r>
      <w:r w:rsidRPr="00D97334">
        <w:rPr>
          <w:rFonts w:eastAsia="Times New Roman" w:cs="Times New Roman"/>
          <w:szCs w:val="28"/>
          <w:lang w:val="en-US" w:eastAsia="ru-RU"/>
        </w:rPr>
        <w:t>w</w:t>
      </w:r>
      <w:r w:rsidRPr="00D97334">
        <w:rPr>
          <w:rFonts w:eastAsia="Times New Roman" w:cs="Times New Roman"/>
          <w:szCs w:val="28"/>
          <w:lang w:eastAsia="ru-RU"/>
        </w:rPr>
        <w:t xml:space="preserve"> + </w:t>
      </w:r>
      <w:r w:rsidRPr="00D97334">
        <w:rPr>
          <w:rFonts w:eastAsia="Times New Roman" w:cs="Times New Roman"/>
          <w:szCs w:val="28"/>
          <w:lang w:val="en-US" w:eastAsia="ru-RU"/>
        </w:rPr>
        <w:t>Ac</w:t>
      </w:r>
      <w:r w:rsidR="00EF4D73" w:rsidRPr="00D97334">
        <w:rPr>
          <w:rFonts w:eastAsia="Times New Roman" w:cs="Times New Roman"/>
          <w:szCs w:val="28"/>
          <w:lang w:eastAsia="ru-RU"/>
        </w:rPr>
        <w:t>, где:</w:t>
      </w:r>
    </w:p>
    <w:p w:rsidR="00440BDB" w:rsidRPr="00D97334" w:rsidRDefault="00440BDB" w:rsidP="00440BDB">
      <w:pPr>
        <w:jc w:val="center"/>
        <w:rPr>
          <w:rFonts w:eastAsia="Times New Roman" w:cs="Times New Roman"/>
          <w:szCs w:val="28"/>
          <w:lang w:eastAsia="ru-RU"/>
        </w:rPr>
      </w:pPr>
    </w:p>
    <w:p w:rsidR="00A51F55" w:rsidRPr="00D97334" w:rsidRDefault="00440BDB" w:rsidP="00440BDB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 xml:space="preserve">Тc — затраты рабочего времени в часах, на выполнение каждого содержательного требования с учетом показателя масштаба и частоты: </w:t>
      </w:r>
    </w:p>
    <w:p w:rsidR="00440BDB" w:rsidRPr="00D97334" w:rsidRDefault="00440BDB" w:rsidP="00440BDB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  <w:lang w:val="en-US"/>
        </w:rPr>
        <w:t>w</w:t>
      </w:r>
      <w:r w:rsidRPr="00D97334">
        <w:rPr>
          <w:rFonts w:cs="Times New Roman"/>
          <w:szCs w:val="28"/>
        </w:rPr>
        <w:t xml:space="preserve"> —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 </w:t>
      </w:r>
    </w:p>
    <w:p w:rsidR="00440BDB" w:rsidRPr="00D97334" w:rsidRDefault="00440BDB" w:rsidP="00440BDB">
      <w:pPr>
        <w:ind w:firstLine="567"/>
        <w:jc w:val="both"/>
        <w:rPr>
          <w:rFonts w:cs="Times New Roman"/>
          <w:szCs w:val="28"/>
        </w:rPr>
      </w:pPr>
      <w:r w:rsidRPr="00D97334">
        <w:rPr>
          <w:rFonts w:cs="Times New Roman"/>
          <w:szCs w:val="28"/>
        </w:rPr>
        <w:t>Ас — стоимость приобретений, необходимых для выполнения содержательного требования, с учетом показателя масштаба и частоты; масштаб и частоту для данного проекта примем за 1 (затраты единовременны для каждого отдельного предприятия (организации).</w:t>
      </w:r>
    </w:p>
    <w:p w:rsidR="00440BDB" w:rsidRPr="00D97334" w:rsidRDefault="00440BDB" w:rsidP="00440BDB">
      <w:pPr>
        <w:jc w:val="center"/>
        <w:rPr>
          <w:rFonts w:eastAsia="Times New Roman" w:cs="Times New Roman"/>
          <w:szCs w:val="28"/>
          <w:lang w:eastAsia="ru-RU"/>
        </w:rPr>
      </w:pPr>
    </w:p>
    <w:p w:rsidR="00440BDB" w:rsidRDefault="00440BDB" w:rsidP="00EF4D73">
      <w:pPr>
        <w:rPr>
          <w:rFonts w:cs="Times New Roman"/>
          <w:szCs w:val="28"/>
        </w:rPr>
      </w:pPr>
      <w:r w:rsidRPr="00D97334">
        <w:rPr>
          <w:rFonts w:eastAsia="Times New Roman" w:cs="Times New Roman"/>
          <w:szCs w:val="28"/>
          <w:lang w:eastAsia="ru-RU"/>
        </w:rPr>
        <w:t>Ис</w:t>
      </w:r>
      <w:r w:rsidR="00EF4D73" w:rsidRPr="00D97334">
        <w:rPr>
          <w:rFonts w:eastAsia="Times New Roman" w:cs="Times New Roman"/>
          <w:szCs w:val="28"/>
          <w:lang w:eastAsia="ru-RU"/>
        </w:rPr>
        <w:t xml:space="preserve"> </w:t>
      </w:r>
      <w:r w:rsidRPr="00D97334">
        <w:rPr>
          <w:rFonts w:eastAsia="Times New Roman" w:cs="Times New Roman"/>
          <w:szCs w:val="28"/>
          <w:lang w:eastAsia="ru-RU"/>
        </w:rPr>
        <w:t>=</w:t>
      </w:r>
      <w:r w:rsidR="00AB4D22" w:rsidRPr="00D97334">
        <w:rPr>
          <w:rFonts w:eastAsia="Times New Roman" w:cs="Times New Roman"/>
          <w:szCs w:val="28"/>
          <w:lang w:eastAsia="ru-RU"/>
        </w:rPr>
        <w:t xml:space="preserve"> </w:t>
      </w:r>
      <w:r w:rsidR="00C553BA" w:rsidRPr="00D97334">
        <w:rPr>
          <w:rFonts w:eastAsia="Times New Roman" w:cs="Times New Roman"/>
          <w:szCs w:val="28"/>
          <w:lang w:eastAsia="ru-RU"/>
        </w:rPr>
        <w:t xml:space="preserve">(15000*5) + </w:t>
      </w:r>
      <w:r w:rsidR="005C6ACD" w:rsidRPr="00D97334">
        <w:rPr>
          <w:rFonts w:eastAsia="Times New Roman" w:cs="Times New Roman"/>
          <w:szCs w:val="28"/>
          <w:lang w:eastAsia="ru-RU"/>
        </w:rPr>
        <w:t>(</w:t>
      </w:r>
      <w:r w:rsidRPr="00D97334">
        <w:rPr>
          <w:rFonts w:eastAsia="Times New Roman" w:cs="Times New Roman"/>
          <w:szCs w:val="28"/>
          <w:lang w:eastAsia="ru-RU"/>
        </w:rPr>
        <w:t>227000,21</w:t>
      </w:r>
      <w:r w:rsidR="005C6ACD" w:rsidRPr="00D97334">
        <w:rPr>
          <w:rFonts w:eastAsia="Times New Roman" w:cs="Times New Roman"/>
          <w:szCs w:val="28"/>
          <w:lang w:eastAsia="ru-RU"/>
        </w:rPr>
        <w:t>*2)</w:t>
      </w:r>
      <w:r w:rsidR="00EF4D73" w:rsidRPr="00D97334">
        <w:rPr>
          <w:rFonts w:eastAsia="Times New Roman" w:cs="Times New Roman"/>
          <w:szCs w:val="28"/>
          <w:lang w:eastAsia="ru-RU"/>
        </w:rPr>
        <w:t xml:space="preserve"> </w:t>
      </w:r>
      <w:r w:rsidR="0085766A" w:rsidRPr="00D97334">
        <w:rPr>
          <w:rFonts w:eastAsia="Times New Roman" w:cs="Times New Roman"/>
          <w:szCs w:val="28"/>
          <w:lang w:eastAsia="ru-RU"/>
        </w:rPr>
        <w:t>+</w:t>
      </w:r>
      <w:r w:rsidR="00EF4D73" w:rsidRPr="00D97334">
        <w:rPr>
          <w:rFonts w:eastAsia="Times New Roman" w:cs="Times New Roman"/>
          <w:szCs w:val="28"/>
          <w:lang w:eastAsia="ru-RU"/>
        </w:rPr>
        <w:t xml:space="preserve"> </w:t>
      </w:r>
      <w:r w:rsidR="00047BF0" w:rsidRPr="00D97334">
        <w:rPr>
          <w:rFonts w:eastAsia="Times New Roman" w:cs="Times New Roman"/>
          <w:szCs w:val="28"/>
          <w:lang w:eastAsia="ru-RU"/>
        </w:rPr>
        <w:t>(</w:t>
      </w:r>
      <w:r w:rsidR="00C553BA" w:rsidRPr="00D97334">
        <w:rPr>
          <w:rFonts w:eastAsia="Times New Roman" w:cs="Times New Roman"/>
          <w:szCs w:val="28"/>
          <w:lang w:eastAsia="ru-RU"/>
        </w:rPr>
        <w:t xml:space="preserve">24706,44 </w:t>
      </w:r>
      <w:r w:rsidR="00047BF0" w:rsidRPr="00D97334">
        <w:rPr>
          <w:rFonts w:eastAsia="Times New Roman" w:cs="Times New Roman"/>
          <w:szCs w:val="28"/>
          <w:lang w:eastAsia="ru-RU"/>
        </w:rPr>
        <w:t xml:space="preserve">*2) </w:t>
      </w:r>
      <w:r w:rsidR="005F1E27" w:rsidRPr="00D97334">
        <w:rPr>
          <w:rFonts w:eastAsia="Times New Roman" w:cs="Times New Roman"/>
          <w:szCs w:val="28"/>
          <w:lang w:eastAsia="ru-RU"/>
        </w:rPr>
        <w:t xml:space="preserve">+ </w:t>
      </w:r>
      <w:r w:rsidR="00EF4D73" w:rsidRPr="00D97334">
        <w:rPr>
          <w:rFonts w:eastAsia="Times New Roman" w:cs="Times New Roman"/>
          <w:szCs w:val="28"/>
          <w:lang w:eastAsia="ru-RU"/>
        </w:rPr>
        <w:t>(</w:t>
      </w:r>
      <w:r w:rsidR="0085766A" w:rsidRPr="00D97334">
        <w:rPr>
          <w:rFonts w:eastAsia="Times New Roman" w:cs="Times New Roman"/>
          <w:szCs w:val="28"/>
          <w:lang w:eastAsia="ru-RU"/>
        </w:rPr>
        <w:t>1159,36*</w:t>
      </w:r>
      <w:r w:rsidR="005C6ACD" w:rsidRPr="00D97334">
        <w:rPr>
          <w:rFonts w:eastAsia="Times New Roman" w:cs="Times New Roman"/>
          <w:szCs w:val="28"/>
          <w:lang w:eastAsia="ru-RU"/>
        </w:rPr>
        <w:t>2</w:t>
      </w:r>
      <w:r w:rsidR="00EF4D73" w:rsidRPr="00D97334">
        <w:rPr>
          <w:rFonts w:eastAsia="Times New Roman" w:cs="Times New Roman"/>
          <w:szCs w:val="28"/>
          <w:lang w:eastAsia="ru-RU"/>
        </w:rPr>
        <w:t xml:space="preserve">) </w:t>
      </w:r>
      <w:r w:rsidR="0085766A" w:rsidRPr="00D97334">
        <w:rPr>
          <w:rFonts w:eastAsia="Times New Roman" w:cs="Times New Roman"/>
          <w:szCs w:val="28"/>
          <w:lang w:eastAsia="ru-RU"/>
        </w:rPr>
        <w:t>+</w:t>
      </w:r>
      <w:r w:rsidR="00EF4D73" w:rsidRPr="00D97334">
        <w:rPr>
          <w:rFonts w:eastAsia="Times New Roman" w:cs="Times New Roman"/>
          <w:szCs w:val="28"/>
          <w:lang w:eastAsia="ru-RU"/>
        </w:rPr>
        <w:t xml:space="preserve"> </w:t>
      </w:r>
      <w:r w:rsidR="0085766A" w:rsidRPr="00D97334">
        <w:rPr>
          <w:rFonts w:eastAsia="Times New Roman" w:cs="Times New Roman"/>
          <w:szCs w:val="28"/>
          <w:lang w:eastAsia="ru-RU"/>
        </w:rPr>
        <w:t xml:space="preserve">80000 </w:t>
      </w:r>
      <w:r w:rsidRPr="00D97334">
        <w:rPr>
          <w:rFonts w:cs="Times New Roman"/>
          <w:szCs w:val="28"/>
        </w:rPr>
        <w:t>=</w:t>
      </w:r>
      <w:r w:rsidR="005C6ACD" w:rsidRPr="00D97334">
        <w:rPr>
          <w:rFonts w:cs="Times New Roman"/>
          <w:szCs w:val="28"/>
        </w:rPr>
        <w:t xml:space="preserve"> </w:t>
      </w:r>
      <w:r w:rsidR="0085766A" w:rsidRPr="00D97334">
        <w:rPr>
          <w:rFonts w:cs="Times New Roman"/>
          <w:b/>
          <w:szCs w:val="28"/>
        </w:rPr>
        <w:t>6</w:t>
      </w:r>
      <w:r w:rsidR="005C6ACD" w:rsidRPr="00D97334">
        <w:rPr>
          <w:rFonts w:cs="Times New Roman"/>
          <w:b/>
          <w:szCs w:val="28"/>
        </w:rPr>
        <w:t>60 732,02</w:t>
      </w:r>
      <w:r w:rsidR="00AB4D22" w:rsidRPr="00D97334">
        <w:rPr>
          <w:rFonts w:cs="Times New Roman"/>
          <w:b/>
          <w:szCs w:val="28"/>
        </w:rPr>
        <w:t xml:space="preserve"> </w:t>
      </w:r>
      <w:r w:rsidRPr="00D97334">
        <w:rPr>
          <w:rFonts w:cs="Times New Roman"/>
          <w:b/>
          <w:szCs w:val="28"/>
        </w:rPr>
        <w:t>руб.</w:t>
      </w:r>
    </w:p>
    <w:sectPr w:rsidR="00440BDB" w:rsidSect="00EF4D73">
      <w:pgSz w:w="11906" w:h="16838" w:code="9"/>
      <w:pgMar w:top="1134" w:right="567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6B" w:rsidRDefault="003D316B" w:rsidP="006C4EC8">
      <w:r>
        <w:separator/>
      </w:r>
    </w:p>
  </w:endnote>
  <w:endnote w:type="continuationSeparator" w:id="0">
    <w:p w:rsidR="003D316B" w:rsidRDefault="003D316B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6B" w:rsidRDefault="003D316B" w:rsidP="006C4EC8">
      <w:r>
        <w:separator/>
      </w:r>
    </w:p>
  </w:footnote>
  <w:footnote w:type="continuationSeparator" w:id="0">
    <w:p w:rsidR="003D316B" w:rsidRDefault="003D316B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47BF0"/>
    <w:rsid w:val="00051873"/>
    <w:rsid w:val="0008095D"/>
    <w:rsid w:val="000C3C03"/>
    <w:rsid w:val="000D7809"/>
    <w:rsid w:val="001175EC"/>
    <w:rsid w:val="00135134"/>
    <w:rsid w:val="001F632D"/>
    <w:rsid w:val="001F7BBF"/>
    <w:rsid w:val="00222E1D"/>
    <w:rsid w:val="002664E3"/>
    <w:rsid w:val="0027743D"/>
    <w:rsid w:val="00277ABB"/>
    <w:rsid w:val="00285EC9"/>
    <w:rsid w:val="00286A7B"/>
    <w:rsid w:val="00297957"/>
    <w:rsid w:val="002A5C3D"/>
    <w:rsid w:val="002B04FB"/>
    <w:rsid w:val="002E22C3"/>
    <w:rsid w:val="0031171E"/>
    <w:rsid w:val="00312C97"/>
    <w:rsid w:val="00327CB6"/>
    <w:rsid w:val="003616A6"/>
    <w:rsid w:val="003801A2"/>
    <w:rsid w:val="00393E65"/>
    <w:rsid w:val="003B46E0"/>
    <w:rsid w:val="003B6C43"/>
    <w:rsid w:val="003B7143"/>
    <w:rsid w:val="003D316B"/>
    <w:rsid w:val="003D5310"/>
    <w:rsid w:val="003E4645"/>
    <w:rsid w:val="00440BDB"/>
    <w:rsid w:val="00461FFD"/>
    <w:rsid w:val="00470853"/>
    <w:rsid w:val="00470B9D"/>
    <w:rsid w:val="00490C96"/>
    <w:rsid w:val="00493233"/>
    <w:rsid w:val="004A08BD"/>
    <w:rsid w:val="005048A2"/>
    <w:rsid w:val="00507D3B"/>
    <w:rsid w:val="005300A3"/>
    <w:rsid w:val="00533838"/>
    <w:rsid w:val="0053792C"/>
    <w:rsid w:val="00583ADA"/>
    <w:rsid w:val="005B54E8"/>
    <w:rsid w:val="005C38EB"/>
    <w:rsid w:val="005C6ACD"/>
    <w:rsid w:val="005F1E27"/>
    <w:rsid w:val="00610FE5"/>
    <w:rsid w:val="006240EB"/>
    <w:rsid w:val="006644E9"/>
    <w:rsid w:val="006647C6"/>
    <w:rsid w:val="00672112"/>
    <w:rsid w:val="006A3BD3"/>
    <w:rsid w:val="006C4EC8"/>
    <w:rsid w:val="006D35CD"/>
    <w:rsid w:val="006E1058"/>
    <w:rsid w:val="006F2446"/>
    <w:rsid w:val="006F2C16"/>
    <w:rsid w:val="006F3486"/>
    <w:rsid w:val="00715227"/>
    <w:rsid w:val="0071630B"/>
    <w:rsid w:val="00747332"/>
    <w:rsid w:val="0078286D"/>
    <w:rsid w:val="007B64DA"/>
    <w:rsid w:val="007B6D10"/>
    <w:rsid w:val="007C0F83"/>
    <w:rsid w:val="007D7361"/>
    <w:rsid w:val="0083327B"/>
    <w:rsid w:val="0085766A"/>
    <w:rsid w:val="00880DC8"/>
    <w:rsid w:val="00891FE3"/>
    <w:rsid w:val="008B3678"/>
    <w:rsid w:val="008B585E"/>
    <w:rsid w:val="008F14A3"/>
    <w:rsid w:val="008F647E"/>
    <w:rsid w:val="00925BF4"/>
    <w:rsid w:val="00934F8C"/>
    <w:rsid w:val="009724DA"/>
    <w:rsid w:val="009A1341"/>
    <w:rsid w:val="00A1554E"/>
    <w:rsid w:val="00A3711F"/>
    <w:rsid w:val="00A51F55"/>
    <w:rsid w:val="00A70938"/>
    <w:rsid w:val="00A75DD8"/>
    <w:rsid w:val="00AB4D22"/>
    <w:rsid w:val="00AD1AAB"/>
    <w:rsid w:val="00AD6AC9"/>
    <w:rsid w:val="00B249AB"/>
    <w:rsid w:val="00B428AF"/>
    <w:rsid w:val="00B46129"/>
    <w:rsid w:val="00B65789"/>
    <w:rsid w:val="00B92305"/>
    <w:rsid w:val="00BB151F"/>
    <w:rsid w:val="00BE52ED"/>
    <w:rsid w:val="00C0555F"/>
    <w:rsid w:val="00C553BA"/>
    <w:rsid w:val="00C73F7A"/>
    <w:rsid w:val="00C87AEF"/>
    <w:rsid w:val="00CA36CC"/>
    <w:rsid w:val="00CD04C7"/>
    <w:rsid w:val="00CE302F"/>
    <w:rsid w:val="00D2621B"/>
    <w:rsid w:val="00D6287D"/>
    <w:rsid w:val="00D777F7"/>
    <w:rsid w:val="00D97334"/>
    <w:rsid w:val="00DA0A5D"/>
    <w:rsid w:val="00DB30DF"/>
    <w:rsid w:val="00DB6DD9"/>
    <w:rsid w:val="00E11052"/>
    <w:rsid w:val="00E33DD0"/>
    <w:rsid w:val="00E43296"/>
    <w:rsid w:val="00E846F1"/>
    <w:rsid w:val="00EC662C"/>
    <w:rsid w:val="00EF4D73"/>
    <w:rsid w:val="00EF657D"/>
    <w:rsid w:val="00F168DD"/>
    <w:rsid w:val="00FA4F51"/>
    <w:rsid w:val="00FC6768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2</cp:revision>
  <cp:lastPrinted>2019-08-29T13:41:00Z</cp:lastPrinted>
  <dcterms:created xsi:type="dcterms:W3CDTF">2019-09-09T09:13:00Z</dcterms:created>
  <dcterms:modified xsi:type="dcterms:W3CDTF">2019-09-09T09:13:00Z</dcterms:modified>
</cp:coreProperties>
</file>