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B583C" w:rsidRDefault="00EB583C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B583C">
        <w:rPr>
          <w:rFonts w:eastAsia="Times New Roman" w:cs="Times New Roman"/>
          <w:bCs/>
          <w:szCs w:val="28"/>
          <w:lang w:eastAsia="ru-RU"/>
        </w:rPr>
        <w:t>Положительное</w:t>
      </w:r>
      <w:r w:rsidR="00F06539" w:rsidRPr="00EB583C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B583C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B583C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B583C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B583C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B583C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EB583C" w:rsidRDefault="00E33DD0" w:rsidP="008F0841">
      <w:pPr>
        <w:ind w:firstLine="567"/>
        <w:jc w:val="both"/>
        <w:rPr>
          <w:rFonts w:cs="Times New Roman"/>
          <w:szCs w:val="28"/>
        </w:rPr>
      </w:pPr>
      <w:r w:rsidRPr="00EB583C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EB583C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EB583C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EB583C">
        <w:rPr>
          <w:rFonts w:eastAsia="Times New Roman" w:cs="Times New Roman"/>
          <w:szCs w:val="28"/>
          <w:lang w:eastAsia="ru-RU"/>
        </w:rPr>
        <w:t>ы</w:t>
      </w:r>
      <w:r w:rsidR="007B6D10" w:rsidRPr="00EB583C">
        <w:rPr>
          <w:rFonts w:eastAsia="Times New Roman" w:cs="Times New Roman"/>
          <w:szCs w:val="28"/>
          <w:lang w:eastAsia="ru-RU"/>
        </w:rPr>
        <w:t>м</w:t>
      </w:r>
      <w:r w:rsidRPr="00EB583C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EB583C">
        <w:rPr>
          <w:rFonts w:eastAsia="Times New Roman" w:cs="Times New Roman"/>
          <w:szCs w:val="28"/>
          <w:lang w:eastAsia="ru-RU"/>
        </w:rPr>
        <w:t>14.11.2017</w:t>
      </w:r>
      <w:r w:rsidRPr="00EB583C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EB583C">
        <w:rPr>
          <w:rFonts w:eastAsia="Times New Roman" w:cs="Times New Roman"/>
          <w:szCs w:val="28"/>
          <w:lang w:eastAsia="ru-RU"/>
        </w:rPr>
        <w:t>172</w:t>
      </w:r>
      <w:r w:rsidRPr="00EB583C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EB583C">
        <w:rPr>
          <w:rFonts w:eastAsia="Times New Roman" w:cs="Times New Roman"/>
          <w:szCs w:val="28"/>
          <w:lang w:eastAsia="ru-RU"/>
        </w:rPr>
        <w:t xml:space="preserve"> </w:t>
      </w:r>
      <w:r w:rsidR="0081254B" w:rsidRPr="00EB583C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C266B5" w:rsidRPr="00EB583C">
        <w:rPr>
          <w:rFonts w:cs="Times New Roman"/>
          <w:bCs/>
          <w:i/>
          <w:szCs w:val="28"/>
          <w:u w:val="single"/>
        </w:rPr>
        <w:t>решение Думы города от 29.09.2006 № 74-IVДГ «О правилах распространения наружной рекламы на территории города Сургута»</w:t>
      </w:r>
      <w:r w:rsidR="0081254B" w:rsidRPr="00EB583C">
        <w:rPr>
          <w:rFonts w:cs="Times New Roman"/>
          <w:bCs/>
          <w:i/>
          <w:szCs w:val="28"/>
          <w:u w:val="single"/>
        </w:rPr>
        <w:t xml:space="preserve">, </w:t>
      </w:r>
      <w:r w:rsidR="0081254B" w:rsidRPr="00EB583C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C266B5" w:rsidRPr="00EB583C">
        <w:rPr>
          <w:rFonts w:cs="Times New Roman"/>
          <w:i/>
          <w:szCs w:val="28"/>
          <w:u w:val="single"/>
        </w:rPr>
        <w:t>департаментом архитектуры и градостроительства</w:t>
      </w:r>
      <w:r w:rsidR="003E51F4" w:rsidRPr="00EB583C">
        <w:rPr>
          <w:rFonts w:cs="Times New Roman"/>
          <w:szCs w:val="28"/>
          <w:u w:val="single"/>
        </w:rPr>
        <w:t xml:space="preserve"> </w:t>
      </w:r>
      <w:r w:rsidR="0081254B" w:rsidRPr="00EB583C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EB583C">
        <w:rPr>
          <w:rFonts w:cs="Times New Roman"/>
          <w:szCs w:val="28"/>
        </w:rPr>
        <w:t>сообщает следующее.</w:t>
      </w:r>
    </w:p>
    <w:p w:rsidR="0081254B" w:rsidRPr="00EB583C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EB583C" w:rsidRDefault="0081254B" w:rsidP="0081254B">
      <w:pPr>
        <w:ind w:firstLine="567"/>
        <w:jc w:val="both"/>
        <w:rPr>
          <w:rFonts w:cs="Times New Roman"/>
          <w:szCs w:val="28"/>
        </w:rPr>
      </w:pPr>
      <w:r w:rsidRPr="00EB583C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EB583C">
        <w:rPr>
          <w:rFonts w:cs="Times New Roman"/>
          <w:szCs w:val="28"/>
        </w:rPr>
        <w:t xml:space="preserve"> (далее</w:t>
      </w:r>
      <w:r w:rsidR="00CE7879" w:rsidRPr="00EB583C">
        <w:rPr>
          <w:rFonts w:cs="Times New Roman"/>
          <w:szCs w:val="28"/>
        </w:rPr>
        <w:t xml:space="preserve"> -</w:t>
      </w:r>
      <w:r w:rsidR="00BC3C71" w:rsidRPr="00EB583C">
        <w:rPr>
          <w:rFonts w:cs="Times New Roman"/>
          <w:szCs w:val="28"/>
        </w:rPr>
        <w:t xml:space="preserve"> ОФВ)</w:t>
      </w:r>
      <w:r w:rsidRPr="00EB583C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EB583C">
        <w:rPr>
          <w:rFonts w:cs="Times New Roman"/>
          <w:szCs w:val="28"/>
        </w:rPr>
        <w:t xml:space="preserve"> на 2020</w:t>
      </w:r>
      <w:r w:rsidRPr="00EB583C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EB583C">
        <w:rPr>
          <w:rFonts w:cs="Times New Roman"/>
          <w:szCs w:val="28"/>
        </w:rPr>
        <w:t>0</w:t>
      </w:r>
      <w:r w:rsidRPr="00EB583C">
        <w:rPr>
          <w:rFonts w:cs="Times New Roman"/>
          <w:szCs w:val="28"/>
        </w:rPr>
        <w:t>.01.20</w:t>
      </w:r>
      <w:r w:rsidR="003E51F4" w:rsidRPr="00EB583C">
        <w:rPr>
          <w:rFonts w:cs="Times New Roman"/>
          <w:szCs w:val="28"/>
        </w:rPr>
        <w:t>20</w:t>
      </w:r>
      <w:r w:rsidRPr="00EB583C">
        <w:rPr>
          <w:rFonts w:cs="Times New Roman"/>
          <w:szCs w:val="28"/>
        </w:rPr>
        <w:t xml:space="preserve"> № </w:t>
      </w:r>
      <w:r w:rsidR="003E51F4" w:rsidRPr="00EB583C">
        <w:rPr>
          <w:rFonts w:cs="Times New Roman"/>
          <w:szCs w:val="28"/>
        </w:rPr>
        <w:t>01</w:t>
      </w:r>
      <w:r w:rsidRPr="00EB583C">
        <w:rPr>
          <w:rFonts w:cs="Times New Roman"/>
          <w:szCs w:val="28"/>
        </w:rPr>
        <w:t>.</w:t>
      </w:r>
    </w:p>
    <w:p w:rsidR="00544533" w:rsidRPr="00EB583C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EB583C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EB583C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EB583C">
        <w:rPr>
          <w:rFonts w:cs="Times New Roman"/>
          <w:szCs w:val="28"/>
        </w:rPr>
        <w:tab/>
        <w:t xml:space="preserve"> заключения </w:t>
      </w:r>
      <w:r w:rsidR="008F0841" w:rsidRPr="00EB583C">
        <w:rPr>
          <w:rFonts w:cs="Times New Roman"/>
          <w:szCs w:val="28"/>
          <w:u w:val="single"/>
        </w:rPr>
        <w:t>п</w:t>
      </w:r>
      <w:r w:rsidR="00EB583C" w:rsidRPr="00EB583C">
        <w:rPr>
          <w:rFonts w:cs="Times New Roman"/>
          <w:szCs w:val="28"/>
          <w:u w:val="single"/>
        </w:rPr>
        <w:t>овторно</w:t>
      </w:r>
      <w:r w:rsidR="008F0841" w:rsidRPr="00EB583C">
        <w:rPr>
          <w:rFonts w:cs="Times New Roman"/>
          <w:szCs w:val="28"/>
          <w:u w:val="single"/>
        </w:rPr>
        <w:t>.</w:t>
      </w:r>
    </w:p>
    <w:p w:rsidR="00EB583C" w:rsidRPr="00EB583C" w:rsidRDefault="00EB583C" w:rsidP="00EB583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B583C" w:rsidRPr="00EB583C" w:rsidRDefault="00EB583C" w:rsidP="00EB583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583C">
        <w:rPr>
          <w:rFonts w:eastAsia="Times New Roman" w:cs="Times New Roman"/>
          <w:szCs w:val="28"/>
          <w:lang w:eastAsia="ru-RU"/>
        </w:rPr>
        <w:t xml:space="preserve">По итогам проведения ОФВ действующего муниципального нормативного правового акта уполномоченным органом подготовлено отрицательное заключение от 04.03.2020 года. </w:t>
      </w:r>
    </w:p>
    <w:p w:rsidR="00EB583C" w:rsidRDefault="00EB583C" w:rsidP="00EB583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583C">
        <w:rPr>
          <w:rFonts w:eastAsia="Times New Roman" w:cs="Times New Roman"/>
          <w:szCs w:val="28"/>
          <w:lang w:eastAsia="ru-RU"/>
        </w:rPr>
        <w:t xml:space="preserve">Замечания к </w:t>
      </w:r>
      <w:r w:rsidRPr="00EB583C">
        <w:rPr>
          <w:rFonts w:cs="Times New Roman"/>
          <w:szCs w:val="28"/>
        </w:rPr>
        <w:t>сводному отчету об ОФВ и своду предложений по результатам публичных консультаций устранены.</w:t>
      </w:r>
    </w:p>
    <w:p w:rsidR="00D76B0E" w:rsidRPr="00E8550B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E8550B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 xml:space="preserve">Публичные консультации при </w:t>
      </w:r>
      <w:r w:rsidR="003814EC" w:rsidRPr="00E8550B">
        <w:rPr>
          <w:rFonts w:cs="Times New Roman"/>
          <w:szCs w:val="28"/>
        </w:rPr>
        <w:t xml:space="preserve">процедурах </w:t>
      </w:r>
      <w:r w:rsidRPr="00E8550B">
        <w:rPr>
          <w:rFonts w:cs="Times New Roman"/>
          <w:szCs w:val="28"/>
        </w:rPr>
        <w:t>оценк</w:t>
      </w:r>
      <w:r w:rsidR="003814EC" w:rsidRPr="00E8550B">
        <w:rPr>
          <w:rFonts w:cs="Times New Roman"/>
          <w:szCs w:val="28"/>
        </w:rPr>
        <w:t>и</w:t>
      </w:r>
      <w:r w:rsidRPr="00E8550B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E8550B">
        <w:rPr>
          <w:rFonts w:cs="Times New Roman"/>
          <w:szCs w:val="28"/>
        </w:rPr>
        <w:t>ись</w:t>
      </w:r>
      <w:r w:rsidRPr="00E8550B">
        <w:rPr>
          <w:rFonts w:cs="Times New Roman"/>
          <w:szCs w:val="28"/>
        </w:rPr>
        <w:t>:</w:t>
      </w:r>
    </w:p>
    <w:p w:rsidR="00755C14" w:rsidRPr="00E8550B" w:rsidRDefault="00755C14" w:rsidP="00755C14">
      <w:pPr>
        <w:ind w:firstLine="567"/>
        <w:jc w:val="both"/>
        <w:rPr>
          <w:rFonts w:cs="Times New Roman"/>
          <w:i/>
          <w:szCs w:val="28"/>
          <w:u w:val="single"/>
        </w:rPr>
      </w:pPr>
      <w:r w:rsidRPr="00E8550B">
        <w:rPr>
          <w:rFonts w:cs="Times New Roman"/>
          <w:i/>
          <w:szCs w:val="28"/>
          <w:u w:val="single"/>
        </w:rPr>
        <w:t>- с «02» апреля по «13» апреля 2018 года;</w:t>
      </w:r>
    </w:p>
    <w:p w:rsidR="00124F61" w:rsidRPr="00E8550B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E8550B">
        <w:rPr>
          <w:rFonts w:cs="Times New Roman"/>
          <w:i/>
          <w:szCs w:val="28"/>
          <w:u w:val="single"/>
        </w:rPr>
        <w:t>- с «</w:t>
      </w:r>
      <w:r w:rsidR="003E51F4" w:rsidRPr="00E8550B">
        <w:rPr>
          <w:rFonts w:cs="Times New Roman"/>
          <w:i/>
          <w:szCs w:val="28"/>
          <w:u w:val="single"/>
        </w:rPr>
        <w:t>1</w:t>
      </w:r>
      <w:r w:rsidR="00755C14" w:rsidRPr="00E8550B">
        <w:rPr>
          <w:rFonts w:cs="Times New Roman"/>
          <w:i/>
          <w:szCs w:val="28"/>
          <w:u w:val="single"/>
        </w:rPr>
        <w:t>8</w:t>
      </w:r>
      <w:r w:rsidRPr="00E8550B">
        <w:rPr>
          <w:rFonts w:cs="Times New Roman"/>
          <w:i/>
          <w:szCs w:val="28"/>
          <w:u w:val="single"/>
        </w:rPr>
        <w:t xml:space="preserve">» </w:t>
      </w:r>
      <w:r w:rsidR="00755C14" w:rsidRPr="00E8550B">
        <w:rPr>
          <w:rFonts w:cs="Times New Roman"/>
          <w:i/>
          <w:szCs w:val="28"/>
          <w:u w:val="single"/>
        </w:rPr>
        <w:t>марта</w:t>
      </w:r>
      <w:r w:rsidRPr="00E8550B">
        <w:rPr>
          <w:rFonts w:cs="Times New Roman"/>
          <w:i/>
          <w:szCs w:val="28"/>
          <w:u w:val="single"/>
        </w:rPr>
        <w:t xml:space="preserve"> по «</w:t>
      </w:r>
      <w:r w:rsidR="003E51F4" w:rsidRPr="00E8550B">
        <w:rPr>
          <w:rFonts w:cs="Times New Roman"/>
          <w:i/>
          <w:szCs w:val="28"/>
          <w:u w:val="single"/>
        </w:rPr>
        <w:t>2</w:t>
      </w:r>
      <w:r w:rsidR="00755C14" w:rsidRPr="00E8550B">
        <w:rPr>
          <w:rFonts w:cs="Times New Roman"/>
          <w:i/>
          <w:szCs w:val="28"/>
          <w:u w:val="single"/>
        </w:rPr>
        <w:t>9</w:t>
      </w:r>
      <w:r w:rsidRPr="00E8550B">
        <w:rPr>
          <w:rFonts w:cs="Times New Roman"/>
          <w:i/>
          <w:szCs w:val="28"/>
          <w:u w:val="single"/>
        </w:rPr>
        <w:t xml:space="preserve">» </w:t>
      </w:r>
      <w:r w:rsidR="00755C14" w:rsidRPr="00E8550B">
        <w:rPr>
          <w:rFonts w:cs="Times New Roman"/>
          <w:i/>
          <w:szCs w:val="28"/>
          <w:u w:val="single"/>
        </w:rPr>
        <w:t>марта</w:t>
      </w:r>
      <w:r w:rsidRPr="00E8550B">
        <w:rPr>
          <w:rFonts w:cs="Times New Roman"/>
          <w:i/>
          <w:szCs w:val="28"/>
          <w:u w:val="single"/>
        </w:rPr>
        <w:t xml:space="preserve"> 201</w:t>
      </w:r>
      <w:r w:rsidR="00755C14" w:rsidRPr="00E8550B">
        <w:rPr>
          <w:rFonts w:cs="Times New Roman"/>
          <w:i/>
          <w:szCs w:val="28"/>
          <w:u w:val="single"/>
        </w:rPr>
        <w:t>9</w:t>
      </w:r>
      <w:r w:rsidRPr="00E8550B">
        <w:rPr>
          <w:rFonts w:cs="Times New Roman"/>
          <w:i/>
          <w:szCs w:val="28"/>
          <w:u w:val="single"/>
        </w:rPr>
        <w:t xml:space="preserve"> года</w:t>
      </w:r>
      <w:r w:rsidR="003E51F4" w:rsidRPr="00E8550B">
        <w:rPr>
          <w:rFonts w:cs="Times New Roman"/>
          <w:i/>
          <w:szCs w:val="28"/>
          <w:u w:val="single"/>
        </w:rPr>
        <w:t>.</w:t>
      </w:r>
    </w:p>
    <w:p w:rsidR="00124F61" w:rsidRPr="00E8550B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EB583C" w:rsidRPr="00FF227A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F227A">
        <w:rPr>
          <w:rFonts w:cs="Times New Roman"/>
          <w:szCs w:val="28"/>
        </w:rPr>
        <w:t>Исходя из представленных сведений в отчете об ОФВ,</w:t>
      </w:r>
      <w:r w:rsidRPr="00FF227A">
        <w:rPr>
          <w:szCs w:val="28"/>
          <w:lang w:eastAsia="ru-RU"/>
        </w:rPr>
        <w:t xml:space="preserve"> цел</w:t>
      </w:r>
      <w:r w:rsidR="00EB583C" w:rsidRPr="00FF227A">
        <w:rPr>
          <w:szCs w:val="28"/>
          <w:lang w:eastAsia="ru-RU"/>
        </w:rPr>
        <w:t xml:space="preserve">ями </w:t>
      </w:r>
      <w:r w:rsidRPr="00FF227A">
        <w:rPr>
          <w:szCs w:val="28"/>
          <w:lang w:eastAsia="ru-RU"/>
        </w:rPr>
        <w:t xml:space="preserve">правового регулирования </w:t>
      </w:r>
      <w:r w:rsidR="003E51F4" w:rsidRPr="00FF227A">
        <w:rPr>
          <w:szCs w:val="28"/>
          <w:lang w:eastAsia="ru-RU"/>
        </w:rPr>
        <w:t>явля</w:t>
      </w:r>
      <w:r w:rsidR="00EB583C" w:rsidRPr="00FF227A">
        <w:rPr>
          <w:szCs w:val="28"/>
          <w:lang w:eastAsia="ru-RU"/>
        </w:rPr>
        <w:t>ю</w:t>
      </w:r>
      <w:r w:rsidR="003E51F4" w:rsidRPr="00FF227A">
        <w:rPr>
          <w:szCs w:val="28"/>
          <w:lang w:eastAsia="ru-RU"/>
        </w:rPr>
        <w:t>тся</w:t>
      </w:r>
      <w:r w:rsidR="00EB583C" w:rsidRPr="00FF227A">
        <w:rPr>
          <w:szCs w:val="28"/>
          <w:lang w:eastAsia="ru-RU"/>
        </w:rPr>
        <w:t>:</w:t>
      </w:r>
    </w:p>
    <w:p w:rsidR="00FF227A" w:rsidRPr="00FF227A" w:rsidRDefault="00FF227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F227A">
        <w:rPr>
          <w:rFonts w:cs="Times New Roman"/>
          <w:szCs w:val="28"/>
        </w:rPr>
        <w:t>- изменение базовой ставки, с учетом плановой инфляции, индекса потребительских цен;</w:t>
      </w:r>
      <w:r w:rsidR="003E51F4" w:rsidRPr="00FF227A">
        <w:rPr>
          <w:szCs w:val="28"/>
          <w:lang w:eastAsia="ru-RU"/>
        </w:rPr>
        <w:t xml:space="preserve"> </w:t>
      </w:r>
    </w:p>
    <w:p w:rsidR="00FF227A" w:rsidRPr="00FF227A" w:rsidRDefault="00FF227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F227A">
        <w:rPr>
          <w:szCs w:val="28"/>
          <w:lang w:eastAsia="ru-RU"/>
        </w:rPr>
        <w:t>- п</w:t>
      </w:r>
      <w:r w:rsidRPr="00FF227A">
        <w:rPr>
          <w:rFonts w:cs="Times New Roman"/>
          <w:szCs w:val="28"/>
        </w:rPr>
        <w:t>риведение в соответствие с действующим законодательством;</w:t>
      </w:r>
    </w:p>
    <w:p w:rsidR="00544533" w:rsidRPr="00FF227A" w:rsidRDefault="00FF227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F227A">
        <w:rPr>
          <w:szCs w:val="28"/>
          <w:lang w:eastAsia="ru-RU"/>
        </w:rPr>
        <w:t xml:space="preserve">- </w:t>
      </w:r>
      <w:r w:rsidR="00755C14" w:rsidRPr="00FF227A">
        <w:rPr>
          <w:szCs w:val="28"/>
          <w:lang w:eastAsia="ru-RU"/>
        </w:rPr>
        <w:t>с</w:t>
      </w:r>
      <w:r w:rsidR="00755C14" w:rsidRPr="00FF227A">
        <w:rPr>
          <w:rFonts w:cs="Times New Roman"/>
          <w:iCs/>
          <w:szCs w:val="28"/>
        </w:rPr>
        <w:t>облюдение действующего законодательства</w:t>
      </w:r>
      <w:r w:rsidR="006E62DB" w:rsidRPr="00FF227A">
        <w:rPr>
          <w:rFonts w:eastAsiaTheme="minorEastAsia" w:cs="Times New Roman"/>
          <w:szCs w:val="28"/>
          <w:lang w:eastAsia="ru-RU"/>
        </w:rPr>
        <w:t>.</w:t>
      </w:r>
    </w:p>
    <w:p w:rsidR="004D2389" w:rsidRPr="00EB583C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Pr="00E81DEB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1DEB">
        <w:rPr>
          <w:rFonts w:cs="Times New Roman"/>
          <w:szCs w:val="28"/>
        </w:rPr>
        <w:t>П</w:t>
      </w:r>
      <w:r w:rsidR="00DA60C3" w:rsidRPr="00E81DEB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E81DEB">
        <w:rPr>
          <w:rFonts w:cs="Times New Roman"/>
          <w:szCs w:val="28"/>
        </w:rPr>
        <w:t xml:space="preserve"> </w:t>
      </w:r>
      <w:r w:rsidR="00755C14" w:rsidRPr="00E81DEB">
        <w:rPr>
          <w:rFonts w:cs="Times New Roman"/>
          <w:szCs w:val="28"/>
        </w:rPr>
        <w:t>ю</w:t>
      </w:r>
      <w:r w:rsidR="00755C14" w:rsidRPr="00E81DEB">
        <w:rPr>
          <w:rFonts w:eastAsia="Times New Roman" w:cs="Times New Roman"/>
          <w:szCs w:val="28"/>
          <w:lang w:eastAsia="ru-RU"/>
        </w:rPr>
        <w:t>ридические и физические лица независимо от форм собственности и ведомственной принадлежности</w:t>
      </w:r>
      <w:r w:rsidR="003E51F4" w:rsidRPr="00E81DEB">
        <w:rPr>
          <w:rFonts w:cs="Times New Roman"/>
          <w:iCs/>
          <w:szCs w:val="28"/>
        </w:rPr>
        <w:t xml:space="preserve"> </w:t>
      </w:r>
      <w:r w:rsidR="00ED4978" w:rsidRPr="00E81DEB">
        <w:rPr>
          <w:rFonts w:cs="Times New Roman"/>
          <w:iCs/>
          <w:szCs w:val="28"/>
        </w:rPr>
        <w:t xml:space="preserve">- </w:t>
      </w:r>
      <w:r w:rsidR="00755C14" w:rsidRPr="00E81DEB">
        <w:rPr>
          <w:rFonts w:cs="Times New Roman"/>
          <w:iCs/>
          <w:szCs w:val="28"/>
        </w:rPr>
        <w:t>30</w:t>
      </w:r>
      <w:r w:rsidR="00571A2C" w:rsidRPr="00E81DEB">
        <w:rPr>
          <w:rFonts w:cs="Times New Roman"/>
          <w:bCs/>
          <w:szCs w:val="28"/>
        </w:rPr>
        <w:t xml:space="preserve"> </w:t>
      </w:r>
      <w:proofErr w:type="spellStart"/>
      <w:r w:rsidR="00755C14" w:rsidRPr="00E81DEB">
        <w:rPr>
          <w:rFonts w:eastAsia="Times New Roman" w:cs="Times New Roman"/>
          <w:iCs/>
          <w:szCs w:val="28"/>
          <w:lang w:eastAsia="ru-RU"/>
        </w:rPr>
        <w:t>рекламораспространителей</w:t>
      </w:r>
      <w:proofErr w:type="spellEnd"/>
      <w:r w:rsidR="00571A2C" w:rsidRPr="00E81DEB">
        <w:rPr>
          <w:rFonts w:cs="Times New Roman"/>
          <w:szCs w:val="28"/>
        </w:rPr>
        <w:t xml:space="preserve">. </w:t>
      </w:r>
    </w:p>
    <w:p w:rsidR="00124F61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1DEB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E81DEB">
        <w:rPr>
          <w:rFonts w:cs="Times New Roman"/>
          <w:szCs w:val="28"/>
        </w:rPr>
        <w:t>не изменилось</w:t>
      </w:r>
      <w:r w:rsidR="00903A28" w:rsidRPr="00E81DEB">
        <w:rPr>
          <w:rFonts w:cs="Times New Roman"/>
          <w:szCs w:val="28"/>
        </w:rPr>
        <w:t>, что является положительной тенденцией</w:t>
      </w:r>
      <w:r w:rsidR="0011064C" w:rsidRPr="00E81DEB">
        <w:rPr>
          <w:rFonts w:cs="Times New Roman"/>
          <w:szCs w:val="28"/>
        </w:rPr>
        <w:t>.</w:t>
      </w:r>
    </w:p>
    <w:p w:rsidR="00E81DEB" w:rsidRPr="00FC4457" w:rsidRDefault="00E81DEB" w:rsidP="00E81D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r w:rsidRPr="00FC4457">
        <w:rPr>
          <w:rFonts w:eastAsia="Times New Roman" w:cs="Times New Roman"/>
          <w:szCs w:val="28"/>
          <w:lang w:eastAsia="ru-RU"/>
        </w:rPr>
        <w:lastRenderedPageBreak/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расходы:</w:t>
      </w:r>
    </w:p>
    <w:p w:rsidR="00E81DEB" w:rsidRPr="00FC4457" w:rsidRDefault="00E81DEB" w:rsidP="00E81DE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FC4457">
        <w:rPr>
          <w:rFonts w:eastAsia="Times New Roman" w:cs="Times New Roman"/>
          <w:szCs w:val="28"/>
          <w:lang w:eastAsia="ru-RU"/>
        </w:rPr>
        <w:t xml:space="preserve">1) Информационные </w:t>
      </w:r>
      <w:r w:rsidRPr="00FC4457">
        <w:rPr>
          <w:rFonts w:eastAsia="Calibri" w:cs="Times New Roman"/>
          <w:szCs w:val="28"/>
          <w:lang w:eastAsia="ru-RU"/>
        </w:rPr>
        <w:t>издержки:</w:t>
      </w:r>
    </w:p>
    <w:p w:rsidR="00E81DEB" w:rsidRPr="00FC4457" w:rsidRDefault="00E81DEB" w:rsidP="00E81D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4457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FC4457" w:rsidRPr="00FC4457">
        <w:rPr>
          <w:rFonts w:eastAsia="Calibri" w:cs="Times New Roman"/>
          <w:bCs/>
          <w:szCs w:val="28"/>
        </w:rPr>
        <w:t>6 506,55</w:t>
      </w:r>
      <w:r w:rsidRPr="00FC4457">
        <w:rPr>
          <w:rFonts w:eastAsia="Calibri" w:cs="Times New Roman"/>
          <w:bCs/>
          <w:szCs w:val="28"/>
        </w:rPr>
        <w:t xml:space="preserve"> </w:t>
      </w:r>
      <w:r w:rsidRPr="00FC4457">
        <w:rPr>
          <w:rFonts w:eastAsia="Times New Roman" w:cs="Times New Roman"/>
          <w:szCs w:val="28"/>
          <w:lang w:eastAsia="ru-RU"/>
        </w:rPr>
        <w:t>руб. (</w:t>
      </w:r>
      <w:r w:rsidR="00FC4457" w:rsidRPr="00FC4457">
        <w:rPr>
          <w:rFonts w:eastAsia="Times New Roman" w:cs="Times New Roman"/>
          <w:szCs w:val="28"/>
          <w:lang w:eastAsia="ru-RU"/>
        </w:rPr>
        <w:t>15</w:t>
      </w:r>
      <w:r w:rsidRPr="00FC4457">
        <w:rPr>
          <w:rFonts w:eastAsia="Times New Roman" w:cs="Times New Roman"/>
          <w:szCs w:val="28"/>
          <w:lang w:eastAsia="ru-RU"/>
        </w:rPr>
        <w:t xml:space="preserve"> часов * </w:t>
      </w:r>
      <w:r w:rsidR="00FC4457" w:rsidRPr="00FC4457">
        <w:rPr>
          <w:rFonts w:eastAsia="Times New Roman" w:cs="Times New Roman"/>
          <w:szCs w:val="28"/>
          <w:lang w:eastAsia="ru-RU"/>
        </w:rPr>
        <w:t>433,77</w:t>
      </w:r>
      <w:r w:rsidRPr="00FC4457">
        <w:rPr>
          <w:rFonts w:cs="Times New Roman"/>
          <w:szCs w:val="28"/>
        </w:rPr>
        <w:t xml:space="preserve"> </w:t>
      </w:r>
      <w:r w:rsidRPr="00FC4457">
        <w:rPr>
          <w:rFonts w:eastAsia="Times New Roman" w:cs="Times New Roman"/>
          <w:szCs w:val="28"/>
          <w:lang w:eastAsia="ru-RU"/>
        </w:rPr>
        <w:t>руб.);</w:t>
      </w:r>
    </w:p>
    <w:p w:rsidR="00E81DEB" w:rsidRPr="00FC4457" w:rsidRDefault="00E81DEB" w:rsidP="00E81D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4457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FC4457" w:rsidRPr="00FC4457">
        <w:rPr>
          <w:rFonts w:eastAsia="Times New Roman" w:cs="Times New Roman"/>
          <w:szCs w:val="28"/>
          <w:lang w:eastAsia="ru-RU"/>
        </w:rPr>
        <w:t>1 239</w:t>
      </w:r>
      <w:r w:rsidRPr="00FC4457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FC4457" w:rsidRPr="00FC4457">
        <w:rPr>
          <w:rFonts w:eastAsia="Times New Roman" w:cs="Times New Roman"/>
          <w:szCs w:val="28"/>
          <w:lang w:eastAsia="ru-RU"/>
        </w:rPr>
        <w:t>1000</w:t>
      </w:r>
      <w:r w:rsidRPr="00FC4457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FC4457" w:rsidRPr="00FC4457">
        <w:rPr>
          <w:rFonts w:eastAsia="Times New Roman" w:cs="Times New Roman"/>
          <w:szCs w:val="28"/>
          <w:lang w:eastAsia="ru-RU"/>
        </w:rPr>
        <w:t>239</w:t>
      </w:r>
      <w:r w:rsidRPr="00FC4457">
        <w:rPr>
          <w:rFonts w:eastAsia="Times New Roman" w:cs="Times New Roman"/>
          <w:szCs w:val="28"/>
          <w:lang w:eastAsia="ru-RU"/>
        </w:rPr>
        <w:t xml:space="preserve"> руб.);</w:t>
      </w:r>
    </w:p>
    <w:p w:rsidR="00E81DEB" w:rsidRPr="00FC4457" w:rsidRDefault="00E81DEB" w:rsidP="00E81D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4457">
        <w:rPr>
          <w:rFonts w:eastAsia="Times New Roman" w:cs="Times New Roman"/>
          <w:szCs w:val="28"/>
          <w:lang w:eastAsia="ru-RU"/>
        </w:rPr>
        <w:t>- транспортные расходы –1</w:t>
      </w:r>
      <w:r w:rsidR="00FC4457" w:rsidRPr="00FC4457">
        <w:rPr>
          <w:rFonts w:eastAsia="Times New Roman" w:cs="Times New Roman"/>
          <w:szCs w:val="28"/>
          <w:lang w:eastAsia="ru-RU"/>
        </w:rPr>
        <w:t>0</w:t>
      </w:r>
      <w:r w:rsidRPr="00FC4457">
        <w:rPr>
          <w:rFonts w:eastAsia="Times New Roman" w:cs="Times New Roman"/>
          <w:szCs w:val="28"/>
          <w:lang w:eastAsia="ru-RU"/>
        </w:rPr>
        <w:t xml:space="preserve">0 руб. (25 руб. * </w:t>
      </w:r>
      <w:r w:rsidR="00FC4457" w:rsidRPr="00FC4457">
        <w:rPr>
          <w:rFonts w:eastAsia="Times New Roman" w:cs="Times New Roman"/>
          <w:szCs w:val="28"/>
          <w:lang w:eastAsia="ru-RU"/>
        </w:rPr>
        <w:t>4</w:t>
      </w:r>
      <w:r w:rsidRPr="00FC4457">
        <w:rPr>
          <w:rFonts w:eastAsia="Times New Roman" w:cs="Times New Roman"/>
          <w:szCs w:val="28"/>
          <w:lang w:eastAsia="ru-RU"/>
        </w:rPr>
        <w:t xml:space="preserve"> поезд</w:t>
      </w:r>
      <w:r w:rsidR="00FC4457" w:rsidRPr="00FC4457">
        <w:rPr>
          <w:rFonts w:eastAsia="Times New Roman" w:cs="Times New Roman"/>
          <w:szCs w:val="28"/>
          <w:lang w:eastAsia="ru-RU"/>
        </w:rPr>
        <w:t>ки</w:t>
      </w:r>
      <w:r w:rsidRPr="00FC4457">
        <w:rPr>
          <w:rFonts w:eastAsia="Times New Roman" w:cs="Times New Roman"/>
          <w:szCs w:val="28"/>
          <w:lang w:eastAsia="ru-RU"/>
        </w:rPr>
        <w:t>).</w:t>
      </w:r>
    </w:p>
    <w:p w:rsidR="00E81DEB" w:rsidRPr="00FC4457" w:rsidRDefault="00E81DEB" w:rsidP="00E81DEB">
      <w:pPr>
        <w:ind w:firstLine="567"/>
        <w:jc w:val="both"/>
        <w:rPr>
          <w:rFonts w:cs="Times New Roman"/>
          <w:szCs w:val="28"/>
        </w:rPr>
      </w:pPr>
      <w:r w:rsidRPr="00FC445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составила                        </w:t>
      </w:r>
      <w:r w:rsidR="00FC4457" w:rsidRPr="00FC4457">
        <w:rPr>
          <w:rFonts w:eastAsia="Calibri" w:cs="Times New Roman"/>
          <w:bCs/>
          <w:szCs w:val="28"/>
        </w:rPr>
        <w:t>7 845,55</w:t>
      </w:r>
      <w:r w:rsidRPr="00FC4457">
        <w:rPr>
          <w:rFonts w:eastAsia="Calibri" w:cs="Times New Roman"/>
          <w:bCs/>
          <w:szCs w:val="28"/>
        </w:rPr>
        <w:t xml:space="preserve"> </w:t>
      </w:r>
      <w:r w:rsidRPr="00FC4457">
        <w:rPr>
          <w:rFonts w:eastAsia="Times New Roman" w:cs="Times New Roman"/>
          <w:szCs w:val="28"/>
          <w:lang w:eastAsia="ru-RU"/>
        </w:rPr>
        <w:t>рублей</w:t>
      </w:r>
      <w:r w:rsidRPr="00FC4457">
        <w:rPr>
          <w:rFonts w:cs="Times New Roman"/>
          <w:szCs w:val="28"/>
        </w:rPr>
        <w:t xml:space="preserve"> в год.</w:t>
      </w:r>
    </w:p>
    <w:p w:rsidR="00E81DEB" w:rsidRPr="00FC4457" w:rsidRDefault="00E81DEB" w:rsidP="00E81D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4457">
        <w:rPr>
          <w:rFonts w:cs="Times New Roman"/>
          <w:szCs w:val="28"/>
        </w:rPr>
        <w:t xml:space="preserve">2) Содержательные издержки </w:t>
      </w:r>
      <w:r w:rsidRPr="00FC4457">
        <w:rPr>
          <w:rFonts w:eastAsia="Times New Roman" w:cs="Times New Roman"/>
          <w:szCs w:val="28"/>
          <w:lang w:eastAsia="ru-RU"/>
        </w:rPr>
        <w:t>по в</w:t>
      </w:r>
      <w:r w:rsidRPr="00FC4457">
        <w:rPr>
          <w:rFonts w:cs="Times New Roman"/>
          <w:szCs w:val="28"/>
        </w:rPr>
        <w:t>несению платы за установку и эксплуатацию рекламных конструкций</w:t>
      </w:r>
      <w:r w:rsidRPr="00FC4457">
        <w:rPr>
          <w:rFonts w:eastAsia="Times New Roman" w:cs="Times New Roman"/>
          <w:szCs w:val="28"/>
          <w:lang w:eastAsia="ru-RU"/>
        </w:rPr>
        <w:t xml:space="preserve"> </w:t>
      </w:r>
      <w:r w:rsidR="00FF227A" w:rsidRPr="00FC4457">
        <w:rPr>
          <w:rFonts w:eastAsia="Times New Roman" w:cs="Times New Roman"/>
          <w:szCs w:val="28"/>
          <w:lang w:eastAsia="ru-RU"/>
        </w:rPr>
        <w:t xml:space="preserve">составили </w:t>
      </w:r>
      <w:r w:rsidRPr="00FC4457">
        <w:rPr>
          <w:rFonts w:eastAsia="Times New Roman" w:cs="Times New Roman"/>
          <w:szCs w:val="28"/>
          <w:lang w:eastAsia="ru-RU"/>
        </w:rPr>
        <w:t xml:space="preserve">46 115,44 рублей. </w:t>
      </w:r>
    </w:p>
    <w:p w:rsidR="00E81DEB" w:rsidRPr="00FC4457" w:rsidRDefault="00E81DEB" w:rsidP="00E81D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4457">
        <w:rPr>
          <w:rFonts w:eastAsia="Times New Roman" w:cs="Times New Roman"/>
          <w:szCs w:val="28"/>
          <w:lang w:eastAsia="ru-RU"/>
        </w:rPr>
        <w:t xml:space="preserve">Общая сумма расходов 1 субъекта в 2019 году </w:t>
      </w:r>
      <w:r w:rsidR="00FC4457" w:rsidRPr="00FC4457">
        <w:rPr>
          <w:rFonts w:eastAsia="Times New Roman" w:cs="Times New Roman"/>
          <w:szCs w:val="28"/>
          <w:lang w:eastAsia="ru-RU"/>
        </w:rPr>
        <w:t>–</w:t>
      </w:r>
      <w:r w:rsidRPr="00FC4457">
        <w:rPr>
          <w:rFonts w:eastAsia="Times New Roman" w:cs="Times New Roman"/>
          <w:szCs w:val="28"/>
          <w:lang w:eastAsia="ru-RU"/>
        </w:rPr>
        <w:t xml:space="preserve"> </w:t>
      </w:r>
      <w:r w:rsidR="00FC4457" w:rsidRPr="00FC4457">
        <w:rPr>
          <w:rFonts w:eastAsia="Times New Roman" w:cs="Times New Roman"/>
          <w:szCs w:val="28"/>
          <w:lang w:eastAsia="ru-RU"/>
        </w:rPr>
        <w:t>53 960,99 руб.</w:t>
      </w:r>
    </w:p>
    <w:p w:rsidR="00E81DEB" w:rsidRPr="00FC4457" w:rsidRDefault="00E81DEB" w:rsidP="00E81DEB">
      <w:pPr>
        <w:ind w:firstLine="567"/>
        <w:jc w:val="both"/>
        <w:rPr>
          <w:rFonts w:eastAsia="Calibri" w:cs="Times New Roman"/>
          <w:szCs w:val="28"/>
        </w:rPr>
      </w:pPr>
      <w:r w:rsidRPr="00FC4457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</w:t>
      </w:r>
    </w:p>
    <w:bookmarkEnd w:id="1"/>
    <w:p w:rsidR="00DD71A9" w:rsidRPr="00E8550B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E8550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E8550B">
        <w:rPr>
          <w:rFonts w:cs="Times New Roman"/>
          <w:szCs w:val="28"/>
        </w:rPr>
        <w:t xml:space="preserve">Информация об </w:t>
      </w:r>
      <w:r w:rsidR="00BC3C71" w:rsidRPr="00E8550B">
        <w:rPr>
          <w:rFonts w:cs="Times New Roman"/>
          <w:szCs w:val="28"/>
        </w:rPr>
        <w:t>ОФВ</w:t>
      </w:r>
      <w:r w:rsidRPr="00E8550B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F4AA2" w:rsidRPr="00E8550B">
        <w:rPr>
          <w:rFonts w:cs="Times New Roman"/>
          <w:szCs w:val="28"/>
          <w:u w:val="single"/>
        </w:rPr>
        <w:t>03</w:t>
      </w:r>
      <w:r w:rsidRPr="00E8550B">
        <w:rPr>
          <w:rFonts w:cs="Times New Roman"/>
          <w:szCs w:val="28"/>
          <w:u w:val="single"/>
        </w:rPr>
        <w:t xml:space="preserve">» </w:t>
      </w:r>
      <w:r w:rsidR="005F4AA2" w:rsidRPr="00E8550B">
        <w:rPr>
          <w:rFonts w:cs="Times New Roman"/>
          <w:szCs w:val="28"/>
          <w:u w:val="single"/>
        </w:rPr>
        <w:t>февраля</w:t>
      </w:r>
      <w:r w:rsidR="00BC3C71" w:rsidRPr="00E8550B">
        <w:rPr>
          <w:rFonts w:cs="Times New Roman"/>
          <w:szCs w:val="28"/>
          <w:u w:val="single"/>
        </w:rPr>
        <w:t xml:space="preserve"> </w:t>
      </w:r>
      <w:r w:rsidRPr="00E8550B">
        <w:rPr>
          <w:rFonts w:cs="Times New Roman"/>
          <w:szCs w:val="28"/>
          <w:u w:val="single"/>
        </w:rPr>
        <w:t>20</w:t>
      </w:r>
      <w:r w:rsidR="005F4AA2" w:rsidRPr="00E8550B">
        <w:rPr>
          <w:rFonts w:cs="Times New Roman"/>
          <w:szCs w:val="28"/>
          <w:u w:val="single"/>
        </w:rPr>
        <w:t>20</w:t>
      </w:r>
      <w:r w:rsidR="00BC3C71" w:rsidRPr="00E8550B">
        <w:rPr>
          <w:rFonts w:cs="Times New Roman"/>
          <w:szCs w:val="28"/>
          <w:u w:val="single"/>
        </w:rPr>
        <w:t xml:space="preserve"> </w:t>
      </w:r>
      <w:r w:rsidRPr="00E8550B">
        <w:rPr>
          <w:rFonts w:cs="Times New Roman"/>
          <w:szCs w:val="28"/>
          <w:u w:val="single"/>
        </w:rPr>
        <w:t>года.</w:t>
      </w:r>
    </w:p>
    <w:p w:rsidR="004316FA" w:rsidRPr="00E8550B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>Д</w:t>
      </w:r>
      <w:r w:rsidR="004316FA" w:rsidRPr="00E8550B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E8550B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E8550B">
        <w:rPr>
          <w:rFonts w:cs="Times New Roman"/>
          <w:szCs w:val="28"/>
        </w:rPr>
        <w:t>ОФВ,</w:t>
      </w:r>
      <w:r w:rsidR="004316FA" w:rsidRPr="00E8550B">
        <w:rPr>
          <w:rFonts w:cs="Times New Roman"/>
          <w:szCs w:val="28"/>
        </w:rPr>
        <w:t xml:space="preserve"> </w:t>
      </w:r>
      <w:r w:rsidR="00135998" w:rsidRPr="00E8550B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E8550B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E8550B">
        <w:rPr>
          <w:rFonts w:eastAsia="Times New Roman" w:cs="Times New Roman"/>
          <w:szCs w:val="28"/>
          <w:lang w:eastAsia="ru-RU"/>
        </w:rPr>
        <w:t>,</w:t>
      </w:r>
      <w:r w:rsidR="004316FA" w:rsidRPr="00E8550B">
        <w:rPr>
          <w:rFonts w:cs="Times New Roman"/>
          <w:szCs w:val="28"/>
        </w:rPr>
        <w:t xml:space="preserve"> размещена</w:t>
      </w:r>
      <w:r w:rsidR="00544533" w:rsidRPr="00E8550B">
        <w:rPr>
          <w:rFonts w:cs="Times New Roman"/>
          <w:szCs w:val="28"/>
        </w:rPr>
        <w:t xml:space="preserve"> </w:t>
      </w:r>
      <w:r w:rsidR="004316FA" w:rsidRPr="00E8550B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E8550B">
          <w:rPr>
            <w:rFonts w:cs="Times New Roman"/>
            <w:szCs w:val="28"/>
          </w:rPr>
          <w:t>http://regulation.admhmao.ru</w:t>
        </w:r>
      </w:hyperlink>
      <w:r w:rsidR="004316FA" w:rsidRPr="00E8550B">
        <w:rPr>
          <w:rFonts w:cs="Times New Roman"/>
          <w:szCs w:val="28"/>
        </w:rPr>
        <w:t>).</w:t>
      </w:r>
    </w:p>
    <w:p w:rsidR="005F4AA2" w:rsidRPr="00E8550B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E8550B">
        <w:rPr>
          <w:rFonts w:cs="Times New Roman"/>
          <w:szCs w:val="28"/>
          <w:lang w:val="en-US"/>
        </w:rPr>
        <w:t>Viber</w:t>
      </w:r>
      <w:r w:rsidRPr="00E8550B">
        <w:rPr>
          <w:rFonts w:cs="Times New Roman"/>
          <w:szCs w:val="28"/>
        </w:rPr>
        <w:t>» в группе «ОРВ в Сургуте».</w:t>
      </w:r>
    </w:p>
    <w:p w:rsidR="00DA60C3" w:rsidRPr="00E8550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E8550B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>с «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03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330BD0" w:rsidRPr="00E8550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>по «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E8550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E8550B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671E2F" w:rsidRPr="00E8550B" w:rsidRDefault="00671E2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- </w:t>
      </w:r>
      <w:r w:rsidRPr="00E8550B">
        <w:rPr>
          <w:bCs/>
        </w:rPr>
        <w:t>Уполномоченному по защите прав предпринимателей в Ханты-Мансийском автономном округе – Югре;</w:t>
      </w:r>
    </w:p>
    <w:p w:rsidR="00BC3C71" w:rsidRPr="00E8550B" w:rsidRDefault="006F71EF" w:rsidP="006F71EF">
      <w:pPr>
        <w:ind w:firstLine="567"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- </w:t>
      </w:r>
      <w:r w:rsidR="00BC3C71" w:rsidRPr="00E8550B">
        <w:rPr>
          <w:rFonts w:cs="Times New Roman"/>
          <w:szCs w:val="28"/>
        </w:rPr>
        <w:t>Союз</w:t>
      </w:r>
      <w:r w:rsidRPr="00E8550B">
        <w:rPr>
          <w:rFonts w:cs="Times New Roman"/>
          <w:szCs w:val="28"/>
        </w:rPr>
        <w:t>у</w:t>
      </w:r>
      <w:r w:rsidR="00BC3C71" w:rsidRPr="00E8550B">
        <w:rPr>
          <w:rFonts w:cs="Times New Roman"/>
          <w:szCs w:val="28"/>
        </w:rPr>
        <w:t xml:space="preserve"> «Сургутская торгово-промышленная палата»;</w:t>
      </w:r>
    </w:p>
    <w:p w:rsidR="00671E2F" w:rsidRPr="00E8550B" w:rsidRDefault="00671E2F" w:rsidP="00671E2F">
      <w:pPr>
        <w:ind w:firstLine="567"/>
        <w:jc w:val="both"/>
        <w:rPr>
          <w:rFonts w:cs="Times New Roman"/>
        </w:rPr>
      </w:pPr>
      <w:r w:rsidRPr="00E8550B">
        <w:rPr>
          <w:rFonts w:cs="Times New Roman"/>
        </w:rPr>
        <w:t>-</w:t>
      </w:r>
      <w:r w:rsidRPr="00E8550B">
        <w:rPr>
          <w:bCs/>
        </w:rPr>
        <w:t xml:space="preserve"> Совет</w:t>
      </w:r>
      <w:r w:rsidR="00FB76E3" w:rsidRPr="00E8550B">
        <w:rPr>
          <w:bCs/>
        </w:rPr>
        <w:t>у</w:t>
      </w:r>
      <w:r w:rsidRPr="00E8550B">
        <w:rPr>
          <w:bCs/>
        </w:rPr>
        <w:t xml:space="preserve"> регионального отделения Общероссийской Общественной организации малого и среднего предпринимательства «Опора России»</w:t>
      </w:r>
      <w:r w:rsidR="00FB76E3" w:rsidRPr="00E8550B">
        <w:rPr>
          <w:bCs/>
        </w:rPr>
        <w:t>;</w:t>
      </w:r>
    </w:p>
    <w:p w:rsidR="00162183" w:rsidRPr="00E8550B" w:rsidRDefault="00671E2F" w:rsidP="00671E2F">
      <w:pPr>
        <w:spacing w:line="120" w:lineRule="atLeast"/>
        <w:ind w:firstLine="567"/>
        <w:jc w:val="both"/>
        <w:rPr>
          <w:bCs/>
        </w:rPr>
      </w:pPr>
      <w:r w:rsidRPr="00E8550B">
        <w:rPr>
          <w:rFonts w:cs="Times New Roman"/>
        </w:rPr>
        <w:t>-</w:t>
      </w:r>
      <w:r w:rsidRPr="00E8550B">
        <w:rPr>
          <w:bCs/>
        </w:rPr>
        <w:t xml:space="preserve"> </w:t>
      </w:r>
      <w:r w:rsidR="00162183" w:rsidRPr="00E8550B">
        <w:rPr>
          <w:bCs/>
        </w:rPr>
        <w:t xml:space="preserve">ИП </w:t>
      </w:r>
      <w:proofErr w:type="spellStart"/>
      <w:r w:rsidR="00162183" w:rsidRPr="00E8550B">
        <w:rPr>
          <w:bCs/>
        </w:rPr>
        <w:t>Самиеву</w:t>
      </w:r>
      <w:proofErr w:type="spellEnd"/>
      <w:r w:rsidR="00162183" w:rsidRPr="00E8550B">
        <w:rPr>
          <w:bCs/>
        </w:rPr>
        <w:t xml:space="preserve"> С.В;</w:t>
      </w:r>
    </w:p>
    <w:p w:rsidR="00671E2F" w:rsidRPr="00E8550B" w:rsidRDefault="00162183" w:rsidP="00671E2F">
      <w:pPr>
        <w:spacing w:line="120" w:lineRule="atLeast"/>
        <w:ind w:firstLine="567"/>
        <w:jc w:val="both"/>
        <w:rPr>
          <w:rFonts w:cs="Times New Roman"/>
        </w:rPr>
      </w:pPr>
      <w:r w:rsidRPr="00E8550B">
        <w:rPr>
          <w:bCs/>
        </w:rPr>
        <w:t>- ИП Шевченко А.В</w:t>
      </w:r>
      <w:r w:rsidR="00FB76E3" w:rsidRPr="00E8550B">
        <w:rPr>
          <w:bCs/>
        </w:rPr>
        <w:t>.</w:t>
      </w:r>
      <w:r w:rsidR="00671E2F" w:rsidRPr="00E8550B">
        <w:rPr>
          <w:bCs/>
        </w:rPr>
        <w:t xml:space="preserve"> </w:t>
      </w:r>
    </w:p>
    <w:p w:rsidR="00671E2F" w:rsidRPr="00E8550B" w:rsidRDefault="00671E2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76E3" w:rsidRPr="00E8550B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162183" w:rsidRPr="00E8550B">
        <w:rPr>
          <w:rFonts w:ascii="Times New Roman" w:hAnsi="Times New Roman" w:cs="Times New Roman"/>
          <w:sz w:val="28"/>
          <w:szCs w:val="28"/>
        </w:rPr>
        <w:t>3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FB76E3" w:rsidRPr="00E8550B">
        <w:rPr>
          <w:rFonts w:ascii="Times New Roman" w:hAnsi="Times New Roman" w:cs="Times New Roman"/>
          <w:sz w:val="28"/>
          <w:szCs w:val="28"/>
        </w:rPr>
        <w:t>:</w:t>
      </w:r>
    </w:p>
    <w:p w:rsidR="00FB76E3" w:rsidRPr="00E8550B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- в </w:t>
      </w:r>
      <w:r w:rsidR="00162183" w:rsidRPr="00E8550B">
        <w:rPr>
          <w:rFonts w:ascii="Times New Roman" w:hAnsi="Times New Roman" w:cs="Times New Roman"/>
          <w:sz w:val="28"/>
          <w:szCs w:val="28"/>
        </w:rPr>
        <w:t>1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162183" w:rsidRPr="00E8550B">
        <w:rPr>
          <w:rFonts w:ascii="Times New Roman" w:hAnsi="Times New Roman" w:cs="Times New Roman"/>
          <w:sz w:val="28"/>
          <w:szCs w:val="28"/>
        </w:rPr>
        <w:t>е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отсутствовали замечания и предложения;</w:t>
      </w:r>
    </w:p>
    <w:p w:rsidR="00FB76E3" w:rsidRPr="00E8550B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- в </w:t>
      </w:r>
      <w:r w:rsidR="00162183" w:rsidRPr="00E8550B">
        <w:rPr>
          <w:rFonts w:ascii="Times New Roman" w:hAnsi="Times New Roman" w:cs="Times New Roman"/>
          <w:sz w:val="28"/>
          <w:szCs w:val="28"/>
        </w:rPr>
        <w:t>2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162183" w:rsidRPr="00E8550B">
        <w:rPr>
          <w:rFonts w:ascii="Times New Roman" w:hAnsi="Times New Roman" w:cs="Times New Roman"/>
          <w:sz w:val="28"/>
          <w:szCs w:val="28"/>
        </w:rPr>
        <w:t>ах</w:t>
      </w:r>
      <w:r w:rsidR="00B9145E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Pr="00E8550B">
        <w:rPr>
          <w:rFonts w:ascii="Times New Roman" w:hAnsi="Times New Roman" w:cs="Times New Roman"/>
          <w:sz w:val="28"/>
          <w:szCs w:val="28"/>
        </w:rPr>
        <w:t>содержалось</w:t>
      </w:r>
      <w:r w:rsidR="00B9145E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="00162183" w:rsidRPr="00E8550B">
        <w:rPr>
          <w:rFonts w:ascii="Times New Roman" w:hAnsi="Times New Roman" w:cs="Times New Roman"/>
          <w:sz w:val="28"/>
          <w:szCs w:val="28"/>
        </w:rPr>
        <w:t>3</w:t>
      </w:r>
      <w:r w:rsidR="00B9145E" w:rsidRPr="00E8550B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00BB4" w:rsidRPr="00E8550B">
        <w:rPr>
          <w:rFonts w:ascii="Times New Roman" w:hAnsi="Times New Roman" w:cs="Times New Roman"/>
          <w:sz w:val="28"/>
          <w:szCs w:val="28"/>
        </w:rPr>
        <w:t>я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C00BB4" w:rsidRPr="00E8550B">
        <w:rPr>
          <w:rFonts w:ascii="Times New Roman" w:hAnsi="Times New Roman" w:cs="Times New Roman"/>
          <w:sz w:val="28"/>
          <w:szCs w:val="28"/>
        </w:rPr>
        <w:t>я</w:t>
      </w:r>
      <w:r w:rsidR="00BC3C71" w:rsidRPr="00E8550B">
        <w:rPr>
          <w:rFonts w:ascii="Times New Roman" w:hAnsi="Times New Roman" w:cs="Times New Roman"/>
          <w:sz w:val="28"/>
          <w:szCs w:val="28"/>
        </w:rPr>
        <w:t>), котор</w:t>
      </w:r>
      <w:r w:rsidR="00162183" w:rsidRPr="00E8550B">
        <w:rPr>
          <w:rFonts w:ascii="Times New Roman" w:hAnsi="Times New Roman" w:cs="Times New Roman"/>
          <w:sz w:val="28"/>
          <w:szCs w:val="28"/>
        </w:rPr>
        <w:t>ые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="00162183" w:rsidRPr="00E8550B">
        <w:rPr>
          <w:rFonts w:ascii="Times New Roman" w:hAnsi="Times New Roman" w:cs="Times New Roman"/>
          <w:sz w:val="28"/>
          <w:szCs w:val="28"/>
        </w:rPr>
        <w:t xml:space="preserve">не </w:t>
      </w:r>
      <w:r w:rsidR="00BC3C71" w:rsidRPr="00E8550B">
        <w:rPr>
          <w:rFonts w:ascii="Times New Roman" w:hAnsi="Times New Roman" w:cs="Times New Roman"/>
          <w:sz w:val="28"/>
          <w:szCs w:val="28"/>
        </w:rPr>
        <w:t>принят</w:t>
      </w:r>
      <w:r w:rsidR="00162183" w:rsidRPr="00E8550B">
        <w:rPr>
          <w:rFonts w:ascii="Times New Roman" w:hAnsi="Times New Roman" w:cs="Times New Roman"/>
          <w:sz w:val="28"/>
          <w:szCs w:val="28"/>
        </w:rPr>
        <w:t>ы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="00162183" w:rsidRPr="00E8550B">
        <w:rPr>
          <w:rFonts w:ascii="Times New Roman" w:hAnsi="Times New Roman" w:cs="Times New Roman"/>
          <w:sz w:val="28"/>
          <w:szCs w:val="28"/>
        </w:rPr>
        <w:t>по обоснованным причинам</w:t>
      </w:r>
      <w:r w:rsidRPr="00E8550B">
        <w:rPr>
          <w:rFonts w:ascii="Times New Roman" w:hAnsi="Times New Roman" w:cs="Times New Roman"/>
          <w:sz w:val="28"/>
          <w:szCs w:val="28"/>
        </w:rPr>
        <w:t>.</w:t>
      </w:r>
      <w:r w:rsidR="00664779" w:rsidRPr="00E8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E8550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E8550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3034"/>
        <w:gridCol w:w="2126"/>
      </w:tblGrid>
      <w:tr w:rsidR="008B41EB" w:rsidRPr="00E8550B" w:rsidTr="00162183">
        <w:tc>
          <w:tcPr>
            <w:tcW w:w="2155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E8550B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3034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E8550B">
              <w:rPr>
                <w:rFonts w:cs="Times New Roman"/>
                <w:sz w:val="22"/>
              </w:rPr>
              <w:t>п</w:t>
            </w:r>
            <w:r w:rsidRPr="00E8550B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Принятое решение </w:t>
            </w:r>
            <w:r w:rsidRPr="00E8550B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и (или) предложения)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разногласий </w:t>
            </w:r>
            <w:r w:rsidRPr="00E8550B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консультаций)</w:t>
            </w:r>
          </w:p>
        </w:tc>
      </w:tr>
      <w:tr w:rsidR="00641F25" w:rsidRPr="00E8550B" w:rsidTr="00162183">
        <w:tc>
          <w:tcPr>
            <w:tcW w:w="2155" w:type="dxa"/>
            <w:vMerge w:val="restart"/>
            <w:shd w:val="clear" w:color="auto" w:fill="auto"/>
          </w:tcPr>
          <w:p w:rsidR="00641F25" w:rsidRPr="00E8550B" w:rsidRDefault="00641F25" w:rsidP="00641F25">
            <w:pPr>
              <w:rPr>
                <w:sz w:val="24"/>
                <w:szCs w:val="24"/>
              </w:rPr>
            </w:pPr>
            <w:r w:rsidRPr="00E8550B">
              <w:rPr>
                <w:rFonts w:cs="Times New Roman"/>
                <w:color w:val="000000" w:themeColor="text1"/>
                <w:sz w:val="22"/>
              </w:rPr>
              <w:t>Уполномоченный по защите прав предпринимателей в Ханты-Мансийском автономном</w:t>
            </w:r>
          </w:p>
        </w:tc>
        <w:tc>
          <w:tcPr>
            <w:tcW w:w="2835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1. Статьей 3 рассматриваемых Правил определены типы и виды рекламных конструкций. В то же время согласно части 5.8 статьи 19 Федерального закона от 13.03.2006 № 38-ФЗ «О рекламе</w:t>
            </w:r>
            <w:proofErr w:type="gramStart"/>
            <w:r w:rsidRPr="00E8550B">
              <w:rPr>
                <w:rFonts w:eastAsia="Times New Roman" w:cs="Times New Roman"/>
                <w:sz w:val="22"/>
                <w:lang w:eastAsia="ru-RU"/>
              </w:rPr>
              <w:t>»</w:t>
            </w:r>
            <w:proofErr w:type="gram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(далее – Закон о рекламе) информация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о типах и видах рекламных конструкций должна содержать схема размещения рекламных конструкций (далее - схема). При этом схема согласно подпункту 29 пункта 2 статьи 40 Устава города Сургута подлежит утверждению администрацией города Сургута.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Кроме того, нормативными положениями Федерального закона от 13.03.2006 № 38-ФЗ «О рекламе», а также Устава города Сургута, полномочия Думы города Сургута в сфере регулирования правоотношений, связанных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 распространением на территории муниципального образования наружной рекламы, не определены. При указанных обстоятельствах, принимая во внимание пункт 3 статьи 40 Устава города Сургута, полагаю, что нормативное правовое регулирование рассматриваемой сферы относится к компетенции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администрации города Сургута. </w:t>
            </w:r>
          </w:p>
        </w:tc>
        <w:tc>
          <w:tcPr>
            <w:tcW w:w="3034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Отклонить.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Согласно пункту 25 части 1 статьи 16 Федерального закона от 06.10.2003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№ 131-ФЗ «Об общих принципах организации местного самоуправления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Российской Федерации» (далее - Федерального закона от 06.10.2003 № 131-ФЗ) к вопросам местного значения городского округа относятся, в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>., организация благоустройства и озеленения территории городского округа, в частности, вопросы внешнего оформления улиц и зданий.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Кроме этого, пунктом 26.1 части 1 статьи 16 Федерального закона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от 06.10.2003 № 131-ФЗ к вопросам местного значения отнесено утверждение схемы размещения рекламных конструкций, выдача разрешений на установку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законом «О рекламе».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Данные положения продублированы пунктом 38 статьи 7 Устава города Сургута, которым установлено, что к вопросам местного значения относится утверждение схемы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Таким образом, орган местного самоуправления в праве самостоятельно устанавливать правила распространения наружной рекламы на территории муниципального образования, в том числе устанавливать требования к допустимым типам и видам рекламных конструкций.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Согласно пункту 5.8 статьи 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РФ или муниципальной собственности.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сложившейся застройки, градостроительных норм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в порядке, установленном высшим исполнительным органом государственной власти данного субъекта Российской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«Интернет».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силу пункта 4 статьи 2 Правил согласование схемы размещения рекламных конструкций осуществляется в соответствии с постановлением Правительства Ханты-Мансийского автономного округа – Югры от 26.09.2013 № 384-п «О Порядке предварительного согласования схемы размещения рекламных конструкций на земельных участках независимо от форм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собственности, а также на зданиях или ином недвижимом имуществе, находящихся в собственности Ханты-Мансийского автономного округа – Югры или в собственности муниципальных образований Ханты-Мансийского автономного округа – Югры, и вносимых в нее изменений».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Схема размещения рекламных конструкций на территории города Сургута утверждена постановлением Администрации г. Сургута от 19.03.2014 № 1846.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Соответственно Администрацией г. Сургута в полной мере исполнена обязанность по утверждению схемы размещения рекламных конструкций, возложенная Законом о рекламе.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Уполномоченный предлагает признать утратившим силу решение Думы города от 29.09.2006 № 74-IV ДГ «О Правилах распространения наружной рекламы на территории города Сургута» и принять аналогичный правовой акт Администрацией города.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Также Уполномоченный утверждает, что статьей 3 Правил определены типы и виды рекламных конструкций. При этом согласно части 5.8 статьи 19 Закона о рекламе схема должна содержать информацию о типах и видах рекламных конструкций, установка которых допускается на данных местах. При этом схема согласно подпункту 29 пункта 2 статьи 40 Устава города Сургута подлежит утверждению Администрацией города.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Необходимо отметить, что в силу части 5.8 статьи 19 Закона о рекламе схема является документом,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определяющим места размещения рекламных конструкций, типы и виды рекламных конструкций, установка которых допускается на данных местах.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Таким образом, Администрация города в схеме утверждает не требования к рекламным конструкциям, а лишь информацию о типах и видах рекламных конструкций, установка которых допускается на данных местах.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то же время в силу пункта 4 части 15 статьи 19 Закона о рекламе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Из вышеизложенного видно, что Закон о рекламе не определяет, какой именно орган местного самоуправления определяет требования к рекламным конструкциям с учетом необходимости сохранения внешнего архитектурного облика сложившейся застройки.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На территории городского округа город Сургут данные требования определены в Правилах, утверждённых решением Думы.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Таким образом, пробелов в правовом регулировании вопроса утверждения схемы и определения требований к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рекламным конструкциям с учетом необходимости сохранения внешнего архитектурного облика сложившейся застройки на территории городского округа город Сургут не усматривается.</w:t>
            </w:r>
          </w:p>
        </w:tc>
        <w:tc>
          <w:tcPr>
            <w:tcW w:w="2126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lastRenderedPageBreak/>
              <w:t>Разногласия не урегулированы.</w:t>
            </w:r>
          </w:p>
          <w:p w:rsidR="00641F25" w:rsidRPr="00E8550B" w:rsidRDefault="00641F25" w:rsidP="00641F25">
            <w:pPr>
              <w:ind w:right="-1"/>
              <w:rPr>
                <w:rFonts w:cs="Times New Roman"/>
                <w:sz w:val="22"/>
              </w:rPr>
            </w:pP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cs="Times New Roman"/>
                <w:sz w:val="22"/>
              </w:rPr>
              <w:t>Уполномоченный по защите прав предпринимателей направил свои замечания в прокуратуру города Сургута.</w:t>
            </w:r>
          </w:p>
        </w:tc>
      </w:tr>
      <w:tr w:rsidR="00641F25" w:rsidRPr="00E8550B" w:rsidTr="00162183">
        <w:tc>
          <w:tcPr>
            <w:tcW w:w="2155" w:type="dxa"/>
            <w:vMerge/>
            <w:shd w:val="clear" w:color="auto" w:fill="auto"/>
          </w:tcPr>
          <w:p w:rsidR="00641F25" w:rsidRPr="00E8550B" w:rsidRDefault="00641F25" w:rsidP="00641F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2. Статьей 4 Правил установлены дополнительные требования к рекламным конструкциям в целях сохранения внешнего архитектурного облика сложившейся застройки города Сургута. Право установления требований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к рекламным конструкциям в обеспечение сохранения внешнего архитектурного облика сложившейся застройки муниципального образования предусмотрено пунктом 4 части 15 статьи 19 Закона о рекламе. Однако, отдельные требования, содержащиеся в рассматриваемой норме, представляются избыточными. Так, полагаю, что требование об эксплуатации рекламных конструкций, не имеющих никаких механических повреждений, в отсутствие дополнительных критериев оценки конструкций на предмет наличия повреждений (к примеру: возможность допуска к эксплуатации конструкции, имеющей повреждения на площади, не превышающей 10% от общей площади лицевой стороны соответствующего полотна), заведомо трудновыполнимо и сопряжено со значительными финансовыми затратами со стороны субъектов предпринимательской деятельности.</w:t>
            </w:r>
          </w:p>
        </w:tc>
        <w:tc>
          <w:tcPr>
            <w:tcW w:w="3034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Отклонить.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Пунктом 4 части 1 статьи 4 Правил распространения наружной рекламы на территории города установлен запрет на эксплуатацию рекламных конструкций, имеющих повреждения целостности рекламного изображения, содержащих на поверхности опоры рекламной конструкции посторонних надписей, рисунков, объявлений и их частей, имеющих механические повреждения (трещины, сколы, вмятины и др. дефекты), загрязнения, ржавчину, имеющих неисправные осветительные приборы, а также эксплуатировать односторонние рекламные конструкции, задняя стенка которых не обшита пластиковыми или металлическими панелями.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Данная норма введена для обеспечения целей принятия Правил распространения наружной рекламы на территории города, указанных в части 1 статьи 1, а именно упорядочение размещения и определения требований к размещению рекламных конструкций на территории города Сургута, осуществления контроля за сохранением внешнего архитектурного облика сложившейся застройки города, установления единых требований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к рекламным конструкциям, к их установке, эксплуатации и территориальному размещению, обеспечения в процессе установки и эксплуатации рекламных конструкций безопасности </w:t>
            </w: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дорожного движения и предотвращения угрозы для жизни и здоровья людей.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  <w:t xml:space="preserve">При незначительных механических повреждениях рекламных конструкций финансовая затрата субъектов предпринимательской деятельности также будет незначительная.   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  <w:t xml:space="preserve">Следовательно, данное обязательство по использованию рекламных конструкций, в надлежащем состоянии не является трудновыполнимым для субъекта предпринимательской деятельности. </w:t>
            </w:r>
          </w:p>
        </w:tc>
        <w:tc>
          <w:tcPr>
            <w:tcW w:w="2126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Замечание снято.</w:t>
            </w:r>
          </w:p>
          <w:p w:rsidR="00641F25" w:rsidRPr="00E8550B" w:rsidRDefault="00641F25" w:rsidP="00641F25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162183" w:rsidRPr="00E8550B" w:rsidTr="007C55B1">
        <w:trPr>
          <w:trHeight w:val="8449"/>
        </w:trPr>
        <w:tc>
          <w:tcPr>
            <w:tcW w:w="2155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cs="Times New Roman"/>
                <w:color w:val="000000" w:themeColor="text1"/>
                <w:sz w:val="22"/>
              </w:rPr>
            </w:pPr>
            <w:r w:rsidRPr="00E8550B">
              <w:rPr>
                <w:rFonts w:cs="Times New Roman"/>
                <w:color w:val="000000" w:themeColor="text1"/>
                <w:sz w:val="22"/>
              </w:rPr>
              <w:t xml:space="preserve">ИП </w:t>
            </w:r>
            <w:proofErr w:type="spellStart"/>
            <w:r w:rsidRPr="00E8550B">
              <w:rPr>
                <w:rFonts w:cs="Times New Roman"/>
                <w:color w:val="000000" w:themeColor="text1"/>
                <w:sz w:val="22"/>
              </w:rPr>
              <w:t>Самиев</w:t>
            </w:r>
            <w:proofErr w:type="spellEnd"/>
            <w:r w:rsidRPr="00E8550B">
              <w:rPr>
                <w:rFonts w:cs="Times New Roman"/>
                <w:color w:val="000000" w:themeColor="text1"/>
                <w:sz w:val="22"/>
              </w:rPr>
              <w:t xml:space="preserve"> С.В.</w:t>
            </w:r>
          </w:p>
        </w:tc>
        <w:tc>
          <w:tcPr>
            <w:tcW w:w="2835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Правилами распространения наружной рекламы на территории города Сургута, утвержденными 04 июня 2019 г. определены следующие виды наружной рекламы: реклама на остановках; стелы; щиты,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суперсайты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>; сити-формат, сити-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борд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медиафасады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>; крышные конструкции. Размещение настенных панно (брандмауэров) на фасадах многоквартирных жилых домов не предусмотрено.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Крупноформатные брандмауэры являются основным источником дохода для предпринимателей, занимающихся размещением наружной рекламы на фасадах домов и исключение данного формата существенно затруднит ведение предпринимательской деятельности для федеральных компаний, локальных представителей оставит без работы после окончания действующих разрешений, а собственников помещений многоквартирных жилых домов лишит возможности зарабатывать сотни тысяч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рублей на сдаче в аренду фасадов.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Я полностью поддерживаю необходимость сохранить визуальную эстетику города, в том числе с помощью очистки зданий от рекламы, выполненной с нарушениями архитектурного облика и предотвратить подобные размещения в будущем, но не все брандмауэры нарушают архитектурный облик.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Совестно с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ДАиГ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города Сургута, наша компания как участник рабочей группы по взаимодействию субъектов рекламного сообщества с Администрацией города, разработала интерактивную схему и правила размещения крупноформатных рекламных конструкций, не нарушающих архитектурный облик, сложившийся застройки. 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Используя эти данные, возможно определить итоговый перечень домов, на которых возможно размещение крупноформатных брандмауэров для реализации коммерческих рекламных компаний и сохранения данного вида деятельности.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На практике из-за высокой стоимости данной услуги в Сургуте одновременно не размещалось более 20-30 крупноформатных брандмауэров для реализации коммерческих рекламных компаний и сохранения данного вида деятельности.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связи с изложенным, прошу включить в перечень допустимых видов размещения наружной рекламы, установленных Решением Думы - настенные панно и рассмотреть предлагаемую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схеме размещения крупноформатной наружной рекламы.</w:t>
            </w:r>
          </w:p>
        </w:tc>
        <w:tc>
          <w:tcPr>
            <w:tcW w:w="3034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Отклонить.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Статьей 3 Правил распространения наружной рекламы на территории города допускается установка и эксплуатация следующих типов рекламных конструкций: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1) отдельно стоящие рекламные конструкции, размещаемые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на земельных участках;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2) рекламные конструкции, размещаемые на зданиях, сооружениях, элементах благоустройства города;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3) временные рекламные конструкции.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 рекламным конструкциям, размещаемым на зданиях, сооружениях, элементах благоустройства города отнесены: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1) рекламная конструкция в составе остановочного пункта движения общественного транспорта - рекламная конструкция, совмещённая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 конструктивными элементами остановочного пункта движения общественного транспорта. Размер информационного поля рекламной конструкции в составе остановочного пункта движения общественного транспорта составляет 1,2 м х 1,8 м,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площадь информационного поля определяется общей площадью двух его сторон;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2) стелы – рекламные конструкции, размещаемые в границах земельных участков, на которых расположены торговые центры (отдельно стоящие нежилые здания (строения, сооружения), предназначенные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используемые в целях размещения в них торговых объектов, объектов общественного питания и (или) объектов бытового обслуживания (далее – торговые объекты), предназначенные для размещения на таких стелах информации о торговых объектах, расположенных в торговых центрах. Размер информационного поля стелы определяется площадью поверхностей, предназначенных для размещения информации о торговых объектах;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3)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- рекламная конструкция, информационное поле которой должно использоваться для распространения рекламы (социальной рекламы) исключительно с помощью электронной системы демонстрации и смены рекламы (социальной рекламы), размещаемая непосредственно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на внешней поверхности стен зданий, строений, сооружений или на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металлокаркасе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, повторяющем пластику стены (в случае размещения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медиафасада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на существующем остеклении здания, строения, сооружения). На одной плоскости стены здания (строения, сооружения) может размещаться только одна конструкция указанного типа. Размер информационного поля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медиафасада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определяется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площадью поверхности, предназначенной для размещения рекламы (социальной рекламы);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4) крышная рекламная конструкция - рекламная конструкция в виде отдельных символов (</w:t>
            </w:r>
            <w:proofErr w:type="gramStart"/>
            <w:r w:rsidRPr="00E8550B">
              <w:rPr>
                <w:rFonts w:eastAsia="Times New Roman" w:cs="Times New Roman"/>
                <w:sz w:val="22"/>
                <w:lang w:eastAsia="ru-RU"/>
              </w:rPr>
              <w:t>букв,  цифр</w:t>
            </w:r>
            <w:proofErr w:type="gram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,  художественных  элементов,  логотипов),  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 Размер информационного поля крышной рекламной конструкции определяется совокупной площадью символов, используемых в конструкции.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Согласно части 5 статьи 3 Правил распространения наружной рекламы на территории города Сургута разрешается установка и эксплуатация исключительно указанных в частях 2 – 4 статьи 3 типов рекламных конструкций. Размещение иных типов рекламных конструкций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не допускается.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Данная норма введена для обеспечения целей принятия Правил распространения наружной рекламы на территории города, указанных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части 1 статьи 1, а именно упорядочение размещения и определения требований к размещению рекламных конструкций на территории города Сургута, осуществления контроля за сохранением внешнего архитектурного облика сложившейся застройки города, установления единых требований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 рекламным конструкциям, к их установке, эксплуатации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 территориальному размещению, обеспечения в процессе установки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эксплуатации рекламных конструкций безопасности дорожного движения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и предотвращения угрозы для жизни и здоровья людей.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Ограничение по размещению рекламных конструкций на зданиях, сооружениях, элементах благоустройства города возникло не случайно, оно обусловлено прогрессирующим с каждым годом, трудно контролируемым ростом количества размещаемой в городе наружной рекламы в целом и бессистемно размещаемой в ущерб архитектурному облику города рекламой, в частности.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Решение о введении данного ограничения было принято Администрацией города как крайняя мера по наведению порядка в сфере распространения наружной рекламы, с учетом требований Думы города и требований руководства округа по освобождению городов ХМАО – Югры от визуального мусора.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Соответственно требования о включении в Правила распространения наружной рекламы на территории города Сургута настенных панно (брандмауэров) противоречит целям принятия данных Правил и принципам регулирования распространения наружной рекламы на территории города.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Таким образом, включение настенных панно (брандмауэров)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в перечень видов рекламных конструкций допустимых к установке и эксплуатации не представляется возможным.</w:t>
            </w:r>
          </w:p>
        </w:tc>
        <w:tc>
          <w:tcPr>
            <w:tcW w:w="2126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Разногласия не урегулированы.</w:t>
            </w:r>
          </w:p>
        </w:tc>
      </w:tr>
      <w:tr w:rsidR="00162183" w:rsidRPr="00E8550B" w:rsidTr="00162183">
        <w:tc>
          <w:tcPr>
            <w:tcW w:w="2155" w:type="dxa"/>
            <w:shd w:val="clear" w:color="auto" w:fill="auto"/>
          </w:tcPr>
          <w:p w:rsidR="00162183" w:rsidRPr="00E8550B" w:rsidRDefault="0057011C" w:rsidP="0057011C">
            <w:pPr>
              <w:rPr>
                <w:sz w:val="24"/>
                <w:szCs w:val="24"/>
              </w:rPr>
            </w:pPr>
            <w:proofErr w:type="spellStart"/>
            <w:r w:rsidRPr="0057011C">
              <w:rPr>
                <w:sz w:val="24"/>
                <w:szCs w:val="24"/>
              </w:rPr>
              <w:lastRenderedPageBreak/>
              <w:t>Лукьянчук</w:t>
            </w:r>
            <w:proofErr w:type="spellEnd"/>
            <w:r w:rsidRPr="0057011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</w:tcPr>
          <w:p w:rsidR="00162183" w:rsidRPr="00E8550B" w:rsidRDefault="0057011C" w:rsidP="00EB583C">
            <w:pPr>
              <w:rPr>
                <w:sz w:val="24"/>
                <w:szCs w:val="24"/>
              </w:rPr>
            </w:pPr>
            <w:r w:rsidRPr="00E8550B">
              <w:rPr>
                <w:sz w:val="24"/>
                <w:szCs w:val="24"/>
              </w:rPr>
              <w:t xml:space="preserve">Замечания </w:t>
            </w:r>
            <w:r w:rsidR="00EB583C">
              <w:rPr>
                <w:sz w:val="24"/>
                <w:szCs w:val="24"/>
              </w:rPr>
              <w:t xml:space="preserve">и (или) </w:t>
            </w:r>
            <w:r w:rsidRPr="00E8550B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034" w:type="dxa"/>
            <w:shd w:val="clear" w:color="auto" w:fill="auto"/>
          </w:tcPr>
          <w:p w:rsidR="00162183" w:rsidRPr="00E8550B" w:rsidRDefault="0057011C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50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62183" w:rsidRPr="00E8550B" w:rsidRDefault="0057011C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50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2183" w:rsidRPr="00E8550B" w:rsidRDefault="00162183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9145E" w:rsidRPr="00E8550B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замечаний (предложений) в адрес участник</w:t>
      </w:r>
      <w:r w:rsidR="00BB76C8" w:rsidRPr="00E8550B">
        <w:rPr>
          <w:rFonts w:eastAsia="Times New Roman" w:cs="Times New Roman"/>
          <w:szCs w:val="28"/>
          <w:lang w:eastAsia="ru-RU"/>
        </w:rPr>
        <w:t>ов</w:t>
      </w:r>
      <w:r w:rsidRPr="00E8550B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BB76C8" w:rsidRPr="00E8550B">
        <w:rPr>
          <w:rFonts w:eastAsia="Times New Roman" w:cs="Times New Roman"/>
          <w:szCs w:val="28"/>
          <w:lang w:eastAsia="ru-RU"/>
        </w:rPr>
        <w:t>ы</w:t>
      </w:r>
      <w:r w:rsidRPr="00E8550B">
        <w:rPr>
          <w:rFonts w:eastAsia="Times New Roman" w:cs="Times New Roman"/>
          <w:szCs w:val="28"/>
          <w:lang w:eastAsia="ru-RU"/>
        </w:rPr>
        <w:t xml:space="preserve"> письм</w:t>
      </w:r>
      <w:r w:rsidR="00BB76C8" w:rsidRPr="00E8550B">
        <w:rPr>
          <w:rFonts w:eastAsia="Times New Roman" w:cs="Times New Roman"/>
          <w:szCs w:val="28"/>
          <w:lang w:eastAsia="ru-RU"/>
        </w:rPr>
        <w:t>а</w:t>
      </w:r>
      <w:r w:rsidRPr="00E8550B">
        <w:rPr>
          <w:rFonts w:eastAsia="Times New Roman" w:cs="Times New Roman"/>
          <w:szCs w:val="28"/>
          <w:lang w:eastAsia="ru-RU"/>
        </w:rPr>
        <w:t>-уведомлени</w:t>
      </w:r>
      <w:r w:rsidR="00BB76C8" w:rsidRPr="00E8550B">
        <w:rPr>
          <w:rFonts w:eastAsia="Times New Roman" w:cs="Times New Roman"/>
          <w:szCs w:val="28"/>
          <w:lang w:eastAsia="ru-RU"/>
        </w:rPr>
        <w:t>я</w:t>
      </w:r>
      <w:r w:rsidRPr="00E8550B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:rsidR="00162183" w:rsidRPr="00E8550B" w:rsidRDefault="00162183" w:rsidP="0016218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участниками публичных консультаций в форме 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телефонных </w:t>
      </w:r>
      <w:r w:rsidRPr="00E8550B">
        <w:rPr>
          <w:rFonts w:eastAsia="Times New Roman" w:cs="Times New Roman"/>
          <w:szCs w:val="28"/>
          <w:lang w:eastAsia="ru-RU"/>
        </w:rPr>
        <w:t>переговоров.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 </w:t>
      </w:r>
      <w:r w:rsidRPr="00E8550B">
        <w:rPr>
          <w:rFonts w:eastAsia="Times New Roman" w:cs="Times New Roman"/>
          <w:szCs w:val="28"/>
          <w:lang w:eastAsia="ru-RU"/>
        </w:rPr>
        <w:t>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 частично</w:t>
      </w:r>
      <w:r w:rsidRPr="00E8550B">
        <w:rPr>
          <w:rFonts w:eastAsia="Times New Roman" w:cs="Times New Roman"/>
          <w:szCs w:val="28"/>
          <w:lang w:eastAsia="ru-RU"/>
        </w:rPr>
        <w:t xml:space="preserve"> сняты (протокол</w:t>
      </w:r>
      <w:r w:rsidR="00BB76C8" w:rsidRPr="00E8550B">
        <w:rPr>
          <w:rFonts w:eastAsia="Times New Roman" w:cs="Times New Roman"/>
          <w:szCs w:val="28"/>
          <w:lang w:eastAsia="ru-RU"/>
        </w:rPr>
        <w:t>ы</w:t>
      </w:r>
      <w:r w:rsidRPr="00E8550B">
        <w:rPr>
          <w:rFonts w:eastAsia="Times New Roman" w:cs="Times New Roman"/>
          <w:szCs w:val="28"/>
          <w:lang w:eastAsia="ru-RU"/>
        </w:rPr>
        <w:t xml:space="preserve"> от </w:t>
      </w:r>
      <w:r w:rsidR="00BB76C8" w:rsidRPr="00E8550B">
        <w:rPr>
          <w:rFonts w:eastAsia="Times New Roman" w:cs="Times New Roman"/>
          <w:szCs w:val="28"/>
          <w:lang w:eastAsia="ru-RU"/>
        </w:rPr>
        <w:t>26</w:t>
      </w:r>
      <w:r w:rsidRPr="00E8550B">
        <w:rPr>
          <w:rFonts w:eastAsia="Times New Roman" w:cs="Times New Roman"/>
          <w:szCs w:val="28"/>
          <w:lang w:eastAsia="ru-RU"/>
        </w:rPr>
        <w:t>.0</w:t>
      </w:r>
      <w:r w:rsidR="00BB76C8" w:rsidRPr="00E8550B">
        <w:rPr>
          <w:rFonts w:eastAsia="Times New Roman" w:cs="Times New Roman"/>
          <w:szCs w:val="28"/>
          <w:lang w:eastAsia="ru-RU"/>
        </w:rPr>
        <w:t>2</w:t>
      </w:r>
      <w:r w:rsidRPr="00E8550B">
        <w:rPr>
          <w:rFonts w:eastAsia="Times New Roman" w:cs="Times New Roman"/>
          <w:szCs w:val="28"/>
          <w:lang w:eastAsia="ru-RU"/>
        </w:rPr>
        <w:t>.20</w:t>
      </w:r>
      <w:r w:rsidR="00BB76C8" w:rsidRPr="00E8550B">
        <w:rPr>
          <w:rFonts w:eastAsia="Times New Roman" w:cs="Times New Roman"/>
          <w:szCs w:val="28"/>
          <w:lang w:eastAsia="ru-RU"/>
        </w:rPr>
        <w:t>20, от 27.02.2020</w:t>
      </w:r>
      <w:r w:rsidRPr="00E8550B">
        <w:rPr>
          <w:rFonts w:eastAsia="Times New Roman" w:cs="Times New Roman"/>
          <w:szCs w:val="28"/>
          <w:lang w:eastAsia="ru-RU"/>
        </w:rPr>
        <w:t>).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 </w:t>
      </w:r>
    </w:p>
    <w:p w:rsidR="00162183" w:rsidRPr="00E8550B" w:rsidRDefault="00162183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316FA" w:rsidRPr="00E8550B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E8550B" w:rsidRDefault="00664779" w:rsidP="00664779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E8550B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8550B">
        <w:rPr>
          <w:rFonts w:cs="Times New Roman"/>
          <w:szCs w:val="28"/>
        </w:rPr>
        <w:t xml:space="preserve">1. Процедуры ОФВ, предусмотренные порядком, </w:t>
      </w:r>
      <w:r w:rsidRPr="00E8550B">
        <w:rPr>
          <w:rFonts w:cs="Times New Roman"/>
          <w:i/>
          <w:szCs w:val="28"/>
          <w:u w:val="single"/>
        </w:rPr>
        <w:t>соблюдены.</w:t>
      </w:r>
    </w:p>
    <w:p w:rsidR="00664779" w:rsidRPr="00E8550B" w:rsidRDefault="00664779" w:rsidP="00664779">
      <w:pPr>
        <w:ind w:firstLine="567"/>
        <w:jc w:val="both"/>
        <w:rPr>
          <w:szCs w:val="28"/>
        </w:rPr>
      </w:pPr>
      <w:r w:rsidRPr="00E8550B">
        <w:rPr>
          <w:rFonts w:cs="Times New Roman"/>
          <w:szCs w:val="28"/>
        </w:rPr>
        <w:t>2. С</w:t>
      </w:r>
      <w:r w:rsidRPr="00E8550B">
        <w:rPr>
          <w:szCs w:val="28"/>
        </w:rPr>
        <w:t>водный отчет об оценке фактического воздействия:</w:t>
      </w:r>
    </w:p>
    <w:p w:rsidR="00664779" w:rsidRPr="00E8550B" w:rsidRDefault="00664779" w:rsidP="00664779">
      <w:pPr>
        <w:ind w:firstLine="567"/>
        <w:jc w:val="both"/>
        <w:rPr>
          <w:szCs w:val="28"/>
        </w:rPr>
      </w:pPr>
      <w:r w:rsidRPr="00E8550B">
        <w:rPr>
          <w:szCs w:val="28"/>
        </w:rPr>
        <w:t xml:space="preserve">2.1. Форма отчета </w:t>
      </w:r>
      <w:r w:rsidRPr="00E8550B">
        <w:rPr>
          <w:i/>
          <w:szCs w:val="28"/>
          <w:u w:val="single"/>
        </w:rPr>
        <w:t>соответствует</w:t>
      </w:r>
      <w:r w:rsidRPr="00E8550B">
        <w:rPr>
          <w:szCs w:val="28"/>
        </w:rPr>
        <w:t xml:space="preserve"> порядку.</w:t>
      </w:r>
    </w:p>
    <w:p w:rsidR="00F95FFF" w:rsidRPr="00E8550B" w:rsidRDefault="00F95FFF" w:rsidP="00664779">
      <w:pPr>
        <w:ind w:firstLine="567"/>
        <w:jc w:val="both"/>
        <w:rPr>
          <w:szCs w:val="28"/>
        </w:rPr>
      </w:pPr>
    </w:p>
    <w:p w:rsidR="00EB583C" w:rsidRPr="00C17078" w:rsidRDefault="00EB583C" w:rsidP="00EB583C">
      <w:pPr>
        <w:ind w:firstLine="567"/>
        <w:jc w:val="both"/>
        <w:rPr>
          <w:i/>
          <w:szCs w:val="28"/>
          <w:u w:val="single"/>
        </w:rPr>
      </w:pPr>
      <w:r w:rsidRPr="00C17078">
        <w:rPr>
          <w:spacing w:val="-6"/>
          <w:szCs w:val="28"/>
        </w:rPr>
        <w:t xml:space="preserve">2.2. Информация, содержащаяся в отчете об ОФВ, </w:t>
      </w:r>
      <w:r w:rsidRPr="00C17078">
        <w:rPr>
          <w:i/>
          <w:szCs w:val="28"/>
          <w:u w:val="single"/>
        </w:rPr>
        <w:t>достаточна.</w:t>
      </w:r>
    </w:p>
    <w:p w:rsidR="00EB583C" w:rsidRDefault="00EB583C" w:rsidP="00EB583C">
      <w:pPr>
        <w:ind w:firstLine="567"/>
        <w:jc w:val="both"/>
        <w:rPr>
          <w:rFonts w:cs="Times New Roman"/>
          <w:szCs w:val="28"/>
        </w:rPr>
      </w:pPr>
    </w:p>
    <w:p w:rsidR="00EB583C" w:rsidRPr="00C17078" w:rsidRDefault="00EB583C" w:rsidP="00EB583C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3. Заявленные цели правового регулирования </w:t>
      </w:r>
      <w:r w:rsidRPr="00C17078">
        <w:rPr>
          <w:i/>
          <w:szCs w:val="28"/>
          <w:u w:val="single"/>
        </w:rPr>
        <w:t>достигнуты.</w:t>
      </w:r>
    </w:p>
    <w:p w:rsidR="00EB583C" w:rsidRPr="00C17078" w:rsidRDefault="00EB583C" w:rsidP="00EB583C">
      <w:pPr>
        <w:jc w:val="center"/>
        <w:rPr>
          <w:rFonts w:cs="Times New Roman"/>
          <w:color w:val="FF0000"/>
          <w:sz w:val="22"/>
          <w:szCs w:val="28"/>
        </w:rPr>
      </w:pPr>
    </w:p>
    <w:p w:rsidR="00EB583C" w:rsidRPr="00C17078" w:rsidRDefault="00EB583C" w:rsidP="00EB583C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акта.</w:t>
      </w:r>
    </w:p>
    <w:p w:rsidR="00EB583C" w:rsidRDefault="00EB583C" w:rsidP="006E62DB">
      <w:pPr>
        <w:ind w:firstLine="567"/>
        <w:jc w:val="both"/>
        <w:rPr>
          <w:spacing w:val="-6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="00C9581B" w:rsidRPr="00C9581B">
        <w:rPr>
          <w:rFonts w:cs="Times New Roman"/>
          <w:i/>
          <w:szCs w:val="28"/>
          <w:u w:val="single"/>
        </w:rPr>
        <w:t xml:space="preserve">не </w:t>
      </w:r>
      <w:r w:rsidRPr="00C9581B">
        <w:rPr>
          <w:rFonts w:cs="Times New Roman"/>
          <w:i/>
          <w:szCs w:val="28"/>
          <w:u w:val="single"/>
        </w:rPr>
        <w:t>выявлены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674F8F" w:rsidRPr="00C17078" w:rsidRDefault="00674F8F" w:rsidP="0065192B">
      <w:pPr>
        <w:ind w:firstLine="567"/>
        <w:jc w:val="both"/>
      </w:pPr>
    </w:p>
    <w:p w:rsidR="00760966" w:rsidRPr="00EB583C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EB583C">
        <w:rPr>
          <w:rFonts w:cs="Times New Roman"/>
          <w:szCs w:val="28"/>
          <w:u w:val="single"/>
        </w:rPr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581B" w:rsidRDefault="00B31875" w:rsidP="009C2D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Представленное обоснование департамента архитектуры и градостроительства в части отклонения замечаний (предложений) участников публичных консультаций (с учетом разъяснений правового управления от 25.02.2020 № 17-06-460/0) считать обоснованным.</w:t>
      </w:r>
    </w:p>
    <w:p w:rsidR="009C2D6C" w:rsidRPr="00E8550B" w:rsidRDefault="00B31875" w:rsidP="009C2D6C">
      <w:pPr>
        <w:ind w:firstLine="567"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>В случае получения информации от П</w:t>
      </w:r>
      <w:r w:rsidRPr="00E8550B">
        <w:rPr>
          <w:rFonts w:cs="Times New Roman"/>
          <w:szCs w:val="28"/>
        </w:rPr>
        <w:t xml:space="preserve">рокуратуры города Сургута, </w:t>
      </w:r>
      <w:r w:rsidR="00721883" w:rsidRPr="00E8550B">
        <w:rPr>
          <w:rFonts w:cs="Times New Roman"/>
          <w:szCs w:val="28"/>
        </w:rPr>
        <w:t>предлагаем совместно</w:t>
      </w:r>
      <w:r w:rsidR="00E8550B" w:rsidRPr="00E8550B">
        <w:rPr>
          <w:rFonts w:cs="Times New Roman"/>
          <w:szCs w:val="28"/>
        </w:rPr>
        <w:t>е</w:t>
      </w:r>
      <w:r w:rsidR="00721883" w:rsidRPr="00E8550B">
        <w:rPr>
          <w:rFonts w:cs="Times New Roman"/>
          <w:szCs w:val="28"/>
        </w:rPr>
        <w:t xml:space="preserve"> рассмотрение замечаний и предложений</w:t>
      </w:r>
      <w:r w:rsidR="009C2D6C" w:rsidRPr="00E8550B">
        <w:rPr>
          <w:rFonts w:cs="Times New Roman"/>
          <w:szCs w:val="28"/>
        </w:rPr>
        <w:t>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841CEC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 о. н</w:t>
      </w:r>
      <w:r w:rsidR="000F797D" w:rsidRPr="00ED4CA0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841CEC">
        <w:rPr>
          <w:rFonts w:eastAsia="Times New Roman" w:cs="Times New Roman"/>
          <w:szCs w:val="28"/>
          <w:lang w:eastAsia="ru-RU"/>
        </w:rPr>
        <w:t>Е.Л. Яцутко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E6621F">
        <w:rPr>
          <w:rFonts w:eastAsia="Times New Roman" w:cs="Times New Roman"/>
          <w:szCs w:val="28"/>
          <w:u w:val="single"/>
          <w:lang w:eastAsia="ru-RU"/>
        </w:rPr>
        <w:t>06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марта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E8550B">
      <w:headerReference w:type="default" r:id="rId9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62183"/>
    <w:rsid w:val="0017069D"/>
    <w:rsid w:val="00192B18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011C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41F25"/>
    <w:rsid w:val="00650C6B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21883"/>
    <w:rsid w:val="00747332"/>
    <w:rsid w:val="00750175"/>
    <w:rsid w:val="00755C14"/>
    <w:rsid w:val="007575C9"/>
    <w:rsid w:val="00760966"/>
    <w:rsid w:val="00790131"/>
    <w:rsid w:val="00791E74"/>
    <w:rsid w:val="00795B2F"/>
    <w:rsid w:val="007A7E04"/>
    <w:rsid w:val="007B0A9E"/>
    <w:rsid w:val="007B0D96"/>
    <w:rsid w:val="007B6D10"/>
    <w:rsid w:val="007C55B1"/>
    <w:rsid w:val="007D7361"/>
    <w:rsid w:val="007E30F6"/>
    <w:rsid w:val="007E6445"/>
    <w:rsid w:val="007F31C3"/>
    <w:rsid w:val="00800AF9"/>
    <w:rsid w:val="00804F2E"/>
    <w:rsid w:val="0081254B"/>
    <w:rsid w:val="00812D4C"/>
    <w:rsid w:val="0082446C"/>
    <w:rsid w:val="008247CC"/>
    <w:rsid w:val="0083394A"/>
    <w:rsid w:val="00841CE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17166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2387"/>
    <w:rsid w:val="00AF306E"/>
    <w:rsid w:val="00AF3A0C"/>
    <w:rsid w:val="00AF5D12"/>
    <w:rsid w:val="00AF6EA0"/>
    <w:rsid w:val="00B01688"/>
    <w:rsid w:val="00B07739"/>
    <w:rsid w:val="00B249AB"/>
    <w:rsid w:val="00B26988"/>
    <w:rsid w:val="00B26E62"/>
    <w:rsid w:val="00B31875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B76C8"/>
    <w:rsid w:val="00BC3C71"/>
    <w:rsid w:val="00BC708E"/>
    <w:rsid w:val="00BD6272"/>
    <w:rsid w:val="00BD727C"/>
    <w:rsid w:val="00BF0B43"/>
    <w:rsid w:val="00C00BB4"/>
    <w:rsid w:val="00C019AE"/>
    <w:rsid w:val="00C17078"/>
    <w:rsid w:val="00C24313"/>
    <w:rsid w:val="00C266B5"/>
    <w:rsid w:val="00C3249C"/>
    <w:rsid w:val="00C32C61"/>
    <w:rsid w:val="00C36218"/>
    <w:rsid w:val="00C449C8"/>
    <w:rsid w:val="00C71C2D"/>
    <w:rsid w:val="00C8006E"/>
    <w:rsid w:val="00C9581B"/>
    <w:rsid w:val="00CB798B"/>
    <w:rsid w:val="00CE40BC"/>
    <w:rsid w:val="00CE7879"/>
    <w:rsid w:val="00CF3192"/>
    <w:rsid w:val="00D026D7"/>
    <w:rsid w:val="00D02D89"/>
    <w:rsid w:val="00D069E1"/>
    <w:rsid w:val="00D26B81"/>
    <w:rsid w:val="00D6287D"/>
    <w:rsid w:val="00D67732"/>
    <w:rsid w:val="00D740A4"/>
    <w:rsid w:val="00D76B0E"/>
    <w:rsid w:val="00D83B26"/>
    <w:rsid w:val="00D83F37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D71A9"/>
    <w:rsid w:val="00DE2042"/>
    <w:rsid w:val="00DE2ADD"/>
    <w:rsid w:val="00DE7F2A"/>
    <w:rsid w:val="00DF6839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6621F"/>
    <w:rsid w:val="00E72AC1"/>
    <w:rsid w:val="00E767B7"/>
    <w:rsid w:val="00E81DEB"/>
    <w:rsid w:val="00E828F8"/>
    <w:rsid w:val="00E8550B"/>
    <w:rsid w:val="00E90B3D"/>
    <w:rsid w:val="00E957AC"/>
    <w:rsid w:val="00EA18EF"/>
    <w:rsid w:val="00EB338C"/>
    <w:rsid w:val="00EB4088"/>
    <w:rsid w:val="00EB583C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1A8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C4457"/>
    <w:rsid w:val="00FE3511"/>
    <w:rsid w:val="00FE4AFF"/>
    <w:rsid w:val="00FF0746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F55E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3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4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0173-7250-400B-9F11-C6D8A93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9</cp:revision>
  <cp:lastPrinted>2020-03-02T09:53:00Z</cp:lastPrinted>
  <dcterms:created xsi:type="dcterms:W3CDTF">2020-03-06T07:29:00Z</dcterms:created>
  <dcterms:modified xsi:type="dcterms:W3CDTF">2020-03-06T11:17:00Z</dcterms:modified>
</cp:coreProperties>
</file>