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A" w:rsidRDefault="00EB0520">
      <w:pPr>
        <w:pStyle w:val="1"/>
      </w:pPr>
      <w:r>
        <w:fldChar w:fldCharType="begin"/>
      </w:r>
      <w:r>
        <w:instrText>HYPERLINK "garantF1://74427428.0"</w:instrText>
      </w:r>
      <w:r>
        <w:fldChar w:fldCharType="separate"/>
      </w:r>
      <w:r>
        <w:rPr>
          <w:rStyle w:val="a4"/>
          <w:b w:val="0"/>
          <w:bCs w:val="0"/>
        </w:rPr>
        <w:t xml:space="preserve">Распоряжение Губернатора Ханты-Мансийского АО - Югры от 17 августа 2020 г. N 201-рг </w:t>
      </w:r>
      <w:r>
        <w:rPr>
          <w:rStyle w:val="a4"/>
          <w:b w:val="0"/>
          <w:bCs w:val="0"/>
        </w:rPr>
        <w:br/>
        <w:t>"О Плане комплексных мероприятий по профилактике терроризма и реализации в Ханты-Мансийском автономном округе - Югре Концепции противодействия терроризму в Российской Федерации на 2021 - 2025 годы"</w:t>
      </w:r>
      <w:r>
        <w:fldChar w:fldCharType="end"/>
      </w:r>
    </w:p>
    <w:p w:rsidR="00E837BA" w:rsidRDefault="00E837BA"/>
    <w:p w:rsidR="00E837BA" w:rsidRDefault="00EB052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6 марта 2006 года N 35-ФЗ "О противодействии терроризму", указами Президента Российской Федерации </w:t>
      </w:r>
      <w:hyperlink r:id="rId6" w:history="1">
        <w:r>
          <w:rPr>
            <w:rStyle w:val="a4"/>
          </w:rPr>
          <w:t>от 15 февраля 2006 года N 116</w:t>
        </w:r>
      </w:hyperlink>
      <w:r>
        <w:t xml:space="preserve"> "О мерах по противодействию терроризму", </w:t>
      </w:r>
      <w:hyperlink r:id="rId7" w:history="1">
        <w:r>
          <w:rPr>
            <w:rStyle w:val="a4"/>
          </w:rPr>
          <w:t>от 31 декабря 2015 года N 683</w:t>
        </w:r>
      </w:hyperlink>
      <w:r>
        <w:t xml:space="preserve"> "О Стратегии национальной безопасности Российской Федерации", </w:t>
      </w:r>
      <w:hyperlink r:id="rId8" w:history="1">
        <w:r>
          <w:rPr>
            <w:rStyle w:val="a4"/>
          </w:rPr>
          <w:t>Концепцией</w:t>
        </w:r>
      </w:hyperlink>
      <w:r>
        <w:t xml:space="preserve"> противодействия терроризму в Российской Федерации, утвержденной Президентом Российской Федерации 5 октября 2009 года:</w:t>
      </w:r>
    </w:p>
    <w:p w:rsidR="00E837BA" w:rsidRDefault="00EB0520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комплексных мероприятий по профилактике терроризма и реализации в Ханты-Мансийском автономном округе - Югре Концепции противодействия терроризму в Российской Федерации на 2021 - 2025 годы (далее - План).</w:t>
      </w:r>
    </w:p>
    <w:p w:rsidR="00E837BA" w:rsidRDefault="00EB0520">
      <w:bookmarkStart w:id="1" w:name="sub_2"/>
      <w:bookmarkEnd w:id="0"/>
      <w:r>
        <w:t xml:space="preserve">2. Финансовое обеспечение расходных обязательств, связанных с реализацией настоящего распоряжения, осуществлять в пределах бюджетных ассигнований, предусмотренных на выполнение мероприятий государственных программ Ханты-Мансийского автономного округа - Югры и основной деятельности исполнителей </w:t>
      </w:r>
      <w:hyperlink w:anchor="sub_1000" w:history="1">
        <w:r>
          <w:rPr>
            <w:rStyle w:val="a4"/>
          </w:rPr>
          <w:t>Плана</w:t>
        </w:r>
      </w:hyperlink>
      <w:r>
        <w:t>.</w:t>
      </w:r>
    </w:p>
    <w:p w:rsidR="00E837BA" w:rsidRDefault="00EB0520">
      <w:bookmarkStart w:id="2" w:name="sub_3"/>
      <w:bookmarkEnd w:id="1"/>
      <w:r>
        <w:t>3. Руководителям исполнительных органов государственной власти Ханты-Мансийского автономного округа - Югры, реализующих в соответствии с настоящим распоряжением мероприятия по профилактике терроризма в Ханты-Мансийском автономном округе - Югре, представлять в Аппарат Антитеррористической комиссии Ханты-Мансий</w:t>
      </w:r>
      <w:bookmarkStart w:id="3" w:name="_GoBack"/>
      <w:bookmarkEnd w:id="3"/>
      <w:r>
        <w:t xml:space="preserve">ского автономного округа - Югры информацию о выполнении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до 25 июня и до 15 октября отчетного года.</w:t>
      </w:r>
    </w:p>
    <w:p w:rsidR="00E837BA" w:rsidRDefault="00EB0520">
      <w:bookmarkStart w:id="4" w:name="sub_4"/>
      <w:bookmarkEnd w:id="2"/>
      <w:r>
        <w:t xml:space="preserve">4. Рекомендовать руководителям территориальных органов федеральных органов исполнительной власти, реализующих в соответствии с настоящим распоряжением мероприятия по профилактике терроризма в Ханты-Мансийском автономном округе - Югре, представлять в Аппарат Антитеррористической комиссии Ханты-Мансийского автономного округа - Югры информацию о выполнении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до 25 июня и до 15 октября отчетного года.</w:t>
      </w:r>
    </w:p>
    <w:p w:rsidR="00E837BA" w:rsidRDefault="00EB0520">
      <w:bookmarkStart w:id="5" w:name="sub_5"/>
      <w:bookmarkEnd w:id="4"/>
      <w:r>
        <w:t>5. Рекомендовать главам муниципальных образований Ханты-Мансийского автономного округа - Югры:</w:t>
      </w:r>
    </w:p>
    <w:bookmarkEnd w:id="5"/>
    <w:p w:rsidR="00E837BA" w:rsidRDefault="00EB0520">
      <w:r>
        <w:t>5.1. Утвердить планы (программы) комплексных мероприятий по профилактике терроризма в муниципальных образованиях Ханты-Мансийского автономного округа - Югры на 2021 - 2025 годы.</w:t>
      </w:r>
    </w:p>
    <w:p w:rsidR="00E837BA" w:rsidRDefault="00EB0520">
      <w:r>
        <w:t xml:space="preserve">5.2. Представлять в Аппарат Антитеррористической комиссии Ханты-Мансийского автономного округа - Югры информацию о реализации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до 25 июня и до 15 октября отчетного года.</w:t>
      </w:r>
    </w:p>
    <w:p w:rsidR="00E837BA" w:rsidRDefault="00EB0520">
      <w:bookmarkStart w:id="6" w:name="sub_6"/>
      <w:r>
        <w:t>6. Настоящее распоряжение вступает в силу с 1 января 2021 года.</w:t>
      </w:r>
    </w:p>
    <w:bookmarkEnd w:id="6"/>
    <w:p w:rsidR="00E837BA" w:rsidRDefault="00E837B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3"/>
        <w:gridCol w:w="3330"/>
      </w:tblGrid>
      <w:tr w:rsidR="00E837BA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E837BA" w:rsidRDefault="00EB0520">
            <w:pPr>
              <w:pStyle w:val="a6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37BA" w:rsidRDefault="00EB0520">
            <w:pPr>
              <w:pStyle w:val="a5"/>
              <w:jc w:val="right"/>
            </w:pPr>
            <w:r>
              <w:t>Н.В. Комарова</w:t>
            </w:r>
          </w:p>
        </w:tc>
      </w:tr>
    </w:tbl>
    <w:p w:rsidR="00E837BA" w:rsidRDefault="00E837BA"/>
    <w:p w:rsidR="00E837BA" w:rsidRDefault="00EB0520">
      <w:pPr>
        <w:jc w:val="right"/>
        <w:rPr>
          <w:rStyle w:val="a3"/>
        </w:rPr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17 августа 2020 года N 201-рг</w:t>
      </w:r>
    </w:p>
    <w:bookmarkEnd w:id="7"/>
    <w:p w:rsidR="00E837BA" w:rsidRDefault="00E837BA"/>
    <w:p w:rsidR="00E837BA" w:rsidRDefault="00E837BA">
      <w:pPr>
        <w:ind w:firstLine="0"/>
        <w:jc w:val="left"/>
        <w:sectPr w:rsidR="00E837BA" w:rsidSect="00722221">
          <w:pgSz w:w="11901" w:h="16800"/>
          <w:pgMar w:top="1100" w:right="1440" w:bottom="799" w:left="1440" w:header="720" w:footer="720" w:gutter="0"/>
          <w:cols w:space="720"/>
          <w:noEndnote/>
        </w:sectPr>
      </w:pPr>
    </w:p>
    <w:p w:rsidR="00E837BA" w:rsidRDefault="00EB0520">
      <w:pPr>
        <w:pStyle w:val="1"/>
      </w:pPr>
      <w:r>
        <w:lastRenderedPageBreak/>
        <w:t xml:space="preserve">План комплексных мероприятий </w:t>
      </w:r>
      <w:r>
        <w:br/>
        <w:t>по профилактике терроризма и реализации в Ханты-Мансийском автономном округе - Югре Концепции противодействия терроризму в Российской Федерации на 2021 - 2025 годы</w:t>
      </w:r>
      <w:r>
        <w:br/>
        <w:t>(далее - План)</w:t>
      </w:r>
    </w:p>
    <w:p w:rsidR="00E837BA" w:rsidRDefault="00E837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075"/>
        <w:gridCol w:w="2075"/>
        <w:gridCol w:w="1310"/>
        <w:gridCol w:w="1420"/>
        <w:gridCol w:w="1201"/>
        <w:gridCol w:w="983"/>
        <w:gridCol w:w="983"/>
        <w:gridCol w:w="983"/>
        <w:gridCol w:w="983"/>
        <w:gridCol w:w="983"/>
        <w:gridCol w:w="1420"/>
      </w:tblGrid>
      <w:tr w:rsidR="00E837BA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Мероприятия плана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исполнения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Финансовые затраты на реализацию (тыс. 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Ожидаемые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результаты</w:t>
            </w: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годам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год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Совершенствование нормативно-правовой базы и организационно-методического обеспечения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Корректировка Перечня объектов топливно-энергетического комплекса, расположенных на территории Ханты-Мансийского автономного округа - Югры, подлежащих категорированию, утвержденного распоряжением Губернатора Ханты-Мансийского автономного округа - Югры от 5 декабря 2011 года N 771-рг, в соответствии с предложениями субъектов топливно-энергетического комплекса (далее - ТЭК)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Департамент недропользования и природных ресурсов Ханты-Мансийского автономного округа - Югры (далее - </w:t>
            </w:r>
            <w:proofErr w:type="spellStart"/>
            <w:r>
              <w:rPr>
                <w:sz w:val="19"/>
                <w:szCs w:val="19"/>
              </w:rPr>
              <w:t>Депнедра</w:t>
            </w:r>
            <w:proofErr w:type="spellEnd"/>
            <w:r>
              <w:rPr>
                <w:sz w:val="19"/>
                <w:szCs w:val="19"/>
              </w:rPr>
              <w:t xml:space="preserve"> и природных ресурсов Югры, автономный округ), Департамент жилищно-коммунального комплекса и энергетики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ДепЖКК</w:t>
            </w:r>
            <w:proofErr w:type="spellEnd"/>
            <w:r>
              <w:rPr>
                <w:sz w:val="19"/>
                <w:szCs w:val="19"/>
              </w:rPr>
              <w:t xml:space="preserve"> и энергетики Югры), Аппарат Антитеррористической комиссии автономного округа (далее - АТК автономного округа)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нормативно-правовой базы автономного округа, регулирующей вопросы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Корректировка (разработка) планов действий исполнительных </w:t>
            </w:r>
            <w:r>
              <w:rPr>
                <w:sz w:val="19"/>
                <w:szCs w:val="19"/>
              </w:rPr>
              <w:lastRenderedPageBreak/>
              <w:t>органов государственной власти автономного округа при установлении уровней террористической опасности в автономном округе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Департамент внутренней политики автономного округа </w:t>
            </w:r>
            <w:r>
              <w:rPr>
                <w:sz w:val="19"/>
                <w:szCs w:val="19"/>
              </w:rPr>
              <w:lastRenderedPageBreak/>
              <w:t xml:space="preserve">(далее - </w:t>
            </w:r>
            <w:proofErr w:type="spellStart"/>
            <w:r>
              <w:rPr>
                <w:sz w:val="19"/>
                <w:szCs w:val="19"/>
              </w:rPr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Югры), Департамент общественных и внешних связей автономного округа (далее - Департамент общественных и внешних связей Югры), Департамент гражданской защиты населения автономного округа (далее - Департамент гражданской защиты населения Югры), Департамент дорожного хозяйства и транспорта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Депдорхоз</w:t>
            </w:r>
            <w:proofErr w:type="spellEnd"/>
            <w:r>
              <w:rPr>
                <w:sz w:val="19"/>
                <w:szCs w:val="19"/>
              </w:rPr>
              <w:t xml:space="preserve"> и транспорта Югры), </w:t>
            </w:r>
            <w:proofErr w:type="spellStart"/>
            <w:r>
              <w:rPr>
                <w:sz w:val="19"/>
                <w:szCs w:val="19"/>
              </w:rPr>
              <w:t>Депнедра</w:t>
            </w:r>
            <w:proofErr w:type="spellEnd"/>
            <w:r>
              <w:rPr>
                <w:sz w:val="19"/>
                <w:szCs w:val="19"/>
              </w:rPr>
              <w:t xml:space="preserve"> и природных ресурсов Югры, Департамент социального развития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Депсоцразвития</w:t>
            </w:r>
            <w:proofErr w:type="spellEnd"/>
            <w:r>
              <w:rPr>
                <w:sz w:val="19"/>
                <w:szCs w:val="19"/>
              </w:rPr>
              <w:t xml:space="preserve"> Югры), Департамент образования и молодежной политики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Депобразования</w:t>
            </w:r>
            <w:proofErr w:type="spellEnd"/>
            <w:r>
              <w:rPr>
                <w:sz w:val="19"/>
                <w:szCs w:val="19"/>
              </w:rPr>
              <w:t xml:space="preserve"> и молодежи Югры), </w:t>
            </w:r>
            <w:r>
              <w:rPr>
                <w:sz w:val="19"/>
                <w:szCs w:val="19"/>
              </w:rPr>
              <w:lastRenderedPageBreak/>
              <w:t xml:space="preserve">Департамент культуры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  <w:r>
              <w:rPr>
                <w:sz w:val="19"/>
                <w:szCs w:val="19"/>
              </w:rPr>
              <w:t xml:space="preserve"> Югры), Департамент физической культуры и спорта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Депспорт</w:t>
            </w:r>
            <w:proofErr w:type="spellEnd"/>
            <w:r>
              <w:rPr>
                <w:sz w:val="19"/>
                <w:szCs w:val="19"/>
              </w:rPr>
              <w:t xml:space="preserve"> Югры), Департамент здравоохранения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Депздрав</w:t>
            </w:r>
            <w:proofErr w:type="spellEnd"/>
            <w:r>
              <w:rPr>
                <w:sz w:val="19"/>
                <w:szCs w:val="19"/>
              </w:rPr>
              <w:t xml:space="preserve"> Югры)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средства, предусмотренные на финансиров</w:t>
            </w:r>
            <w:r>
              <w:rPr>
                <w:sz w:val="19"/>
                <w:szCs w:val="19"/>
              </w:rPr>
              <w:lastRenderedPageBreak/>
              <w:t>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25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25 </w:t>
            </w:r>
            <w:r>
              <w:rPr>
                <w:sz w:val="19"/>
                <w:szCs w:val="19"/>
              </w:rPr>
              <w:lastRenderedPageBreak/>
              <w:t>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2025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результатам проведения антитеррористических учений (тренировок) или получения дополнительных указаний)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совершенствование нормативно-правовой </w:t>
            </w:r>
            <w:r>
              <w:rPr>
                <w:sz w:val="19"/>
                <w:szCs w:val="19"/>
              </w:rPr>
              <w:lastRenderedPageBreak/>
              <w:t>базы автономного округа, регулирующей вопросы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Корректировка планов действий органов местного самоуправления муниципальных образований автономного округа при установлении уровней террористической опасности (отдельных участков территории, объектов) в муниципальных образованиях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 местного самоуправления городских округов и муниципальных районов автономного округа (по согласованию), оперативные группы в муниципальных образованиях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декабря 2025 года (по результатам проведения антитеррористических учений (тренировок) или получения дополнительных указаний)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нормативно-правовой базы автономного округа, регулирующей вопросы профилактики терроризма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 Участие в конференциях, специализированных форумах регионального и общероссийского характера, организация и проведение курсов повышения квалификации и профессиональной переподготовки, инструкторских, учебно-методических и семинарских занятий с целью повышения профессионального уровня кадрового состава органов государственной власти и органов местного самоуправления муниципальных образований автономного округа по вопросам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ежегодном специализированном форуме "Современные системы безопасности - Антитеррор" (г. Красноярск)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 АТК автономного округа, Департамент общественных и внешних связей Югры, 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получении информации о проведении форума)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изучение новейших технических достижений и изобретений в области обеспечения антитеррористической защищенности объектов и безопасности граждан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ежегодных международных, всероссийских и отраслевых научно-практических конференциях по вопросам транспортной безопасности, в том числе в рамках Международного форума "Технологии безопасности"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 АТК автономного округа,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Депдорхоз</w:t>
            </w:r>
            <w:proofErr w:type="spellEnd"/>
            <w:r>
              <w:rPr>
                <w:sz w:val="19"/>
                <w:szCs w:val="19"/>
              </w:rPr>
              <w:t xml:space="preserve"> и транспорта Югры,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2025 года (при получении информации </w:t>
            </w:r>
            <w:r>
              <w:rPr>
                <w:sz w:val="19"/>
                <w:szCs w:val="19"/>
              </w:rPr>
              <w:lastRenderedPageBreak/>
              <w:t>о проведении форума)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изучение опыта работы органов государственной власти, общественных организаций Российской Федерации и СНГ, бизнес-сообщества, отечественных, зарубежных ученых и </w:t>
            </w:r>
            <w:r>
              <w:rPr>
                <w:sz w:val="19"/>
                <w:szCs w:val="19"/>
              </w:rPr>
              <w:lastRenderedPageBreak/>
              <w:t>практиков, чья деятельность, интересы соприкасаются с проблемами транспортной безопасности России и других стран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ежегодной Всероссийской конференции "Безопасность объектов топливно-энергетического комплекса России"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 АТК автономного округа,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Депнедра</w:t>
            </w:r>
            <w:proofErr w:type="spellEnd"/>
            <w:r>
              <w:rPr>
                <w:sz w:val="19"/>
                <w:szCs w:val="19"/>
              </w:rPr>
              <w:t xml:space="preserve"> и природных ресурсов Югры,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ДепЖКК</w:t>
            </w:r>
            <w:proofErr w:type="spellEnd"/>
            <w:r>
              <w:rPr>
                <w:sz w:val="19"/>
                <w:szCs w:val="19"/>
              </w:rPr>
              <w:t xml:space="preserve"> и энергетики Югры,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(при получении информации о проведении конференции)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изучение опыта работы органов государственной власти и бизнес-сообщества в области обеспечения безопасности и антитеррористической защищенности объектов ТЭК Российской Федерации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и проведение мероприятий по повышению квалификации сотрудников исполнительных органов </w:t>
            </w:r>
            <w:r>
              <w:rPr>
                <w:sz w:val="19"/>
                <w:szCs w:val="19"/>
              </w:rPr>
              <w:lastRenderedPageBreak/>
              <w:t>государственной власти автономного округа по вопросам профилактики терроризма в рамках государственного заказа на мероприятия по профессиональному развитию гражданских служащих автономного округа в соответствии с заявками органов государственной власти автономного округа (</w:t>
            </w:r>
            <w:hyperlink r:id="rId9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"Развитие государственной гражданской и муниципальной службы", утвержденная </w:t>
            </w:r>
            <w:hyperlink r:id="rId10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358-п (далее - государственная программа автономного округа N 358-п)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Департамент государственной гражданской службы и кадровой политики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(далее - </w:t>
            </w:r>
            <w:proofErr w:type="spellStart"/>
            <w:r>
              <w:rPr>
                <w:sz w:val="19"/>
                <w:szCs w:val="19"/>
              </w:rPr>
              <w:t>Депгосслужбы</w:t>
            </w:r>
            <w:proofErr w:type="spellEnd"/>
            <w:r>
              <w:rPr>
                <w:sz w:val="19"/>
                <w:szCs w:val="19"/>
              </w:rPr>
              <w:t xml:space="preserve"> Югры)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2023 </w:t>
            </w:r>
            <w:r>
              <w:rPr>
                <w:sz w:val="19"/>
                <w:szCs w:val="19"/>
              </w:rPr>
              <w:lastRenderedPageBreak/>
              <w:t>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профессиональной подготовки должностных лиц исполнитель</w:t>
            </w:r>
            <w:r>
              <w:rPr>
                <w:sz w:val="19"/>
                <w:szCs w:val="19"/>
              </w:rPr>
              <w:lastRenderedPageBreak/>
              <w:t>ных органов государственной власти автономного округа и органов местного самоуправления муниципальных образований автономного округа, специалистов, занимающихся вопросами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Содействие органам местного самоуправления муниципальных </w:t>
            </w:r>
            <w:r>
              <w:rPr>
                <w:sz w:val="19"/>
                <w:szCs w:val="19"/>
              </w:rPr>
              <w:lastRenderedPageBreak/>
              <w:t>образований автономного округа в организации и проведении мероприятий по повышению квалификации муниципальных служащих органов местного самоуправления муниципальных образований автономного округа по вопросам профилактики терроризма (</w:t>
            </w:r>
            <w:hyperlink r:id="rId11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N 358-п)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Депгосслужбы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</w:t>
            </w:r>
            <w:r>
              <w:rPr>
                <w:sz w:val="19"/>
                <w:szCs w:val="19"/>
              </w:rPr>
              <w:lastRenderedPageBreak/>
              <w:t>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и проведение курсов повышения квалификации для муниципальных служащих органов местного самоуправления муниципальных образований автономного округа в сфере профилактики терроризма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и проведение инструкторско-методических семинаров по </w:t>
            </w:r>
            <w:r>
              <w:rPr>
                <w:sz w:val="19"/>
                <w:szCs w:val="19"/>
              </w:rPr>
              <w:lastRenderedPageBreak/>
              <w:t>вопросам профилактики терроризма с привлечением специалистов в области антитеррористической деятельности (</w:t>
            </w:r>
            <w:hyperlink r:id="rId12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"Реализация государственной национальной политики и профилактика экстремизма", утвержденная </w:t>
            </w:r>
            <w:hyperlink r:id="rId13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349-п (далее - государственная программа автономного округа N 349-п)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Аппарат АТК автономного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 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2022 </w:t>
            </w:r>
            <w:r>
              <w:rPr>
                <w:sz w:val="19"/>
                <w:szCs w:val="19"/>
              </w:rPr>
              <w:lastRenderedPageBreak/>
              <w:t>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уровня профессиональной подготовки </w:t>
            </w:r>
            <w:r>
              <w:rPr>
                <w:sz w:val="19"/>
                <w:szCs w:val="19"/>
              </w:rPr>
              <w:lastRenderedPageBreak/>
              <w:t>должностных лиц аппарата АТК автономного округа и аппаратов антитеррористических комиссий муниципальных образований автономного округа (далее - АТК муниципальных образований автономного округа), специалистов, занимающихся вопросами профилактики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2.8.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инструкторско-методических семинарах по вопросам профилактики терроризма с привлечением специалистов в области антитеррористической деятельности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2025 </w:t>
            </w:r>
            <w:r>
              <w:rPr>
                <w:sz w:val="19"/>
                <w:szCs w:val="19"/>
              </w:rPr>
              <w:lastRenderedPageBreak/>
              <w:t>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антитеррористической подготовке (переподготовке) сотрудников аппарата АТК автономного округа, аппаратов АТК муниципальных образований автономного округа, проводимой Аппаратом Национального антитеррористического комитета (далее - НАК)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 АТК автономного округа,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аппараты АТК муниципальных образований автономного округа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соответствии с планом работы Аппарата НАК)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профессионального уровня субъектов профилактики правонарушений (</w:t>
            </w:r>
            <w:hyperlink r:id="rId14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"Профилактика правонарушений и обеспечение отдельных прав граждан", утвержденная </w:t>
            </w:r>
            <w:hyperlink r:id="rId15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348-п (далее </w:t>
            </w:r>
            <w:r>
              <w:rPr>
                <w:sz w:val="19"/>
                <w:szCs w:val="19"/>
              </w:rPr>
              <w:lastRenderedPageBreak/>
              <w:t>- государственная программа автономного округа N 348-п)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 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профессиональной подготовки должностных лиц органов государственной власти и органов местного самоуправления муниципальных образований автономного округа, специалисто</w:t>
            </w:r>
            <w:r>
              <w:rPr>
                <w:sz w:val="19"/>
                <w:szCs w:val="19"/>
              </w:rPr>
              <w:lastRenderedPageBreak/>
              <w:t>в, занимающихся вопросами профилактики терроризма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3. Организация мероприятий по повышению эффективности работы органов государственной власти и органов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профилактике терроризма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Оказание организационно-методической помощи антитеррористическим комиссиям муниципальных образований автономного округа и их аппаратам в реализации положений </w:t>
            </w:r>
            <w:hyperlink r:id="rId16" w:history="1">
              <w:r>
                <w:rPr>
                  <w:rStyle w:val="a4"/>
                  <w:sz w:val="19"/>
                  <w:szCs w:val="19"/>
                </w:rPr>
                <w:t>Концепции</w:t>
              </w:r>
            </w:hyperlink>
            <w:r>
              <w:rPr>
                <w:sz w:val="19"/>
                <w:szCs w:val="19"/>
              </w:rPr>
              <w:t xml:space="preserve"> противодействия терроризму в Российской Федерации, утвержденной Президентом Российской Федерации 5 октября 2009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Аппарат АТК автономного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(в соответствии с планом работы АТК на текущий год)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качества работы по профилактике терроризма в муниципальных образованиях автономного округа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и проведение мероприятий по оценке эффективности деятельности АТК муниципальных образований автономного округа по исполнению </w:t>
            </w:r>
            <w:r>
              <w:rPr>
                <w:sz w:val="19"/>
                <w:szCs w:val="19"/>
              </w:rPr>
              <w:lastRenderedPageBreak/>
              <w:t>требований законодательства Российской Федерации в сфере предупреждения террористических актов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межведомственная рабочая группа АТК автономного округа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</w:t>
            </w:r>
            <w:r>
              <w:rPr>
                <w:sz w:val="19"/>
                <w:szCs w:val="19"/>
              </w:rPr>
              <w:lastRenderedPageBreak/>
              <w:t>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(в соответствии с планом работы АТК на текущий год)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Корректировка перечня потенциально опасных объектов, находящихся в автономном округе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гражданской защиты населения Югры, органы местного самоуправления муниципальных образований автономного округа (по согласованию), руководители (правообладатели) объектов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(при необходимости)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своевременная актуализация данных о потенциально опасных объектах в автономном округе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Корректировка реестра объектов возможных террористических посягательств, находящихся в автономном округе (по компетенции) (далее - Реестр)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марта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марта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марта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марта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марта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достоверность и своевременная актуализация данных об объектах, включенных в Реестр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Актуализация паспортов безопасности </w:t>
            </w:r>
            <w:r>
              <w:rPr>
                <w:sz w:val="19"/>
                <w:szCs w:val="19"/>
              </w:rPr>
              <w:lastRenderedPageBreak/>
              <w:t>объектов возможных террористических посягательств в порядке, предусмотренном для их составления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исполнительные органы государственной </w:t>
            </w:r>
            <w:r>
              <w:rPr>
                <w:sz w:val="19"/>
                <w:szCs w:val="19"/>
              </w:rPr>
              <w:lastRenderedPageBreak/>
              <w:t>власти автономного округа, 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согласованию), руководители (правообладатели) объектов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средства, предусмотренные на </w:t>
            </w:r>
            <w:r>
              <w:rPr>
                <w:sz w:val="19"/>
                <w:szCs w:val="19"/>
              </w:rPr>
              <w:lastRenderedPageBreak/>
              <w:t>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(при необходимости, в определенных нормативными правовыми актами случаях)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достоверность и своевременн</w:t>
            </w:r>
            <w:r>
              <w:rPr>
                <w:sz w:val="19"/>
                <w:szCs w:val="19"/>
              </w:rPr>
              <w:lastRenderedPageBreak/>
              <w:t>ая актуализация данных о потенциальных объектах террористических посягательств, повышение готовности органов управления к проведению контртеррористической операции (далее - КТО) на объектах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3.6.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организационных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в автономном округе, в соответствии с дифференцированными требованиями к антитеррористической защищенности, установленными </w:t>
            </w:r>
            <w:r>
              <w:rPr>
                <w:sz w:val="19"/>
                <w:szCs w:val="19"/>
              </w:rPr>
              <w:lastRenderedPageBreak/>
              <w:t>Правительством Российской Федерации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согласованию), руководители (правообладатели) объектов, мест, территорий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антитеррористической защищенности объектов (территорий) возможных террористических посягательств, мест массового пребывания людей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Вознаграждение граждан в связи с добровольной сдачей незаконно хранящихся оружия, боеприпасов, взрывчатых веществ и взрывных устройств (</w:t>
            </w:r>
            <w:hyperlink r:id="rId17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N 348-п)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 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системы предупредительно-профилактических мер, направленных на обеспечение безопасности граждан, предупреждение преступлений террористического характера с использованием оружия, боеприпасов, взрывчатых веществ и взрывных устройств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Обеспечение антитеррористической безопасности потенциально опасных, критически важных объектов, объектов жизнеобеспечения, социальной сферы,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находящихся в собственности или ведении автономного округа или муниципальных образований автономного округа, мест массового пребывания людей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и проведение комплексных обследований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</w:t>
            </w:r>
            <w:r>
              <w:rPr>
                <w:sz w:val="19"/>
                <w:szCs w:val="19"/>
              </w:rPr>
              <w:lastRenderedPageBreak/>
              <w:t>критически важных, потенциально опасных объектов, объектов ТЭК, жизнеобеспечения, религиозных организаций, социальной сферы и массового пребывания граждан, находящихся в автономном округе (самостоятельно и (или) в составе межведомственных групп)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Служба по автономному округу Регионального Управления Федеральной службы безопасности Российской Федерации по Тюменской области </w:t>
            </w:r>
            <w:r>
              <w:rPr>
                <w:sz w:val="19"/>
                <w:szCs w:val="19"/>
              </w:rPr>
              <w:lastRenderedPageBreak/>
              <w:t>(далее - Служба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автономному округу РУФСБ),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(далее - ГУ МЧС) по автономному округу (по согласованию), Управление Министерства внутренних дел Российской Федерации по автономному округу (далее - УМВД по автономному округу)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 согласованию), Управление Федеральной службы войск национальной гвардии Российской Федерации по автономному округу (далее - Управление </w:t>
            </w:r>
            <w:proofErr w:type="spellStart"/>
            <w:r>
              <w:rPr>
                <w:sz w:val="19"/>
                <w:szCs w:val="19"/>
              </w:rPr>
              <w:t>Росгвардии</w:t>
            </w:r>
            <w:proofErr w:type="spellEnd"/>
            <w:r>
              <w:rPr>
                <w:sz w:val="19"/>
                <w:szCs w:val="19"/>
              </w:rPr>
              <w:t xml:space="preserve"> по автономному округу) (по согласованию),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межведомственная рабочая группа АТК автономного округа, АТК муниципальных </w:t>
            </w:r>
            <w:r>
              <w:rPr>
                <w:sz w:val="19"/>
                <w:szCs w:val="19"/>
              </w:rPr>
              <w:lastRenderedPageBreak/>
              <w:t>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</w:t>
            </w:r>
            <w:r>
              <w:rPr>
                <w:sz w:val="19"/>
                <w:szCs w:val="19"/>
              </w:rPr>
              <w:lastRenderedPageBreak/>
              <w:t>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(в соответствии с правовыми актами, планами (графиками) контрольных мероприятий)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оценка фактического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</w:t>
            </w:r>
            <w:r>
              <w:rPr>
                <w:sz w:val="19"/>
                <w:szCs w:val="19"/>
              </w:rPr>
              <w:lastRenderedPageBreak/>
              <w:t>ти объектов различных категорий, выявление нарушений установленных требований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автономного округа, в том числе состояния антитеррористической защищенности указанных помещений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УМВД по автономному округу (по согласованию), Служба жилищного и строительного надзора автономного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января,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апреля, до 10 июля,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января,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апреля, до 10 июля,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октября 2022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января,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апреля, до 10 июля,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октября 2023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января,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апреля, до 10 июля,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октября 2024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января,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10 апреля, до 10 июля,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10 </w:t>
            </w:r>
            <w:r>
              <w:rPr>
                <w:sz w:val="19"/>
                <w:szCs w:val="19"/>
              </w:rPr>
              <w:lastRenderedPageBreak/>
              <w:t>октября 2025 года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(в соответствии с правовыми актами, планами (графиками) контрольных мероприятий)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качества предупредительно-профилактических мер, направленных на обеспечение безопасности граждан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мониторинга текущего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(территорий): образования, здравоохранения, спорта, культуры, социального обслуживания, гостиничной сферы, религиозных организаций, торговых объектов и иных мест массового пребывания граждан, находящихся в автономном округе, на соответствие требованиям федерального законодательства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Депобразования</w:t>
            </w:r>
            <w:proofErr w:type="spellEnd"/>
            <w:r>
              <w:rPr>
                <w:sz w:val="19"/>
                <w:szCs w:val="19"/>
              </w:rPr>
              <w:t xml:space="preserve"> и молодежи Югры, </w:t>
            </w: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Депздрав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Депспорт</w:t>
            </w:r>
            <w:proofErr w:type="spellEnd"/>
            <w:r>
              <w:rPr>
                <w:sz w:val="19"/>
                <w:szCs w:val="19"/>
              </w:rPr>
              <w:t xml:space="preserve"> Югры, Департамент промышленности автономного округа (далее - </w:t>
            </w:r>
            <w:proofErr w:type="spellStart"/>
            <w:r>
              <w:rPr>
                <w:sz w:val="19"/>
                <w:szCs w:val="19"/>
              </w:rPr>
              <w:t>Деппромышленности</w:t>
            </w:r>
            <w:proofErr w:type="spellEnd"/>
            <w:r>
              <w:rPr>
                <w:sz w:val="19"/>
                <w:szCs w:val="19"/>
              </w:rPr>
              <w:t xml:space="preserve"> Югры), Департамент экономического развития автономного округа, </w:t>
            </w:r>
            <w:proofErr w:type="spellStart"/>
            <w:r>
              <w:rPr>
                <w:sz w:val="19"/>
                <w:szCs w:val="19"/>
              </w:rPr>
              <w:t>Депсоцразвития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Дептруда</w:t>
            </w:r>
            <w:proofErr w:type="spellEnd"/>
            <w:r>
              <w:rPr>
                <w:sz w:val="19"/>
                <w:szCs w:val="19"/>
              </w:rPr>
              <w:t xml:space="preserve"> и занятости Югры, </w:t>
            </w:r>
            <w:proofErr w:type="spellStart"/>
            <w:r>
              <w:rPr>
                <w:sz w:val="19"/>
                <w:szCs w:val="19"/>
              </w:rPr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Югры,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органы местного самоуправления муниципальных образований автономного округа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согласованию), руководители (правообладатели) объектов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</w:t>
            </w:r>
            <w:r>
              <w:rPr>
                <w:sz w:val="19"/>
                <w:szCs w:val="19"/>
              </w:rPr>
              <w:lastRenderedPageBreak/>
              <w:t xml:space="preserve">мониторинга текущего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недвижимости, включенных в Перечень мест (объектов) с массовым пребыванием людей, находящихся в собственности автономного округа, утвержденный распоряжением </w:t>
            </w:r>
            <w:proofErr w:type="spellStart"/>
            <w:r>
              <w:rPr>
                <w:sz w:val="19"/>
                <w:szCs w:val="19"/>
              </w:rPr>
              <w:t>Депимущества</w:t>
            </w:r>
            <w:proofErr w:type="spellEnd"/>
            <w:r>
              <w:rPr>
                <w:sz w:val="19"/>
                <w:szCs w:val="19"/>
              </w:rPr>
              <w:t xml:space="preserve"> Югры от 8 августа 2019 года N 13-р-1380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Депимущества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средства, </w:t>
            </w:r>
            <w:r>
              <w:rPr>
                <w:sz w:val="19"/>
                <w:szCs w:val="19"/>
              </w:rPr>
              <w:lastRenderedPageBreak/>
              <w:t>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</w:t>
            </w:r>
            <w:r>
              <w:rPr>
                <w:sz w:val="19"/>
                <w:szCs w:val="19"/>
              </w:rPr>
              <w:lastRenderedPageBreak/>
              <w:t>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4.5.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мониторинга текущего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жилищно-коммунального комплекса, водоснабжения и водоотведения, находящихся в автономном округе, на соответствие требованиям </w:t>
            </w:r>
            <w:r>
              <w:rPr>
                <w:sz w:val="19"/>
                <w:szCs w:val="19"/>
              </w:rPr>
              <w:lastRenderedPageBreak/>
              <w:t>федерального законодательства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ДепЖКК</w:t>
            </w:r>
            <w:proofErr w:type="spellEnd"/>
            <w:r>
              <w:rPr>
                <w:sz w:val="19"/>
                <w:szCs w:val="19"/>
              </w:rPr>
              <w:t xml:space="preserve"> и энергетики Югры, органы местного самоуправления муниципальных образований автономного округа (по согласованию), руководители (правообладатели) объектов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15 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мониторинга текущего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ТЭК, находящихся в автономном округе, на соответствие требованиям федерального законодательства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Депнедра</w:t>
            </w:r>
            <w:proofErr w:type="spellEnd"/>
            <w:r>
              <w:rPr>
                <w:sz w:val="19"/>
                <w:szCs w:val="19"/>
              </w:rPr>
              <w:t xml:space="preserve"> и природных ресурсов Югры, </w:t>
            </w:r>
            <w:proofErr w:type="spellStart"/>
            <w:r>
              <w:rPr>
                <w:sz w:val="19"/>
                <w:szCs w:val="19"/>
              </w:rPr>
              <w:t>ДепЖКК</w:t>
            </w:r>
            <w:proofErr w:type="spellEnd"/>
            <w:r>
              <w:rPr>
                <w:sz w:val="19"/>
                <w:szCs w:val="19"/>
              </w:rPr>
              <w:t xml:space="preserve"> и энергетики Югры, органы местного самоуправления муниципальных образований автономного округа (по согласованию), руководители (правообладатели) объектов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тренировочных занятий по эвакуации учащихся, воспитанников, работников и посетителей объектов образовательного и социально-культурного назначения в случае возникновения чрезвычайной ситуации.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Моделирование в ходе проведения </w:t>
            </w:r>
            <w:r>
              <w:rPr>
                <w:sz w:val="19"/>
                <w:szCs w:val="19"/>
              </w:rPr>
              <w:lastRenderedPageBreak/>
              <w:t>занятий различных ситуаций с дальнейшим наращиванием (осложнением) обстановки (изменение маршрутов и районов эвакуации, видов и мест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Депобразования</w:t>
            </w:r>
            <w:proofErr w:type="spellEnd"/>
            <w:r>
              <w:rPr>
                <w:sz w:val="19"/>
                <w:szCs w:val="19"/>
              </w:rPr>
              <w:t xml:space="preserve"> и молодежи Югры, </w:t>
            </w:r>
            <w:proofErr w:type="spellStart"/>
            <w:r>
              <w:rPr>
                <w:sz w:val="19"/>
                <w:szCs w:val="19"/>
              </w:rPr>
              <w:t>Депспорт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Депсоцразвития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15 </w:t>
            </w:r>
            <w:r>
              <w:rPr>
                <w:sz w:val="19"/>
                <w:szCs w:val="19"/>
              </w:rPr>
              <w:lastRenderedPageBreak/>
              <w:t>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минимизация последствий террористических актов, снижение количества пострадавших при совершении теракта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учений и тренировок на критически важных, потенциально опасных объектах, объектах жизнеобеспечения, социальной сферы и массового пребывания граждан, находящихся в автономном округе, по отработке действий при угрозе и совершении террористических актов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Служба по автономному округу РУФСБ (по согласованию), УМВД по автономному округу (по согласованию), Управление </w:t>
            </w:r>
            <w:proofErr w:type="spellStart"/>
            <w:r>
              <w:rPr>
                <w:sz w:val="19"/>
                <w:szCs w:val="19"/>
              </w:rPr>
              <w:t>Росгвардии</w:t>
            </w:r>
            <w:proofErr w:type="spellEnd"/>
            <w:r>
              <w:rPr>
                <w:sz w:val="19"/>
                <w:szCs w:val="19"/>
              </w:rPr>
              <w:t xml:space="preserve"> по автономному округу (по согласованию), ГУ МЧС по автономному округу (по согласованию), Сургутский линейный отдел Министерства внутренних дел Российской </w:t>
            </w:r>
            <w:r>
              <w:rPr>
                <w:sz w:val="19"/>
                <w:szCs w:val="19"/>
              </w:rPr>
              <w:lastRenderedPageBreak/>
              <w:t>Федерации на транспорте (далее - Сургутский ЛОМВД на транспорте) (по согласованию), заинтересованные 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согласованию), руководители (правообладатели) и персонал объектов проведения учений (тренировок)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 (в соответствии с планом работы Оперативног</w:t>
            </w:r>
            <w:r>
              <w:rPr>
                <w:sz w:val="19"/>
                <w:szCs w:val="19"/>
              </w:rPr>
              <w:lastRenderedPageBreak/>
              <w:t>о штаба в автономном округе (далее - ОШ) и оперативных групп (далее - ОГ) в муниципальных образованиях автономного округа)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готовности органов управления и личного состава группировки сил и средств к проведению КТО на объектах различных категорий</w:t>
            </w:r>
          </w:p>
        </w:tc>
      </w:tr>
      <w:tr w:rsidR="00E837BA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функционирования и развития систем видеонаблюдения в сфере общественного порядка (</w:t>
            </w:r>
            <w:hyperlink r:id="rId18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N 348-п)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Югры, </w:t>
            </w:r>
            <w:proofErr w:type="spellStart"/>
            <w:r>
              <w:rPr>
                <w:sz w:val="19"/>
                <w:szCs w:val="19"/>
              </w:rPr>
              <w:t>Депинформтехнологий</w:t>
            </w:r>
            <w:proofErr w:type="spellEnd"/>
            <w:r>
              <w:rPr>
                <w:sz w:val="19"/>
                <w:szCs w:val="19"/>
              </w:rPr>
              <w:t xml:space="preserve"> Югры, муниципальные образования автономного округа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75445,8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15254,6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15047,8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15047,8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15047,8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15047,8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системы предупредительно-профилактических мер, направленных на обеспечение безопасности при проведении массовых и публичных мероприятий</w:t>
            </w: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</w:t>
            </w:r>
            <w:r>
              <w:rPr>
                <w:sz w:val="19"/>
                <w:szCs w:val="19"/>
              </w:rPr>
              <w:lastRenderedPageBreak/>
              <w:t>о округа*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до 31 декабря 2021 </w:t>
            </w:r>
            <w:r>
              <w:rPr>
                <w:sz w:val="19"/>
                <w:szCs w:val="19"/>
              </w:rPr>
              <w:lastRenderedPageBreak/>
              <w:t>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50082,5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10016,5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муниципальный бюджет*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25363,3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5238,1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Укрепление материально-технической базы и обеспечение комплексной безопасности объектов государственных организаций социального обслуживания автономного округа (</w:t>
            </w:r>
            <w:hyperlink r:id="rId19" w:history="1">
              <w:r>
                <w:rPr>
                  <w:rStyle w:val="a4"/>
                  <w:sz w:val="19"/>
                  <w:szCs w:val="19"/>
                </w:rPr>
                <w:t xml:space="preserve">государственная </w:t>
              </w:r>
              <w:r>
                <w:rPr>
                  <w:rStyle w:val="a4"/>
                  <w:sz w:val="19"/>
                  <w:szCs w:val="19"/>
                </w:rPr>
                <w:lastRenderedPageBreak/>
                <w:t>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"Социальное и демографическое развитие", утвержденная </w:t>
            </w:r>
            <w:hyperlink r:id="rId20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339-п)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Депсоцразвития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 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факторов риска совершения террористических актов на объектах социальной защиты населения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комплексной безопасности образовательных организаций и учреждений молодежной политики (</w:t>
            </w:r>
            <w:hyperlink r:id="rId21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"Развитие образования", утвержденная </w:t>
            </w:r>
            <w:hyperlink r:id="rId22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338-п)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Депобразования</w:t>
            </w:r>
            <w:proofErr w:type="spellEnd"/>
            <w:r>
              <w:rPr>
                <w:sz w:val="19"/>
                <w:szCs w:val="19"/>
              </w:rPr>
              <w:t xml:space="preserve"> и молодежи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475672,2,4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55132,8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55132,8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121802,2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121802,2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121802,2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комплексной безопасности в учреждениях спорта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hyperlink r:id="rId23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"Развитие физической культуры и спорта", утвержденная </w:t>
            </w:r>
            <w:hyperlink r:id="rId24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342-п)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Депспорта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 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2024 </w:t>
            </w:r>
            <w:r>
              <w:rPr>
                <w:sz w:val="19"/>
                <w:szCs w:val="19"/>
              </w:rPr>
              <w:lastRenderedPageBreak/>
              <w:t>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374675,0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74686,58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74642,88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74875,18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75113,18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75357,18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факторов риска совершения террористических актов на объектах спорта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Укрепление материально-технической базы и обеспечение комплексной безопасности объектов службы занятости (</w:t>
            </w:r>
            <w:hyperlink r:id="rId25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"Поддержка занятости населения", утвержденная </w:t>
            </w:r>
            <w:hyperlink r:id="rId26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343-п)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Дептруда</w:t>
            </w:r>
            <w:proofErr w:type="spellEnd"/>
            <w:r>
              <w:rPr>
                <w:sz w:val="19"/>
                <w:szCs w:val="19"/>
              </w:rPr>
              <w:t xml:space="preserve"> и занятости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факторов риска совершения террористических актов на объектах службы занятости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Оснащение (дооснащение) подведомственных </w:t>
            </w: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  <w:r>
              <w:rPr>
                <w:sz w:val="19"/>
                <w:szCs w:val="19"/>
              </w:rPr>
              <w:t xml:space="preserve"> Югры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(средства в пределах финансирования основной деятельности </w:t>
            </w:r>
            <w:proofErr w:type="spellStart"/>
            <w:r>
              <w:rPr>
                <w:sz w:val="19"/>
                <w:szCs w:val="19"/>
              </w:rPr>
              <w:t>Депкультуры</w:t>
            </w:r>
            <w:proofErr w:type="spellEnd"/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Югры)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9682,8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4881,4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4881,4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факторов риска совершения террористических актов на объектах культуры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Внедрение опытных участков аппаратно-программного </w:t>
            </w:r>
            <w:r>
              <w:rPr>
                <w:sz w:val="19"/>
                <w:szCs w:val="19"/>
              </w:rPr>
              <w:lastRenderedPageBreak/>
              <w:t>комплекса "Безопасный город" в пилотных муниципальных образованиях автономного округа (</w:t>
            </w:r>
            <w:hyperlink r:id="rId27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"Цифровое развитие Ханты-Мансийского автономного округа - Югры", утвержденная </w:t>
            </w:r>
            <w:hyperlink r:id="rId28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353-п)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Депинформтехнологий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23555,0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общего уровня </w:t>
            </w:r>
            <w:r>
              <w:rPr>
                <w:sz w:val="19"/>
                <w:szCs w:val="19"/>
              </w:rPr>
              <w:lastRenderedPageBreak/>
              <w:t xml:space="preserve">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в муниципальных образованиях автономного округа комплексной информационной системы, обеспечивающей прогнозирование, мониторинг, предупреждение и ликвидацию возможных </w:t>
            </w:r>
            <w:r>
              <w:rPr>
                <w:sz w:val="19"/>
                <w:szCs w:val="19"/>
              </w:rPr>
              <w:lastRenderedPageBreak/>
              <w:t>угроз, в том числе террористического характера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4.16.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технических средств и оборудования для обеспечения антитеррористической защищенности населения автономного округа (</w:t>
            </w:r>
            <w:hyperlink r:id="rId29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N 348-п)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Депполитики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качества предупредительно-профилактических мер, направленных на обеспечение безопасности граждан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Обеспечение антитеррористической безопасности объектов транспортной инфраструктуры и транспортных средств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транспортной инфраструктуры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Сургутский ЛОМВД на транспорте (по согласованию), УМВД по автономному округу (по согласованию), Управление </w:t>
            </w:r>
            <w:proofErr w:type="spellStart"/>
            <w:r>
              <w:rPr>
                <w:sz w:val="19"/>
                <w:szCs w:val="19"/>
              </w:rPr>
              <w:t>Росгвардии</w:t>
            </w:r>
            <w:proofErr w:type="spellEnd"/>
            <w:r>
              <w:rPr>
                <w:sz w:val="19"/>
                <w:szCs w:val="19"/>
              </w:rPr>
              <w:t xml:space="preserve"> по автономному округу (по согласованию), Служба по автономному округу РУФСБ (по согласованию), ГУ МЧС по автономному округу (по согласованию), межведомственная рабочая группа АТК, АТК муниципальных </w:t>
            </w:r>
            <w:r>
              <w:rPr>
                <w:sz w:val="19"/>
                <w:szCs w:val="19"/>
              </w:rPr>
              <w:lastRenderedPageBreak/>
              <w:t>образований автономного округа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оценка фактического состояния инженерно-технической </w:t>
            </w:r>
            <w:proofErr w:type="spellStart"/>
            <w:r>
              <w:rPr>
                <w:sz w:val="19"/>
                <w:szCs w:val="19"/>
              </w:rPr>
              <w:t>укрепленности</w:t>
            </w:r>
            <w:proofErr w:type="spellEnd"/>
            <w:r>
              <w:rPr>
                <w:sz w:val="19"/>
                <w:szCs w:val="19"/>
              </w:rPr>
              <w:t xml:space="preserve"> и антитеррористической защищенности объектов транспортной инфраструктуры, разработка корректирующих мероприятий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мониторинга обеспечения транспортной безопасности на объектах транспортной инфраструктуры и транспортных средствах, находящихся в автономном округе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Депдорхоз</w:t>
            </w:r>
            <w:proofErr w:type="spellEnd"/>
            <w:r>
              <w:rPr>
                <w:sz w:val="19"/>
                <w:szCs w:val="19"/>
              </w:rPr>
              <w:t xml:space="preserve"> и транспорта Югры, органы местного самоуправления муниципальных образований автономного округа (по согласованию), руководители (правообладатели) объектов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25 июня и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15 октября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своевременное выявление факторов, оказывающих негативное влияние на состояние антитеррористической защищенности объектов транспортного комплекса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учений и тренировок на объектах транспортной инфраструктуры по отработке действий при угрозе и совершении террористических актов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Служба по автономному округу РУФСБ (по согласованию), УМВД по автономному округу (по согласованию), Управление </w:t>
            </w:r>
            <w:proofErr w:type="spellStart"/>
            <w:r>
              <w:rPr>
                <w:sz w:val="19"/>
                <w:szCs w:val="19"/>
              </w:rPr>
              <w:t>Росгвардии</w:t>
            </w:r>
            <w:proofErr w:type="spellEnd"/>
            <w:r>
              <w:rPr>
                <w:sz w:val="19"/>
                <w:szCs w:val="19"/>
              </w:rPr>
              <w:t xml:space="preserve"> по автономному округу (по согласованию), ГУ МЧС по автономному округу (по согласованию), Сургутский ЛОМВД на транспорте (по согласованию), заинтересованные </w:t>
            </w:r>
            <w:r>
              <w:rPr>
                <w:sz w:val="19"/>
                <w:szCs w:val="19"/>
              </w:rPr>
              <w:lastRenderedPageBreak/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согласованию), руководители (правообладатели) и персонал объектов проведения учений (тренировок) (по согласованию)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31 декабря 2025 года (в соответствии с планом работы ОШ и </w:t>
            </w:r>
            <w:r>
              <w:rPr>
                <w:sz w:val="19"/>
                <w:szCs w:val="19"/>
              </w:rPr>
              <w:lastRenderedPageBreak/>
              <w:t>ОГ в муниципальных образованиях автономного округа)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готовности органов управления и личного состава группировки сил и средств к проведению КТО на объектах транспортной инфраструктуры</w:t>
            </w:r>
          </w:p>
        </w:tc>
      </w:tr>
      <w:tr w:rsidR="00E837BA">
        <w:tc>
          <w:tcPr>
            <w:tcW w:w="151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Укрепление технической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основной, специальной и вспомогательной пожарной техники, а также других специализированных транспортных средств (</w:t>
            </w:r>
            <w:hyperlink r:id="rId30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"Безопасность жизнедеятельности", утвержденная </w:t>
            </w:r>
            <w:hyperlink r:id="rId31" w:history="1">
              <w:r>
                <w:rPr>
                  <w:rStyle w:val="a4"/>
                  <w:sz w:val="19"/>
                  <w:szCs w:val="19"/>
                </w:rPr>
                <w:t>постановлением</w:t>
              </w:r>
            </w:hyperlink>
            <w:r>
              <w:rPr>
                <w:sz w:val="19"/>
                <w:szCs w:val="19"/>
              </w:rPr>
              <w:t xml:space="preserve"> Правительства автономного округа от 5 октября 2018 года N 351-п (далее - государственная программа </w:t>
            </w:r>
            <w:r>
              <w:rPr>
                <w:sz w:val="19"/>
                <w:szCs w:val="19"/>
              </w:rPr>
              <w:lastRenderedPageBreak/>
              <w:t>автономного округа N 351-п)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Департамент гражданской защиты населения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источники финансирования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794000,0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условий для повышения эффективности мер защиты населения и территории автономного округа от чрезвычайных ситуаций</w:t>
            </w:r>
          </w:p>
        </w:tc>
      </w:tr>
      <w:tr w:rsidR="00E837BA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специального оборудования, снаряжения, средств связи, боевой одежды и обмундирования, зданий сборно-разборного типа (</w:t>
            </w:r>
            <w:hyperlink r:id="rId32" w:history="1">
              <w:r>
                <w:rPr>
                  <w:rStyle w:val="a4"/>
                  <w:sz w:val="19"/>
                  <w:szCs w:val="19"/>
                </w:rPr>
                <w:t>государственная программа</w:t>
              </w:r>
            </w:hyperlink>
            <w:r>
              <w:rPr>
                <w:sz w:val="19"/>
                <w:szCs w:val="19"/>
              </w:rPr>
              <w:t xml:space="preserve"> автономного округа N 351-п)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гражданской защиты населения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всего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158839,2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40443,6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оснащенности и готовности спасательных формирований автономного округа к ликвидации последствий террористических актов</w:t>
            </w: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1689,6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источники финансирования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155608,0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Развертывание многопрофильного полевого госпиталя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Депздрав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(средства в пределах финансирования основной деятельности казенного учреждения автономного округа "Центр медицины катастроф")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оснащенности и готовности формирований службы медицины катастроф автономного округа к ликвидации медико-санитарных последствий террористических актов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Обновление лекарственных средств, находящихся в резерве на случай чрезвычайных </w:t>
            </w:r>
            <w:r>
              <w:rPr>
                <w:sz w:val="19"/>
                <w:szCs w:val="19"/>
              </w:rPr>
              <w:lastRenderedPageBreak/>
              <w:t>ситуаций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Депздрав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 автономного округа (средства в пределах финансиров</w:t>
            </w:r>
            <w:r>
              <w:rPr>
                <w:sz w:val="19"/>
                <w:szCs w:val="19"/>
              </w:rPr>
              <w:lastRenderedPageBreak/>
              <w:t xml:space="preserve">ания основной деятельности казенного учреждения автономного округа "Центр лекарственного мониторинга")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6750,0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оснащенности и готовности формирован</w:t>
            </w:r>
            <w:r>
              <w:rPr>
                <w:sz w:val="19"/>
                <w:szCs w:val="19"/>
              </w:rPr>
              <w:lastRenderedPageBreak/>
              <w:t>ий центра</w:t>
            </w:r>
          </w:p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лекарственного мониторинга автономного округа к ликвидации медико-санитарных последствий террористических актов</w:t>
            </w:r>
          </w:p>
        </w:tc>
      </w:tr>
      <w:tr w:rsidR="00E837BA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6.5.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Обновление медицинского имущества резерва на случай чрезвычайных ситуаций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Депздрав</w:t>
            </w:r>
            <w:proofErr w:type="spellEnd"/>
            <w:r>
              <w:rPr>
                <w:sz w:val="19"/>
                <w:szCs w:val="19"/>
              </w:rPr>
              <w:t xml:space="preserve">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(средства в пределах финансирования основной деятельности казенного учреждения автономного округа "Центр медицины катастроф")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2021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2022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2023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2024 года,</w:t>
            </w:r>
          </w:p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31 декабря 2025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B0520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уровня оснащенности и готовности формирований службы медицины катастроф автономного округа к ликвидации медико-санитарных последствий террористических актов</w:t>
            </w:r>
          </w:p>
        </w:tc>
      </w:tr>
      <w:tr w:rsidR="00E837BA">
        <w:tc>
          <w:tcPr>
            <w:tcW w:w="491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Плану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всего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2021 - 2025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1975820,0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174206,0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411309,5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463028,2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463366,2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463910,2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491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бюджет автономного округа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2021 - 2025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1794848,7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168967,9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367376,2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419094,9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419432,9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419976,9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491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муниципальный бюджет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2021 - 2025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25363,3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5238,1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5031,3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  <w:tr w:rsidR="00E837BA">
        <w:tc>
          <w:tcPr>
            <w:tcW w:w="491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иные </w:t>
            </w:r>
            <w:r>
              <w:rPr>
                <w:sz w:val="19"/>
                <w:szCs w:val="19"/>
              </w:rPr>
              <w:lastRenderedPageBreak/>
              <w:t xml:space="preserve">источники финансирования </w:t>
            </w:r>
            <w:hyperlink w:anchor="sub_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2021 - 2025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155608,0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BA" w:rsidRDefault="00EB0520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38902,0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BA" w:rsidRDefault="00E837BA">
            <w:pPr>
              <w:pStyle w:val="a5"/>
              <w:rPr>
                <w:sz w:val="19"/>
                <w:szCs w:val="19"/>
              </w:rPr>
            </w:pPr>
          </w:p>
        </w:tc>
      </w:tr>
    </w:tbl>
    <w:p w:rsidR="00E837BA" w:rsidRDefault="00E837BA"/>
    <w:p w:rsidR="00E837BA" w:rsidRDefault="00E837BA">
      <w:pPr>
        <w:ind w:firstLine="0"/>
        <w:jc w:val="left"/>
        <w:sectPr w:rsidR="00E837B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837BA" w:rsidRDefault="00EB0520">
      <w:r>
        <w:rPr>
          <w:rStyle w:val="a3"/>
        </w:rPr>
        <w:lastRenderedPageBreak/>
        <w:t>Примечание</w:t>
      </w:r>
      <w:r>
        <w:t>:</w:t>
      </w:r>
    </w:p>
    <w:p w:rsidR="00E837BA" w:rsidRDefault="00EB0520">
      <w:bookmarkStart w:id="8" w:name="sub_11"/>
      <w:r>
        <w:t>* Фактический объем финансовых средств, реализованных в текущем году на мероприятия по профилактике террористических проявлений, уточняется по результатам реализации программных мероприятий государственных программ автономного округа и Плана в последней декаде календарного года.</w:t>
      </w:r>
    </w:p>
    <w:bookmarkEnd w:id="8"/>
    <w:p w:rsidR="00EB0520" w:rsidRDefault="00EB0520"/>
    <w:sectPr w:rsidR="00EB052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B4"/>
    <w:rsid w:val="004018B4"/>
    <w:rsid w:val="00722221"/>
    <w:rsid w:val="00E837BA"/>
    <w:rsid w:val="00E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4DB8E3-D638-40C5-995C-E981F3D1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67736.0" TargetMode="External"/><Relationship Id="rId18" Type="http://schemas.openxmlformats.org/officeDocument/2006/relationships/hyperlink" Target="garantF1://45167740.10000" TargetMode="External"/><Relationship Id="rId26" Type="http://schemas.openxmlformats.org/officeDocument/2006/relationships/hyperlink" Target="garantF1://4516767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67664.1000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1196054.0" TargetMode="External"/><Relationship Id="rId12" Type="http://schemas.openxmlformats.org/officeDocument/2006/relationships/hyperlink" Target="garantF1://45167736.10000" TargetMode="External"/><Relationship Id="rId17" Type="http://schemas.openxmlformats.org/officeDocument/2006/relationships/hyperlink" Target="garantF1://45167740.10000" TargetMode="External"/><Relationship Id="rId25" Type="http://schemas.openxmlformats.org/officeDocument/2006/relationships/hyperlink" Target="garantF1://45167674.10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0277.0" TargetMode="External"/><Relationship Id="rId20" Type="http://schemas.openxmlformats.org/officeDocument/2006/relationships/hyperlink" Target="garantF1://45167666.0" TargetMode="External"/><Relationship Id="rId29" Type="http://schemas.openxmlformats.org/officeDocument/2006/relationships/hyperlink" Target="garantF1://45167740.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45028.0" TargetMode="External"/><Relationship Id="rId11" Type="http://schemas.openxmlformats.org/officeDocument/2006/relationships/hyperlink" Target="garantF1://45167720.10000" TargetMode="External"/><Relationship Id="rId24" Type="http://schemas.openxmlformats.org/officeDocument/2006/relationships/hyperlink" Target="garantF1://45167672.0" TargetMode="External"/><Relationship Id="rId32" Type="http://schemas.openxmlformats.org/officeDocument/2006/relationships/hyperlink" Target="garantF1://45167732.1000" TargetMode="External"/><Relationship Id="rId5" Type="http://schemas.openxmlformats.org/officeDocument/2006/relationships/hyperlink" Target="garantF1://12045408.0" TargetMode="External"/><Relationship Id="rId15" Type="http://schemas.openxmlformats.org/officeDocument/2006/relationships/hyperlink" Target="garantF1://45167740.0" TargetMode="External"/><Relationship Id="rId23" Type="http://schemas.openxmlformats.org/officeDocument/2006/relationships/hyperlink" Target="garantF1://45167672.10000" TargetMode="External"/><Relationship Id="rId28" Type="http://schemas.openxmlformats.org/officeDocument/2006/relationships/hyperlink" Target="garantF1://45167728.0" TargetMode="External"/><Relationship Id="rId10" Type="http://schemas.openxmlformats.org/officeDocument/2006/relationships/hyperlink" Target="garantF1://45167720.0" TargetMode="External"/><Relationship Id="rId19" Type="http://schemas.openxmlformats.org/officeDocument/2006/relationships/hyperlink" Target="garantF1://45167666.10000" TargetMode="External"/><Relationship Id="rId31" Type="http://schemas.openxmlformats.org/officeDocument/2006/relationships/hyperlink" Target="garantF1://451677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67720.10000" TargetMode="External"/><Relationship Id="rId14" Type="http://schemas.openxmlformats.org/officeDocument/2006/relationships/hyperlink" Target="garantF1://45167740.10000" TargetMode="External"/><Relationship Id="rId22" Type="http://schemas.openxmlformats.org/officeDocument/2006/relationships/hyperlink" Target="garantF1://45167664.0" TargetMode="External"/><Relationship Id="rId27" Type="http://schemas.openxmlformats.org/officeDocument/2006/relationships/hyperlink" Target="garantF1://45167728.10000" TargetMode="External"/><Relationship Id="rId30" Type="http://schemas.openxmlformats.org/officeDocument/2006/relationships/hyperlink" Target="garantF1://45167732.1000" TargetMode="External"/><Relationship Id="rId8" Type="http://schemas.openxmlformats.org/officeDocument/2006/relationships/hyperlink" Target="garantF1://120702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Гаринская Ольга Николаевна</cp:lastModifiedBy>
  <cp:revision>4</cp:revision>
  <dcterms:created xsi:type="dcterms:W3CDTF">2022-06-09T14:23:00Z</dcterms:created>
  <dcterms:modified xsi:type="dcterms:W3CDTF">2022-06-10T09:52:00Z</dcterms:modified>
</cp:coreProperties>
</file>