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2B" w:rsidRDefault="006C722B" w:rsidP="00BD0ACA">
      <w:pPr>
        <w:ind w:left="5940"/>
      </w:pPr>
      <w:r>
        <w:t xml:space="preserve">   </w:t>
      </w:r>
      <w:r w:rsidR="00BD0ACA"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684EE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>,</w:t>
      </w:r>
      <w:r w:rsidR="006C722B" w:rsidRPr="006C7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proofErr w:type="spellStart"/>
      <w:r w:rsidR="001703C7">
        <w:rPr>
          <w:sz w:val="28"/>
          <w:szCs w:val="28"/>
        </w:rPr>
        <w:t>Сургутским</w:t>
      </w:r>
      <w:proofErr w:type="spellEnd"/>
      <w:r w:rsidR="001703C7">
        <w:rPr>
          <w:sz w:val="28"/>
          <w:szCs w:val="28"/>
        </w:rPr>
        <w:t xml:space="preserve"> </w:t>
      </w:r>
    </w:p>
    <w:p w:rsidR="001703C7" w:rsidRDefault="001703C7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городским </w:t>
      </w:r>
      <w:r w:rsidR="00BD0ACA"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</w:p>
    <w:p w:rsidR="006C722B" w:rsidRDefault="001703C7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унитарным предприятием</w:t>
      </w:r>
    </w:p>
    <w:p w:rsidR="00170DF8" w:rsidRDefault="001703C7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кадастровый центр Природа»</w:t>
      </w:r>
    </w:p>
    <w:p w:rsidR="00170DF8" w:rsidRDefault="00170DF8" w:rsidP="00170DF8">
      <w:pPr>
        <w:jc w:val="both"/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 w:rsidR="00927BDE">
        <w:rPr>
          <w:sz w:val="28"/>
          <w:szCs w:val="28"/>
        </w:rPr>
        <w:br/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17038">
        <w:rPr>
          <w:sz w:val="28"/>
          <w:szCs w:val="28"/>
        </w:rPr>
        <w:br/>
      </w:r>
      <w:r w:rsidRPr="0030480E">
        <w:rPr>
          <w:sz w:val="28"/>
          <w:szCs w:val="28"/>
        </w:rPr>
        <w:t>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proofErr w:type="spellStart"/>
      <w:r w:rsidRPr="0030480E">
        <w:rPr>
          <w:sz w:val="28"/>
          <w:szCs w:val="28"/>
        </w:rPr>
        <w:t>пп</w:t>
      </w:r>
      <w:proofErr w:type="spellEnd"/>
      <w:r w:rsidRPr="00304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F1648F">
        <w:rPr>
          <w:sz w:val="28"/>
          <w:szCs w:val="28"/>
        </w:rPr>
        <w:t xml:space="preserve">решением городской Думы от 28.02.2006 </w:t>
      </w:r>
      <w:r w:rsidR="00F1648F">
        <w:rPr>
          <w:sz w:val="28"/>
          <w:szCs w:val="28"/>
        </w:rPr>
        <w:br/>
        <w:t>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о порядке установления тарифов </w:t>
      </w:r>
      <w:r w:rsidR="00BD791F">
        <w:rPr>
          <w:sz w:val="28"/>
          <w:szCs w:val="28"/>
        </w:rPr>
        <w:br/>
      </w:r>
      <w:r w:rsidR="00927BDE" w:rsidRPr="0030480E">
        <w:rPr>
          <w:sz w:val="28"/>
          <w:szCs w:val="28"/>
        </w:rPr>
        <w:t>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8F4686" w:rsidRPr="00406765">
        <w:rPr>
          <w:sz w:val="28"/>
          <w:szCs w:val="28"/>
        </w:rPr>
        <w:t>постановлени</w:t>
      </w:r>
      <w:r w:rsidR="008F4686">
        <w:rPr>
          <w:sz w:val="28"/>
          <w:szCs w:val="28"/>
        </w:rPr>
        <w:t>ями</w:t>
      </w:r>
      <w:r w:rsidR="008F4686" w:rsidRPr="00406765">
        <w:rPr>
          <w:sz w:val="28"/>
          <w:szCs w:val="28"/>
        </w:rPr>
        <w:t xml:space="preserve"> Администрации города от 12.02.2015 № 912 «Об утверждении положения </w:t>
      </w:r>
      <w:r w:rsidR="008F4686">
        <w:rPr>
          <w:sz w:val="28"/>
          <w:szCs w:val="28"/>
        </w:rPr>
        <w:br/>
      </w:r>
      <w:r w:rsidR="008F4686" w:rsidRPr="00406765">
        <w:rPr>
          <w:sz w:val="28"/>
          <w:szCs w:val="28"/>
        </w:rPr>
        <w:t>о платных услугах (работах) муниципальных организаций»</w:t>
      </w:r>
      <w:r w:rsidR="008F4686">
        <w:rPr>
          <w:sz w:val="28"/>
          <w:szCs w:val="28"/>
        </w:rPr>
        <w:t xml:space="preserve">, от 09.02.2015 № 792 «Об утверждении порядка формирования тарифов на платные услуги (работы) муниципальных организаций», </w:t>
      </w:r>
      <w:r w:rsidR="005B092D">
        <w:rPr>
          <w:sz w:val="28"/>
          <w:szCs w:val="28"/>
        </w:rPr>
        <w:t xml:space="preserve">распоряжением </w:t>
      </w:r>
      <w:r w:rsidR="00F1648F">
        <w:rPr>
          <w:sz w:val="28"/>
          <w:szCs w:val="28"/>
        </w:rPr>
        <w:t xml:space="preserve">  Администрации города </w:t>
      </w:r>
      <w:r w:rsidR="008F4686">
        <w:rPr>
          <w:sz w:val="28"/>
          <w:szCs w:val="28"/>
        </w:rPr>
        <w:br/>
      </w:r>
      <w:r w:rsidR="005B092D">
        <w:rPr>
          <w:sz w:val="28"/>
          <w:szCs w:val="28"/>
        </w:rPr>
        <w:t>от 30.12.2005 № 3686 «Об утверждении Регламента Администрации города».</w:t>
      </w:r>
      <w:r w:rsidR="00F1648F">
        <w:rPr>
          <w:sz w:val="28"/>
          <w:szCs w:val="28"/>
        </w:rPr>
        <w:t xml:space="preserve"> </w:t>
      </w:r>
    </w:p>
    <w:p w:rsidR="00152A73" w:rsidRDefault="00152A73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0"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</w:t>
      </w:r>
      <w:r w:rsidR="006C722B">
        <w:rPr>
          <w:sz w:val="28"/>
          <w:szCs w:val="28"/>
        </w:rPr>
        <w:t>Установить предельные максимальные тарифы на п</w:t>
      </w:r>
      <w:r w:rsidR="006C722B" w:rsidRPr="00E87334">
        <w:rPr>
          <w:sz w:val="28"/>
          <w:szCs w:val="28"/>
        </w:rPr>
        <w:t xml:space="preserve">латные </w:t>
      </w:r>
      <w:proofErr w:type="gramStart"/>
      <w:r w:rsidR="006C722B" w:rsidRPr="00E87334">
        <w:rPr>
          <w:sz w:val="28"/>
          <w:szCs w:val="28"/>
        </w:rPr>
        <w:t>услуги,  оказываемые</w:t>
      </w:r>
      <w:proofErr w:type="gramEnd"/>
      <w:r w:rsidR="006C722B" w:rsidRPr="00E87334">
        <w:rPr>
          <w:sz w:val="28"/>
          <w:szCs w:val="28"/>
        </w:rPr>
        <w:t xml:space="preserve"> </w:t>
      </w:r>
      <w:proofErr w:type="spellStart"/>
      <w:r w:rsidR="001703C7">
        <w:rPr>
          <w:sz w:val="28"/>
          <w:szCs w:val="28"/>
        </w:rPr>
        <w:t>Сургутским</w:t>
      </w:r>
      <w:proofErr w:type="spellEnd"/>
      <w:r w:rsidR="001703C7">
        <w:rPr>
          <w:sz w:val="28"/>
          <w:szCs w:val="28"/>
        </w:rPr>
        <w:t xml:space="preserve"> городским муниципальным унитарным предприятием «</w:t>
      </w:r>
      <w:proofErr w:type="spellStart"/>
      <w:r w:rsidR="001703C7">
        <w:rPr>
          <w:sz w:val="28"/>
          <w:szCs w:val="28"/>
        </w:rPr>
        <w:t>Сургутский</w:t>
      </w:r>
      <w:proofErr w:type="spellEnd"/>
      <w:r w:rsidR="001703C7">
        <w:rPr>
          <w:sz w:val="28"/>
          <w:szCs w:val="28"/>
        </w:rPr>
        <w:t xml:space="preserve"> кадастровый центр Природа»</w:t>
      </w:r>
      <w:r w:rsidR="006C722B">
        <w:rPr>
          <w:sz w:val="28"/>
          <w:szCs w:val="28"/>
        </w:rPr>
        <w:t>, зафиксированные в прейскурант</w:t>
      </w:r>
      <w:r w:rsidR="001703C7">
        <w:rPr>
          <w:sz w:val="28"/>
          <w:szCs w:val="28"/>
        </w:rPr>
        <w:t>е</w:t>
      </w:r>
      <w:r w:rsidR="006C722B">
        <w:rPr>
          <w:sz w:val="28"/>
          <w:szCs w:val="28"/>
        </w:rPr>
        <w:t xml:space="preserve"> </w:t>
      </w:r>
      <w:r w:rsidR="00395DB5">
        <w:rPr>
          <w:sz w:val="28"/>
          <w:szCs w:val="28"/>
        </w:rPr>
        <w:br/>
      </w:r>
      <w:r w:rsidR="001703C7">
        <w:rPr>
          <w:sz w:val="28"/>
          <w:szCs w:val="28"/>
        </w:rPr>
        <w:t>№ 17-06-01/2</w:t>
      </w:r>
      <w:r w:rsidR="006C722B" w:rsidRPr="00C73DB4">
        <w:rPr>
          <w:sz w:val="28"/>
          <w:szCs w:val="28"/>
        </w:rPr>
        <w:t xml:space="preserve"> </w:t>
      </w:r>
      <w:r w:rsidR="006C722B">
        <w:rPr>
          <w:sz w:val="28"/>
          <w:szCs w:val="28"/>
        </w:rPr>
        <w:t>согласно приложени</w:t>
      </w:r>
      <w:r w:rsidR="001703C7">
        <w:rPr>
          <w:sz w:val="28"/>
          <w:szCs w:val="28"/>
        </w:rPr>
        <w:t>ю</w:t>
      </w:r>
      <w:r w:rsidR="006C722B">
        <w:rPr>
          <w:sz w:val="28"/>
          <w:szCs w:val="28"/>
        </w:rPr>
        <w:t>.</w:t>
      </w:r>
    </w:p>
    <w:p w:rsidR="00152A73" w:rsidRDefault="00152A73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22B">
        <w:rPr>
          <w:sz w:val="28"/>
          <w:szCs w:val="28"/>
        </w:rPr>
        <w:t xml:space="preserve">2. </w:t>
      </w:r>
      <w:proofErr w:type="spellStart"/>
      <w:r w:rsidR="001703C7">
        <w:rPr>
          <w:sz w:val="28"/>
          <w:szCs w:val="28"/>
        </w:rPr>
        <w:t>Сургутскому</w:t>
      </w:r>
      <w:proofErr w:type="spellEnd"/>
      <w:r w:rsidR="001703C7">
        <w:rPr>
          <w:sz w:val="28"/>
          <w:szCs w:val="28"/>
        </w:rPr>
        <w:t xml:space="preserve"> городскому муниципальному унитарному предприятию «</w:t>
      </w:r>
      <w:proofErr w:type="spellStart"/>
      <w:r w:rsidR="001703C7">
        <w:rPr>
          <w:sz w:val="28"/>
          <w:szCs w:val="28"/>
        </w:rPr>
        <w:t>Сургутский</w:t>
      </w:r>
      <w:proofErr w:type="spellEnd"/>
      <w:r w:rsidR="001703C7">
        <w:rPr>
          <w:sz w:val="28"/>
          <w:szCs w:val="28"/>
        </w:rPr>
        <w:t xml:space="preserve"> кадастровый центр Природа» </w:t>
      </w:r>
      <w:r w:rsidR="006C722B">
        <w:rPr>
          <w:sz w:val="28"/>
          <w:szCs w:val="28"/>
        </w:rPr>
        <w:t>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пунктом 1 настоящего постановления.</w:t>
      </w:r>
    </w:p>
    <w:p w:rsidR="00FE0981" w:rsidRDefault="00152A73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22B">
        <w:rPr>
          <w:sz w:val="28"/>
          <w:szCs w:val="28"/>
        </w:rPr>
        <w:t xml:space="preserve">3.  Признать утратившим силу постановление Администрации города </w:t>
      </w:r>
      <w:r w:rsidR="001703C7">
        <w:rPr>
          <w:sz w:val="28"/>
          <w:szCs w:val="28"/>
        </w:rPr>
        <w:t>от 22.06</w:t>
      </w:r>
      <w:r w:rsidR="003B6D0F">
        <w:rPr>
          <w:sz w:val="28"/>
          <w:szCs w:val="28"/>
        </w:rPr>
        <w:t xml:space="preserve">.2016 </w:t>
      </w:r>
      <w:r w:rsidR="006C722B">
        <w:rPr>
          <w:sz w:val="28"/>
          <w:szCs w:val="28"/>
        </w:rPr>
        <w:t xml:space="preserve">№ </w:t>
      </w:r>
      <w:r w:rsidR="001703C7">
        <w:rPr>
          <w:sz w:val="28"/>
          <w:szCs w:val="28"/>
        </w:rPr>
        <w:t>4659</w:t>
      </w:r>
      <w:r w:rsidR="006C722B">
        <w:rPr>
          <w:sz w:val="28"/>
          <w:szCs w:val="28"/>
        </w:rPr>
        <w:t xml:space="preserve"> «Об установлении предельных максимальных тарифов на платные услуги, оказываемые </w:t>
      </w:r>
      <w:proofErr w:type="spellStart"/>
      <w:r w:rsidR="001703C7">
        <w:rPr>
          <w:sz w:val="28"/>
          <w:szCs w:val="28"/>
        </w:rPr>
        <w:t>Сургутским</w:t>
      </w:r>
      <w:proofErr w:type="spellEnd"/>
      <w:r w:rsidR="001703C7">
        <w:rPr>
          <w:sz w:val="28"/>
          <w:szCs w:val="28"/>
        </w:rPr>
        <w:t xml:space="preserve"> городским муниципаль</w:t>
      </w:r>
      <w:r w:rsidR="00FE0981">
        <w:rPr>
          <w:sz w:val="28"/>
          <w:szCs w:val="28"/>
        </w:rPr>
        <w:t>ным унитарным предприятием «</w:t>
      </w:r>
      <w:proofErr w:type="spellStart"/>
      <w:r w:rsidR="00FE0981">
        <w:rPr>
          <w:sz w:val="28"/>
          <w:szCs w:val="28"/>
        </w:rPr>
        <w:t>Сур</w:t>
      </w:r>
      <w:r w:rsidR="001703C7">
        <w:rPr>
          <w:sz w:val="28"/>
          <w:szCs w:val="28"/>
        </w:rPr>
        <w:t>гутский</w:t>
      </w:r>
      <w:proofErr w:type="spellEnd"/>
      <w:r w:rsidR="001703C7">
        <w:rPr>
          <w:sz w:val="28"/>
          <w:szCs w:val="28"/>
        </w:rPr>
        <w:t xml:space="preserve"> кадастровый центр Природа».</w:t>
      </w:r>
    </w:p>
    <w:p w:rsidR="00FE0981" w:rsidRDefault="00FE0981" w:rsidP="00FE0981">
      <w:pPr>
        <w:rPr>
          <w:sz w:val="28"/>
          <w:szCs w:val="28"/>
        </w:rPr>
      </w:pPr>
    </w:p>
    <w:p w:rsidR="006C722B" w:rsidRPr="00FE0981" w:rsidRDefault="00FE0981" w:rsidP="00FE0981">
      <w:pPr>
        <w:tabs>
          <w:tab w:val="left" w:pos="4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6D0F" w:rsidRDefault="003B6D0F" w:rsidP="003B6D0F">
      <w:pPr>
        <w:pStyle w:val="a8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>
        <w:rPr>
          <w:bCs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B6D0F" w:rsidRDefault="003B6D0F" w:rsidP="003B6D0F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3B6D0F" w:rsidRDefault="003B6D0F" w:rsidP="003B6D0F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6. Настоящее постановление вступает в силу </w:t>
      </w:r>
      <w:r w:rsidR="00FE0981">
        <w:rPr>
          <w:bCs/>
          <w:szCs w:val="28"/>
        </w:rPr>
        <w:t xml:space="preserve">после </w:t>
      </w:r>
      <w:bookmarkStart w:id="0" w:name="_GoBack"/>
      <w:bookmarkEnd w:id="0"/>
      <w:r>
        <w:rPr>
          <w:bCs/>
          <w:szCs w:val="28"/>
        </w:rPr>
        <w:t>его официального опубликования.</w:t>
      </w:r>
    </w:p>
    <w:p w:rsidR="003B6D0F" w:rsidRDefault="003B6D0F" w:rsidP="003B6D0F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7. Контроль за выполнением постановления возложить </w:t>
      </w:r>
      <w:r w:rsidRPr="00F51025">
        <w:rPr>
          <w:bCs/>
          <w:szCs w:val="28"/>
        </w:rPr>
        <w:t xml:space="preserve">на заместителя Главы города </w:t>
      </w:r>
      <w:r w:rsidR="00F51025" w:rsidRPr="00F51025">
        <w:rPr>
          <w:bCs/>
          <w:szCs w:val="28"/>
        </w:rPr>
        <w:t>Шмидта В.Э.</w:t>
      </w:r>
    </w:p>
    <w:p w:rsidR="006C722B" w:rsidRDefault="006C722B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F51025" w:rsidRDefault="00F51025" w:rsidP="00D251D0">
      <w:pPr>
        <w:jc w:val="both"/>
        <w:rPr>
          <w:sz w:val="28"/>
          <w:szCs w:val="28"/>
        </w:rPr>
      </w:pPr>
    </w:p>
    <w:p w:rsidR="00F51025" w:rsidRDefault="00F51025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0322E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0322E2" w:rsidRDefault="00684EE1" w:rsidP="000322E2">
      <w:pPr>
        <w:jc w:val="center"/>
        <w:rPr>
          <w:bCs/>
          <w:sz w:val="28"/>
        </w:rPr>
      </w:pPr>
      <w:r>
        <w:rPr>
          <w:bCs/>
          <w:sz w:val="28"/>
        </w:rPr>
        <w:t>Прейскурант № 17-06-01/2</w:t>
      </w:r>
    </w:p>
    <w:p w:rsidR="000322E2" w:rsidRDefault="000322E2" w:rsidP="000322E2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="00684EE1">
        <w:rPr>
          <w:bCs/>
          <w:sz w:val="28"/>
        </w:rPr>
        <w:t xml:space="preserve"> </w:t>
      </w:r>
      <w:r>
        <w:rPr>
          <w:bCs/>
          <w:sz w:val="28"/>
        </w:rPr>
        <w:t xml:space="preserve">оказываемые </w:t>
      </w:r>
      <w:proofErr w:type="spellStart"/>
      <w:r>
        <w:rPr>
          <w:bCs/>
          <w:sz w:val="28"/>
        </w:rPr>
        <w:t>Сургутским</w:t>
      </w:r>
      <w:proofErr w:type="spellEnd"/>
      <w:r>
        <w:rPr>
          <w:bCs/>
          <w:sz w:val="28"/>
        </w:rPr>
        <w:t xml:space="preserve"> городским муниципальным унитарным</w:t>
      </w:r>
    </w:p>
    <w:p w:rsidR="000322E2" w:rsidRDefault="000322E2" w:rsidP="000322E2">
      <w:pPr>
        <w:jc w:val="center"/>
        <w:rPr>
          <w:bCs/>
          <w:sz w:val="28"/>
        </w:rPr>
      </w:pPr>
      <w:r>
        <w:rPr>
          <w:bCs/>
          <w:sz w:val="28"/>
        </w:rPr>
        <w:t>предприятием «</w:t>
      </w:r>
      <w:proofErr w:type="spellStart"/>
      <w:r>
        <w:rPr>
          <w:bCs/>
          <w:sz w:val="28"/>
        </w:rPr>
        <w:t>Сургутский</w:t>
      </w:r>
      <w:proofErr w:type="spellEnd"/>
      <w:r>
        <w:rPr>
          <w:bCs/>
          <w:sz w:val="28"/>
        </w:rPr>
        <w:t xml:space="preserve"> кадастровый центр Природа»</w:t>
      </w:r>
    </w:p>
    <w:p w:rsidR="000322E2" w:rsidRPr="00DF481A" w:rsidRDefault="000322E2" w:rsidP="000322E2">
      <w:pPr>
        <w:jc w:val="center"/>
        <w:rPr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418"/>
        <w:gridCol w:w="1417"/>
      </w:tblGrid>
      <w:tr w:rsidR="000322E2" w:rsidRPr="00D60ACE" w:rsidTr="001A1E4D">
        <w:tc>
          <w:tcPr>
            <w:tcW w:w="5070" w:type="dxa"/>
            <w:shd w:val="clear" w:color="auto" w:fill="auto"/>
            <w:vAlign w:val="center"/>
          </w:tcPr>
          <w:p w:rsidR="000322E2" w:rsidRPr="00D60ACE" w:rsidRDefault="000322E2" w:rsidP="001A1E4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0322E2" w:rsidRPr="00D60ACE" w:rsidRDefault="000322E2" w:rsidP="001A1E4D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8" w:type="dxa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*,</w:t>
            </w:r>
          </w:p>
          <w:p w:rsidR="000322E2" w:rsidRPr="00D60ACE" w:rsidRDefault="000322E2" w:rsidP="001A1E4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**,</w:t>
            </w:r>
          </w:p>
          <w:p w:rsidR="000322E2" w:rsidRPr="00D60ACE" w:rsidRDefault="000322E2" w:rsidP="001A1E4D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0322E2" w:rsidRPr="00D60ACE" w:rsidTr="001A1E4D">
        <w:trPr>
          <w:trHeight w:val="592"/>
        </w:trPr>
        <w:tc>
          <w:tcPr>
            <w:tcW w:w="5070" w:type="dxa"/>
            <w:shd w:val="clear" w:color="auto" w:fill="auto"/>
          </w:tcPr>
          <w:p w:rsidR="000322E2" w:rsidRPr="00D60ACE" w:rsidRDefault="000322E2" w:rsidP="001A1E4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Транспортирование твердых коммунальных отходов и отходов производства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2E2" w:rsidRPr="00D60ACE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куб. м</w:t>
            </w:r>
          </w:p>
        </w:tc>
        <w:tc>
          <w:tcPr>
            <w:tcW w:w="1418" w:type="dxa"/>
            <w:vAlign w:val="center"/>
          </w:tcPr>
          <w:p w:rsidR="000322E2" w:rsidRDefault="000322E2" w:rsidP="000322E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620,28</w:t>
            </w:r>
          </w:p>
        </w:tc>
      </w:tr>
      <w:tr w:rsidR="000322E2" w:rsidRPr="00D60ACE" w:rsidTr="001A1E4D">
        <w:trPr>
          <w:trHeight w:val="631"/>
        </w:trPr>
        <w:tc>
          <w:tcPr>
            <w:tcW w:w="5070" w:type="dxa"/>
            <w:shd w:val="clear" w:color="auto" w:fill="auto"/>
          </w:tcPr>
          <w:p w:rsidR="000322E2" w:rsidRDefault="000322E2" w:rsidP="001A1E4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Транспортирование крупногабаритных отходов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куб. м</w:t>
            </w:r>
          </w:p>
        </w:tc>
        <w:tc>
          <w:tcPr>
            <w:tcW w:w="1418" w:type="dxa"/>
            <w:vAlign w:val="center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383,67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2E2" w:rsidRDefault="00395DB5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460,40</w:t>
            </w:r>
          </w:p>
        </w:tc>
      </w:tr>
      <w:tr w:rsidR="000322E2" w:rsidRPr="00D60ACE" w:rsidTr="001A1E4D">
        <w:trPr>
          <w:trHeight w:val="443"/>
        </w:trPr>
        <w:tc>
          <w:tcPr>
            <w:tcW w:w="5070" w:type="dxa"/>
            <w:shd w:val="clear" w:color="auto" w:fill="auto"/>
          </w:tcPr>
          <w:p w:rsidR="000322E2" w:rsidRDefault="000322E2" w:rsidP="001A1E4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Транспортирование жидких коммунальных отходов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2E2" w:rsidRPr="00D60ACE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куб. м</w:t>
            </w:r>
          </w:p>
        </w:tc>
        <w:tc>
          <w:tcPr>
            <w:tcW w:w="1418" w:type="dxa"/>
            <w:vAlign w:val="center"/>
          </w:tcPr>
          <w:p w:rsidR="000322E2" w:rsidRDefault="000322E2" w:rsidP="000322E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453,59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2E2" w:rsidRDefault="000322E2" w:rsidP="000322E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544,31</w:t>
            </w:r>
          </w:p>
        </w:tc>
      </w:tr>
      <w:tr w:rsidR="000322E2" w:rsidRPr="00D60ACE" w:rsidTr="001A1E4D">
        <w:trPr>
          <w:trHeight w:val="841"/>
        </w:trPr>
        <w:tc>
          <w:tcPr>
            <w:tcW w:w="5070" w:type="dxa"/>
            <w:shd w:val="clear" w:color="auto" w:fill="auto"/>
          </w:tcPr>
          <w:p w:rsidR="000322E2" w:rsidRDefault="000322E2" w:rsidP="000322E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Транспортные услуги</w:t>
            </w:r>
            <w:r w:rsidR="00922A3B">
              <w:rPr>
                <w:bCs/>
                <w:sz w:val="28"/>
              </w:rPr>
              <w:t xml:space="preserve">, </w:t>
            </w:r>
            <w:proofErr w:type="gramStart"/>
            <w:r w:rsidR="00922A3B">
              <w:rPr>
                <w:bCs/>
                <w:sz w:val="28"/>
              </w:rPr>
              <w:t xml:space="preserve">оказываемые </w:t>
            </w:r>
            <w:r>
              <w:rPr>
                <w:bCs/>
                <w:sz w:val="28"/>
              </w:rPr>
              <w:t xml:space="preserve"> </w:t>
            </w:r>
            <w:r w:rsidRPr="000322E2">
              <w:rPr>
                <w:bCs/>
                <w:sz w:val="28"/>
              </w:rPr>
              <w:t>одноковшовым</w:t>
            </w:r>
            <w:proofErr w:type="gramEnd"/>
            <w:r w:rsidRPr="000322E2">
              <w:rPr>
                <w:bCs/>
                <w:sz w:val="28"/>
              </w:rPr>
              <w:t xml:space="preserve"> фронтальным погрузчиком ("АМКОДОР 333В")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2E2" w:rsidRPr="00D60ACE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418" w:type="dxa"/>
            <w:vAlign w:val="center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2104,84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2E2" w:rsidRDefault="000322E2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2525,81</w:t>
            </w:r>
          </w:p>
        </w:tc>
      </w:tr>
      <w:tr w:rsidR="00586805" w:rsidRPr="00D60ACE" w:rsidTr="001A1E4D">
        <w:trPr>
          <w:trHeight w:val="841"/>
        </w:trPr>
        <w:tc>
          <w:tcPr>
            <w:tcW w:w="5070" w:type="dxa"/>
            <w:vMerge w:val="restart"/>
            <w:shd w:val="clear" w:color="auto" w:fill="auto"/>
          </w:tcPr>
          <w:p w:rsidR="00586805" w:rsidRDefault="00586805" w:rsidP="005868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</w:t>
            </w:r>
            <w:r w:rsidRPr="000322E2">
              <w:rPr>
                <w:bCs/>
                <w:sz w:val="28"/>
              </w:rPr>
              <w:t>азмещение (захоронение) отходов производства, не относящихся к тверд</w:t>
            </w:r>
            <w:r>
              <w:rPr>
                <w:bCs/>
                <w:sz w:val="28"/>
              </w:rPr>
              <w:t xml:space="preserve">ым </w:t>
            </w:r>
            <w:r w:rsidRPr="000322E2">
              <w:rPr>
                <w:bCs/>
                <w:sz w:val="28"/>
              </w:rPr>
              <w:t>комм</w:t>
            </w:r>
            <w:r>
              <w:rPr>
                <w:bCs/>
                <w:sz w:val="28"/>
              </w:rPr>
              <w:t>у</w:t>
            </w:r>
            <w:r w:rsidRPr="000322E2">
              <w:rPr>
                <w:bCs/>
                <w:sz w:val="28"/>
              </w:rPr>
              <w:t>н</w:t>
            </w:r>
            <w:r>
              <w:rPr>
                <w:bCs/>
                <w:sz w:val="28"/>
              </w:rPr>
              <w:t>а</w:t>
            </w:r>
            <w:r w:rsidRPr="000322E2">
              <w:rPr>
                <w:bCs/>
                <w:sz w:val="28"/>
              </w:rPr>
              <w:t xml:space="preserve">льным </w:t>
            </w:r>
            <w:r>
              <w:rPr>
                <w:bCs/>
                <w:sz w:val="28"/>
              </w:rPr>
              <w:t>отходам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6805" w:rsidRDefault="00586805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куб. м</w:t>
            </w:r>
          </w:p>
        </w:tc>
        <w:tc>
          <w:tcPr>
            <w:tcW w:w="1418" w:type="dxa"/>
            <w:vAlign w:val="center"/>
          </w:tcPr>
          <w:p w:rsidR="00586805" w:rsidRDefault="00586805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169,74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805" w:rsidRDefault="00586805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203,69</w:t>
            </w:r>
          </w:p>
        </w:tc>
      </w:tr>
      <w:tr w:rsidR="00586805" w:rsidRPr="00D60ACE" w:rsidTr="001A1E4D">
        <w:trPr>
          <w:trHeight w:val="841"/>
        </w:trPr>
        <w:tc>
          <w:tcPr>
            <w:tcW w:w="5070" w:type="dxa"/>
            <w:vMerge/>
            <w:shd w:val="clear" w:color="auto" w:fill="auto"/>
          </w:tcPr>
          <w:p w:rsidR="00586805" w:rsidRDefault="00586805" w:rsidP="000322E2">
            <w:pPr>
              <w:rPr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6805" w:rsidRDefault="00586805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тонн</w:t>
            </w:r>
          </w:p>
        </w:tc>
        <w:tc>
          <w:tcPr>
            <w:tcW w:w="1418" w:type="dxa"/>
            <w:vAlign w:val="center"/>
          </w:tcPr>
          <w:p w:rsidR="00586805" w:rsidRDefault="00586805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1697,42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805" w:rsidRDefault="00586805" w:rsidP="001A1E4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2036,90</w:t>
            </w:r>
          </w:p>
        </w:tc>
      </w:tr>
    </w:tbl>
    <w:p w:rsidR="004477F3" w:rsidRDefault="004477F3" w:rsidP="000322E2">
      <w:pPr>
        <w:ind w:firstLine="567"/>
        <w:jc w:val="both"/>
        <w:rPr>
          <w:bCs/>
          <w:sz w:val="28"/>
        </w:rPr>
      </w:pPr>
    </w:p>
    <w:p w:rsidR="000322E2" w:rsidRDefault="000322E2" w:rsidP="000322E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4477F3">
        <w:rPr>
          <w:bCs/>
          <w:sz w:val="28"/>
        </w:rPr>
        <w:t>е</w:t>
      </w:r>
      <w:r>
        <w:rPr>
          <w:bCs/>
          <w:sz w:val="28"/>
        </w:rPr>
        <w:t>:</w:t>
      </w:r>
    </w:p>
    <w:p w:rsidR="000322E2" w:rsidRDefault="000322E2" w:rsidP="000322E2">
      <w:pPr>
        <w:ind w:firstLine="567"/>
        <w:jc w:val="both"/>
        <w:rPr>
          <w:bCs/>
          <w:sz w:val="28"/>
          <w:szCs w:val="28"/>
        </w:rPr>
      </w:pPr>
      <w:proofErr w:type="gramStart"/>
      <w:r w:rsidRPr="006315B5">
        <w:rPr>
          <w:bCs/>
          <w:sz w:val="28"/>
          <w:szCs w:val="28"/>
        </w:rPr>
        <w:t xml:space="preserve">* </w:t>
      </w:r>
      <w:r>
        <w:rPr>
          <w:bCs/>
          <w:sz w:val="28"/>
          <w:szCs w:val="28"/>
        </w:rPr>
        <w:t xml:space="preserve"> Согласно</w:t>
      </w:r>
      <w:proofErr w:type="gramEnd"/>
      <w:r>
        <w:rPr>
          <w:bCs/>
          <w:sz w:val="28"/>
          <w:szCs w:val="28"/>
        </w:rPr>
        <w:t xml:space="preserve"> п. 1 ст. 168 Налогового кодекса Российской Федерации </w:t>
      </w:r>
      <w:proofErr w:type="spellStart"/>
      <w:r>
        <w:rPr>
          <w:bCs/>
          <w:sz w:val="28"/>
          <w:szCs w:val="28"/>
        </w:rPr>
        <w:t>Сургутское</w:t>
      </w:r>
      <w:proofErr w:type="spellEnd"/>
      <w:r>
        <w:rPr>
          <w:bCs/>
          <w:sz w:val="28"/>
          <w:szCs w:val="28"/>
        </w:rPr>
        <w:t xml:space="preserve"> городское муниципальное унитарное предприятие «</w:t>
      </w:r>
      <w:proofErr w:type="spellStart"/>
      <w:r>
        <w:rPr>
          <w:bCs/>
          <w:sz w:val="28"/>
          <w:szCs w:val="28"/>
        </w:rPr>
        <w:t>Сургутский</w:t>
      </w:r>
      <w:proofErr w:type="spellEnd"/>
      <w:r>
        <w:rPr>
          <w:bCs/>
          <w:sz w:val="28"/>
          <w:szCs w:val="28"/>
        </w:rPr>
        <w:t xml:space="preserve"> кадастровый центр Природа»,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на добавленную стоимость. </w:t>
      </w:r>
    </w:p>
    <w:p w:rsidR="000322E2" w:rsidRPr="006315B5" w:rsidRDefault="000322E2" w:rsidP="000322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 Размеры т</w:t>
      </w:r>
      <w:r w:rsidRPr="006315B5">
        <w:rPr>
          <w:bCs/>
          <w:sz w:val="28"/>
          <w:szCs w:val="28"/>
        </w:rPr>
        <w:t>ариф</w:t>
      </w:r>
      <w:r>
        <w:rPr>
          <w:bCs/>
          <w:sz w:val="28"/>
          <w:szCs w:val="28"/>
        </w:rPr>
        <w:t>ов указаны с учетом</w:t>
      </w:r>
      <w:r w:rsidRPr="006315B5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ы</w:t>
      </w:r>
      <w:r w:rsidRPr="006315B5">
        <w:rPr>
          <w:bCs/>
          <w:sz w:val="28"/>
          <w:szCs w:val="28"/>
        </w:rPr>
        <w:t xml:space="preserve"> налога на добавленную стоимость</w:t>
      </w:r>
      <w:r>
        <w:rPr>
          <w:bCs/>
          <w:sz w:val="28"/>
          <w:szCs w:val="28"/>
        </w:rPr>
        <w:t>,</w:t>
      </w:r>
      <w:r w:rsidRPr="006315B5">
        <w:rPr>
          <w:bCs/>
          <w:sz w:val="28"/>
          <w:szCs w:val="28"/>
        </w:rPr>
        <w:t xml:space="preserve"> исчисленн</w:t>
      </w:r>
      <w:r>
        <w:rPr>
          <w:bCs/>
          <w:sz w:val="28"/>
          <w:szCs w:val="28"/>
        </w:rPr>
        <w:t>ой</w:t>
      </w:r>
      <w:r w:rsidRPr="006315B5">
        <w:rPr>
          <w:bCs/>
          <w:sz w:val="28"/>
          <w:szCs w:val="28"/>
        </w:rPr>
        <w:t xml:space="preserve"> по ставке </w:t>
      </w:r>
      <w:r>
        <w:rPr>
          <w:bCs/>
          <w:sz w:val="28"/>
          <w:szCs w:val="28"/>
        </w:rPr>
        <w:t>20</w:t>
      </w:r>
      <w:r w:rsidRPr="006315B5">
        <w:rPr>
          <w:bCs/>
          <w:sz w:val="28"/>
          <w:szCs w:val="28"/>
        </w:rPr>
        <w:t>% согласно п. 3 ст. 164 Налогового кодекса Российской Федерации, которая должна</w:t>
      </w:r>
      <w:r>
        <w:rPr>
          <w:bCs/>
          <w:sz w:val="28"/>
          <w:szCs w:val="28"/>
        </w:rPr>
        <w:t xml:space="preserve"> выделяться в расче</w:t>
      </w:r>
      <w:r w:rsidRPr="006315B5">
        <w:rPr>
          <w:bCs/>
          <w:sz w:val="28"/>
          <w:szCs w:val="28"/>
        </w:rPr>
        <w:t>тны</w:t>
      </w:r>
      <w:r>
        <w:rPr>
          <w:bCs/>
          <w:sz w:val="28"/>
          <w:szCs w:val="28"/>
        </w:rPr>
        <w:t xml:space="preserve">х документах отдельной строкой </w:t>
      </w:r>
      <w:r w:rsidRPr="006315B5">
        <w:rPr>
          <w:bCs/>
          <w:sz w:val="28"/>
          <w:szCs w:val="28"/>
        </w:rPr>
        <w:t>в соответствии с п.</w:t>
      </w:r>
      <w:r>
        <w:rPr>
          <w:bCs/>
          <w:sz w:val="28"/>
          <w:szCs w:val="28"/>
        </w:rPr>
        <w:t xml:space="preserve"> </w:t>
      </w:r>
      <w:r w:rsidRPr="006315B5">
        <w:rPr>
          <w:bCs/>
          <w:sz w:val="28"/>
          <w:szCs w:val="28"/>
        </w:rPr>
        <w:t xml:space="preserve">4 ст. 168 Налогового кодекса Российской Федерации.  </w:t>
      </w:r>
    </w:p>
    <w:sectPr w:rsidR="000322E2" w:rsidRPr="006315B5" w:rsidSect="005D2F61">
      <w:headerReference w:type="default" r:id="rId7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1D" w:rsidRDefault="0009001D" w:rsidP="00D251D0">
      <w:r>
        <w:separator/>
      </w:r>
    </w:p>
  </w:endnote>
  <w:endnote w:type="continuationSeparator" w:id="0">
    <w:p w:rsidR="0009001D" w:rsidRDefault="0009001D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1D" w:rsidRDefault="0009001D" w:rsidP="00D251D0">
      <w:r>
        <w:separator/>
      </w:r>
    </w:p>
  </w:footnote>
  <w:footnote w:type="continuationSeparator" w:id="0">
    <w:p w:rsidR="0009001D" w:rsidRDefault="0009001D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6C722B" w:rsidRDefault="006C7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81">
          <w:rPr>
            <w:noProof/>
          </w:rPr>
          <w:t>3</w:t>
        </w:r>
        <w:r>
          <w:fldChar w:fldCharType="end"/>
        </w:r>
      </w:p>
    </w:sdtContent>
  </w:sdt>
  <w:p w:rsidR="006C722B" w:rsidRDefault="006C7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322E2"/>
    <w:rsid w:val="000431C8"/>
    <w:rsid w:val="0009001D"/>
    <w:rsid w:val="000C1CA5"/>
    <w:rsid w:val="000E378B"/>
    <w:rsid w:val="000E73FC"/>
    <w:rsid w:val="0010075D"/>
    <w:rsid w:val="00111B84"/>
    <w:rsid w:val="001150FF"/>
    <w:rsid w:val="0011723D"/>
    <w:rsid w:val="001513C0"/>
    <w:rsid w:val="00152A73"/>
    <w:rsid w:val="001703C7"/>
    <w:rsid w:val="00170DF8"/>
    <w:rsid w:val="00176DE0"/>
    <w:rsid w:val="00187F71"/>
    <w:rsid w:val="001A7EFB"/>
    <w:rsid w:val="00204913"/>
    <w:rsid w:val="00217038"/>
    <w:rsid w:val="00246D28"/>
    <w:rsid w:val="00246DB0"/>
    <w:rsid w:val="0026160A"/>
    <w:rsid w:val="00263797"/>
    <w:rsid w:val="002D677A"/>
    <w:rsid w:val="00305F04"/>
    <w:rsid w:val="003231E5"/>
    <w:rsid w:val="00351518"/>
    <w:rsid w:val="00351A4E"/>
    <w:rsid w:val="00354933"/>
    <w:rsid w:val="0037781E"/>
    <w:rsid w:val="00391099"/>
    <w:rsid w:val="00395DB5"/>
    <w:rsid w:val="003A1032"/>
    <w:rsid w:val="003A650B"/>
    <w:rsid w:val="003B0C6E"/>
    <w:rsid w:val="003B6D0F"/>
    <w:rsid w:val="003E23DF"/>
    <w:rsid w:val="00411559"/>
    <w:rsid w:val="004150BA"/>
    <w:rsid w:val="004227BD"/>
    <w:rsid w:val="00432526"/>
    <w:rsid w:val="004469A9"/>
    <w:rsid w:val="004477F3"/>
    <w:rsid w:val="004557F5"/>
    <w:rsid w:val="004765E1"/>
    <w:rsid w:val="004813C2"/>
    <w:rsid w:val="00483344"/>
    <w:rsid w:val="004A5C8C"/>
    <w:rsid w:val="004C3ADF"/>
    <w:rsid w:val="004F4655"/>
    <w:rsid w:val="00524D02"/>
    <w:rsid w:val="00525723"/>
    <w:rsid w:val="00556FD1"/>
    <w:rsid w:val="005805BC"/>
    <w:rsid w:val="00586805"/>
    <w:rsid w:val="005871E3"/>
    <w:rsid w:val="005A07DA"/>
    <w:rsid w:val="005A4357"/>
    <w:rsid w:val="005B092D"/>
    <w:rsid w:val="005B467C"/>
    <w:rsid w:val="005B5A65"/>
    <w:rsid w:val="005B66C0"/>
    <w:rsid w:val="005B6ADB"/>
    <w:rsid w:val="005C0AD8"/>
    <w:rsid w:val="005C2105"/>
    <w:rsid w:val="005C3E9A"/>
    <w:rsid w:val="005D2F61"/>
    <w:rsid w:val="005D7D14"/>
    <w:rsid w:val="005E2472"/>
    <w:rsid w:val="005F2062"/>
    <w:rsid w:val="005F3919"/>
    <w:rsid w:val="0061543A"/>
    <w:rsid w:val="0062218B"/>
    <w:rsid w:val="00624D65"/>
    <w:rsid w:val="0063255E"/>
    <w:rsid w:val="0066120C"/>
    <w:rsid w:val="00684EE1"/>
    <w:rsid w:val="00690D85"/>
    <w:rsid w:val="00695192"/>
    <w:rsid w:val="00695C83"/>
    <w:rsid w:val="006A352F"/>
    <w:rsid w:val="006C5074"/>
    <w:rsid w:val="006C5E33"/>
    <w:rsid w:val="006C69FD"/>
    <w:rsid w:val="006C722B"/>
    <w:rsid w:val="006D5866"/>
    <w:rsid w:val="006D5B5A"/>
    <w:rsid w:val="006F4512"/>
    <w:rsid w:val="007251F5"/>
    <w:rsid w:val="007344E9"/>
    <w:rsid w:val="007346C2"/>
    <w:rsid w:val="007463D8"/>
    <w:rsid w:val="007804B3"/>
    <w:rsid w:val="007B784B"/>
    <w:rsid w:val="007D27E0"/>
    <w:rsid w:val="00804A6B"/>
    <w:rsid w:val="008170B6"/>
    <w:rsid w:val="00826ECD"/>
    <w:rsid w:val="008325AD"/>
    <w:rsid w:val="00844E69"/>
    <w:rsid w:val="0085368E"/>
    <w:rsid w:val="00855AD5"/>
    <w:rsid w:val="008679DE"/>
    <w:rsid w:val="00874029"/>
    <w:rsid w:val="008849EE"/>
    <w:rsid w:val="008C5C67"/>
    <w:rsid w:val="008E75C9"/>
    <w:rsid w:val="008F4686"/>
    <w:rsid w:val="0090125A"/>
    <w:rsid w:val="00922A3B"/>
    <w:rsid w:val="00924EE0"/>
    <w:rsid w:val="00927BDE"/>
    <w:rsid w:val="009509A5"/>
    <w:rsid w:val="00953A4C"/>
    <w:rsid w:val="00955ED9"/>
    <w:rsid w:val="0096416E"/>
    <w:rsid w:val="00970D2C"/>
    <w:rsid w:val="009B08B0"/>
    <w:rsid w:val="009B3069"/>
    <w:rsid w:val="009B3EDC"/>
    <w:rsid w:val="009C1C93"/>
    <w:rsid w:val="009C72A1"/>
    <w:rsid w:val="009E4FAB"/>
    <w:rsid w:val="009F0A32"/>
    <w:rsid w:val="009F70AE"/>
    <w:rsid w:val="00A04A0D"/>
    <w:rsid w:val="00A12539"/>
    <w:rsid w:val="00A14DA0"/>
    <w:rsid w:val="00A226B9"/>
    <w:rsid w:val="00A56D22"/>
    <w:rsid w:val="00A83A23"/>
    <w:rsid w:val="00A8622C"/>
    <w:rsid w:val="00AB312C"/>
    <w:rsid w:val="00AE2215"/>
    <w:rsid w:val="00B10872"/>
    <w:rsid w:val="00B35659"/>
    <w:rsid w:val="00B35CB7"/>
    <w:rsid w:val="00B56C2F"/>
    <w:rsid w:val="00B73D28"/>
    <w:rsid w:val="00B93C5A"/>
    <w:rsid w:val="00BB6A38"/>
    <w:rsid w:val="00BC7D19"/>
    <w:rsid w:val="00BD0ACA"/>
    <w:rsid w:val="00BD791F"/>
    <w:rsid w:val="00C120CF"/>
    <w:rsid w:val="00C13708"/>
    <w:rsid w:val="00C179F8"/>
    <w:rsid w:val="00C20FB5"/>
    <w:rsid w:val="00C34AB5"/>
    <w:rsid w:val="00C441F9"/>
    <w:rsid w:val="00C616B0"/>
    <w:rsid w:val="00CA1A54"/>
    <w:rsid w:val="00CB3A79"/>
    <w:rsid w:val="00CB3BCE"/>
    <w:rsid w:val="00CD48C1"/>
    <w:rsid w:val="00CD6C32"/>
    <w:rsid w:val="00CE00C0"/>
    <w:rsid w:val="00D01111"/>
    <w:rsid w:val="00D0591E"/>
    <w:rsid w:val="00D250F2"/>
    <w:rsid w:val="00D251D0"/>
    <w:rsid w:val="00D35A8F"/>
    <w:rsid w:val="00D437DE"/>
    <w:rsid w:val="00D53D1D"/>
    <w:rsid w:val="00D567C9"/>
    <w:rsid w:val="00D75151"/>
    <w:rsid w:val="00D83147"/>
    <w:rsid w:val="00DA00B4"/>
    <w:rsid w:val="00DA075B"/>
    <w:rsid w:val="00DC49BF"/>
    <w:rsid w:val="00DD4F19"/>
    <w:rsid w:val="00DE0C01"/>
    <w:rsid w:val="00DE3AE5"/>
    <w:rsid w:val="00DE5F26"/>
    <w:rsid w:val="00DF082A"/>
    <w:rsid w:val="00E069AE"/>
    <w:rsid w:val="00E1597E"/>
    <w:rsid w:val="00E30C5B"/>
    <w:rsid w:val="00E448AD"/>
    <w:rsid w:val="00E62307"/>
    <w:rsid w:val="00EA228F"/>
    <w:rsid w:val="00EB26F1"/>
    <w:rsid w:val="00EB3DDC"/>
    <w:rsid w:val="00EB4F74"/>
    <w:rsid w:val="00EC14FF"/>
    <w:rsid w:val="00ED18FE"/>
    <w:rsid w:val="00EE15F4"/>
    <w:rsid w:val="00EE6244"/>
    <w:rsid w:val="00EF1EB9"/>
    <w:rsid w:val="00F1648F"/>
    <w:rsid w:val="00F22C47"/>
    <w:rsid w:val="00F403BB"/>
    <w:rsid w:val="00F51025"/>
    <w:rsid w:val="00F8390A"/>
    <w:rsid w:val="00FC4AA8"/>
    <w:rsid w:val="00FC629D"/>
    <w:rsid w:val="00FD72ED"/>
    <w:rsid w:val="00FE0981"/>
    <w:rsid w:val="00FE6016"/>
    <w:rsid w:val="00FF358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Шишманцева Эльвира Юрьевна</cp:lastModifiedBy>
  <cp:revision>4</cp:revision>
  <cp:lastPrinted>2019-10-02T08:21:00Z</cp:lastPrinted>
  <dcterms:created xsi:type="dcterms:W3CDTF">2019-10-22T06:58:00Z</dcterms:created>
  <dcterms:modified xsi:type="dcterms:W3CDTF">2019-10-22T07:00:00Z</dcterms:modified>
</cp:coreProperties>
</file>