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DC" w:rsidRDefault="00852DDC" w:rsidP="00656C1A">
      <w:pPr>
        <w:spacing w:line="120" w:lineRule="atLeast"/>
        <w:jc w:val="center"/>
        <w:rPr>
          <w:sz w:val="24"/>
          <w:szCs w:val="24"/>
        </w:rPr>
      </w:pPr>
    </w:p>
    <w:p w:rsidR="00852DDC" w:rsidRDefault="00852DDC" w:rsidP="00656C1A">
      <w:pPr>
        <w:spacing w:line="120" w:lineRule="atLeast"/>
        <w:jc w:val="center"/>
        <w:rPr>
          <w:sz w:val="24"/>
          <w:szCs w:val="24"/>
        </w:rPr>
      </w:pPr>
    </w:p>
    <w:p w:rsidR="00852DDC" w:rsidRPr="00852378" w:rsidRDefault="00852DDC" w:rsidP="00656C1A">
      <w:pPr>
        <w:spacing w:line="120" w:lineRule="atLeast"/>
        <w:jc w:val="center"/>
        <w:rPr>
          <w:sz w:val="10"/>
          <w:szCs w:val="10"/>
        </w:rPr>
      </w:pPr>
    </w:p>
    <w:p w:rsidR="00852DDC" w:rsidRDefault="00852DDC" w:rsidP="00656C1A">
      <w:pPr>
        <w:spacing w:line="120" w:lineRule="atLeast"/>
        <w:jc w:val="center"/>
        <w:rPr>
          <w:sz w:val="10"/>
          <w:szCs w:val="24"/>
        </w:rPr>
      </w:pPr>
    </w:p>
    <w:p w:rsidR="00852DDC" w:rsidRPr="005541F0" w:rsidRDefault="00852D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2DDC" w:rsidRPr="005541F0" w:rsidRDefault="00852D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2DDC" w:rsidRPr="005649E4" w:rsidRDefault="00852DDC" w:rsidP="00656C1A">
      <w:pPr>
        <w:spacing w:line="120" w:lineRule="atLeast"/>
        <w:jc w:val="center"/>
        <w:rPr>
          <w:sz w:val="18"/>
          <w:szCs w:val="24"/>
        </w:rPr>
      </w:pPr>
    </w:p>
    <w:p w:rsidR="00852DDC" w:rsidRPr="00656C1A" w:rsidRDefault="00852D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2DDC" w:rsidRPr="005541F0" w:rsidRDefault="00852DDC" w:rsidP="00656C1A">
      <w:pPr>
        <w:spacing w:line="120" w:lineRule="atLeast"/>
        <w:jc w:val="center"/>
        <w:rPr>
          <w:sz w:val="18"/>
          <w:szCs w:val="24"/>
        </w:rPr>
      </w:pPr>
    </w:p>
    <w:p w:rsidR="00852DDC" w:rsidRPr="005541F0" w:rsidRDefault="00852DDC" w:rsidP="00656C1A">
      <w:pPr>
        <w:spacing w:line="120" w:lineRule="atLeast"/>
        <w:jc w:val="center"/>
        <w:rPr>
          <w:sz w:val="20"/>
          <w:szCs w:val="24"/>
        </w:rPr>
      </w:pPr>
    </w:p>
    <w:p w:rsidR="00852DDC" w:rsidRPr="00656C1A" w:rsidRDefault="00852D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2DDC" w:rsidRDefault="00852DDC" w:rsidP="00656C1A">
      <w:pPr>
        <w:spacing w:line="120" w:lineRule="atLeast"/>
        <w:jc w:val="center"/>
        <w:rPr>
          <w:sz w:val="30"/>
          <w:szCs w:val="24"/>
        </w:rPr>
      </w:pPr>
    </w:p>
    <w:p w:rsidR="00852DDC" w:rsidRPr="00656C1A" w:rsidRDefault="00852D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2D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2DDC" w:rsidRPr="00F8214F" w:rsidRDefault="00852D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2DDC" w:rsidRPr="00F8214F" w:rsidRDefault="007017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2DDC" w:rsidRPr="00F8214F" w:rsidRDefault="00852D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2DDC" w:rsidRPr="00F8214F" w:rsidRDefault="007017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52DDC" w:rsidRPr="00A63FB0" w:rsidRDefault="00852D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2DDC" w:rsidRPr="00A3761A" w:rsidRDefault="007017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52DDC" w:rsidRPr="00F8214F" w:rsidRDefault="00852D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52DDC" w:rsidRPr="00F8214F" w:rsidRDefault="00852D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2DDC" w:rsidRPr="00AB4194" w:rsidRDefault="00852D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2DDC" w:rsidRPr="00F8214F" w:rsidRDefault="007017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4571</w:t>
            </w:r>
          </w:p>
        </w:tc>
      </w:tr>
    </w:tbl>
    <w:p w:rsidR="00852DDC" w:rsidRDefault="00852DDC" w:rsidP="00C725A6">
      <w:pPr>
        <w:rPr>
          <w:rFonts w:cs="Times New Roman"/>
          <w:szCs w:val="28"/>
        </w:rPr>
      </w:pPr>
    </w:p>
    <w:p w:rsidR="00852DDC" w:rsidRDefault="00852DDC" w:rsidP="00C725A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 порядке предоставления </w:t>
      </w:r>
    </w:p>
    <w:p w:rsidR="00852DDC" w:rsidRDefault="00852DDC" w:rsidP="00C725A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</w:t>
      </w:r>
    </w:p>
    <w:p w:rsidR="00852DDC" w:rsidRDefault="00852DDC" w:rsidP="00C725A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организациям </w:t>
      </w:r>
    </w:p>
    <w:p w:rsidR="00852DDC" w:rsidRDefault="00852DDC" w:rsidP="00C725A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поддержки общественно </w:t>
      </w:r>
    </w:p>
    <w:p w:rsidR="00852DDC" w:rsidRDefault="00852DDC" w:rsidP="00C725A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значимых инициатив в сфере </w:t>
      </w:r>
    </w:p>
    <w:p w:rsidR="00852DDC" w:rsidRDefault="00852DDC" w:rsidP="00C725A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профилактики правонарушений </w:t>
      </w:r>
    </w:p>
    <w:p w:rsidR="00852DDC" w:rsidRDefault="00852DDC" w:rsidP="00C725A6">
      <w:pPr>
        <w:rPr>
          <w:rFonts w:cs="Times New Roman"/>
          <w:szCs w:val="28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852DDC" w:rsidRPr="00267C5B" w:rsidRDefault="00852DDC" w:rsidP="00C725A6">
      <w:pPr>
        <w:rPr>
          <w:rFonts w:cs="Times New Roman"/>
          <w:sz w:val="24"/>
          <w:szCs w:val="24"/>
        </w:rPr>
      </w:pPr>
    </w:p>
    <w:p w:rsidR="00852DDC" w:rsidRPr="00267C5B" w:rsidRDefault="00852DDC" w:rsidP="00852DDC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52DDC" w:rsidRPr="00852DDC" w:rsidRDefault="00852DDC" w:rsidP="00852DDC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В соответствии с п.4 ст.78.1 Бюджетного кодекса Российской Федерации, </w:t>
      </w:r>
      <w:r w:rsidR="00A023D5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ф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12.01.1996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№ 7-ФЗ «О некоммерческих организациях»,</w:t>
      </w:r>
      <w:r w:rsidRPr="00852DDC">
        <w:rPr>
          <w:rFonts w:ascii="PT Serif" w:eastAsia="Times New Roman" w:hAnsi="PT Serif" w:cs="Times New Roman"/>
          <w:color w:val="22272F"/>
          <w:szCs w:val="28"/>
          <w:lang w:eastAsia="ru-RU"/>
        </w:rPr>
        <w:t xml:space="preserve">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от 25.07.2002 № 114-ФЗ </w:t>
      </w:r>
      <w:r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                           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«О противодействии экстремистской деятельности», от 23.06.2016</w:t>
      </w:r>
      <w:r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№</w:t>
      </w:r>
      <w:r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182-ФЗ «Об основах системы профилактики правонарушений в Российской Феде</w:t>
      </w:r>
      <w:r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-              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рации»,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постановлением Правительства Российской Федерации от 27.03.2019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322 «Об общих требованиях к нормативным правовым актам и муници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Законом Ханты-Мансийского автономного округа − Югры от 16.12.2010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Уставом муниципального образования городской округ город Сургут, в целях содействия деятельности социально ориентированных некоммерческих организаций в сфере профилактики правонарушений и экстремизма:</w:t>
      </w:r>
    </w:p>
    <w:p w:rsidR="00852DDC" w:rsidRP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Утвердить порядок предоставления грантов в форме субсидий </w:t>
      </w:r>
      <w:r w:rsidRPr="00852DD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некоммерческим организациям в целях поддержки общественно значимых инициатив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в сфере профилактики правонарушений и экстремизма согласно приложению.</w:t>
      </w:r>
    </w:p>
    <w:p w:rsid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2. Признать утратившим силу постановление Администрации города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от 01.10.2018 № 7465 «О порядке предоставления грантов в форме субсидий некоммерческим организациям в целях поддержки общественно значимых инициатив в сфере профилактики правонарушений и экстремизма».</w:t>
      </w:r>
    </w:p>
    <w:p w:rsidR="00852DDC" w:rsidRP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lastRenderedPageBreak/>
        <w:t xml:space="preserve">3. Определить управление внешних и общественных связей ответственным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за организацию сбора заявок на получение грантов в форме субсидий некоммерческих организаций и проведение заседаний экспертного совета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 поддержке социально ориентированных некоммерческих организаций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 Главе города.</w:t>
      </w:r>
    </w:p>
    <w:p w:rsidR="00852DDC" w:rsidRP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4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4. Управлению документационного и информационного обеспечения </w:t>
      </w:r>
      <w:r w:rsidRPr="00852DD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852DDC" w:rsidRP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</w:p>
    <w:p w:rsidR="00852DDC" w:rsidRP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6. Контроль за выполнением постановления оставляю за собой. </w:t>
      </w:r>
    </w:p>
    <w:p w:rsidR="00852DDC" w:rsidRP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В.Н. Шувалов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 постановлению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города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__________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__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______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Порядок </w:t>
      </w:r>
    </w:p>
    <w:p w:rsidR="00720212" w:rsidRDefault="00852DDC" w:rsidP="00852DDC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предоставления грантов в форме субсидии некоммерческим </w:t>
      </w:r>
    </w:p>
    <w:p w:rsidR="00720212" w:rsidRDefault="00852DDC" w:rsidP="00852DDC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организациям в целях поддержки общественно значимых инициатив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Раздел I. Общие положения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2DDC">
        <w:rPr>
          <w:rFonts w:eastAsia="Times New Roman" w:cs="Times New Roman"/>
          <w:szCs w:val="28"/>
          <w:lang w:eastAsia="ru-RU"/>
        </w:rPr>
        <w:t>1. Настоящий порядок предоставления грантов в форме субсидии некоммерческим организациям в целях поддержки общественно значимых иници</w:t>
      </w:r>
      <w:r w:rsidR="00A023D5">
        <w:rPr>
          <w:rFonts w:eastAsia="Times New Roman" w:cs="Times New Roman"/>
          <w:szCs w:val="28"/>
          <w:lang w:eastAsia="ru-RU"/>
        </w:rPr>
        <w:t>-</w:t>
      </w:r>
      <w:r w:rsidRPr="00852DDC">
        <w:rPr>
          <w:rFonts w:eastAsia="Times New Roman" w:cs="Times New Roman"/>
          <w:szCs w:val="28"/>
          <w:lang w:eastAsia="ru-RU"/>
        </w:rPr>
        <w:t xml:space="preserve">атив в сфере профилактики правонарушений и экстремизма (далее − порядок) устанавливает цели, условия и порядок предоставления грантов в форме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szCs w:val="28"/>
          <w:lang w:eastAsia="ru-RU"/>
        </w:rPr>
        <w:t xml:space="preserve">субсидий некоммерческим организациям Администрацией города, требования </w:t>
      </w:r>
      <w:r w:rsidRPr="00852DDC">
        <w:rPr>
          <w:rFonts w:eastAsia="Times New Roman" w:cs="Times New Roman"/>
          <w:spacing w:val="-4"/>
          <w:szCs w:val="28"/>
          <w:lang w:eastAsia="ru-RU"/>
        </w:rPr>
        <w:t>к отчетности, требования об осуществлении контроля за соблюдением условий,</w:t>
      </w:r>
      <w:r w:rsidRPr="00852DDC">
        <w:rPr>
          <w:rFonts w:eastAsia="Times New Roman" w:cs="Times New Roman"/>
          <w:szCs w:val="28"/>
          <w:lang w:eastAsia="ru-RU"/>
        </w:rPr>
        <w:t xml:space="preserve"> целей и порядка предоставления грантов в форме субсидий некоммерческим организациям и ответственности за их нарушение.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Основные понятия, используемые в настоящем порядке: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52DDC">
        <w:rPr>
          <w:rFonts w:eastAsia="Times New Roman" w:cs="Times New Roman"/>
          <w:szCs w:val="28"/>
          <w:lang w:eastAsia="ru-RU"/>
        </w:rPr>
        <w:t xml:space="preserve">- гранты в форме субсидии некоммерческим организациям − средства, предоставляемые Администрацией города на безвозмездной и безвозвратной основе некоммерческим организациям, в целях поддержки общественно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szCs w:val="28"/>
          <w:lang w:eastAsia="ru-RU"/>
        </w:rPr>
        <w:t xml:space="preserve">значимых инициатив в сфере профилактики правонарушений и экстремизма </w:t>
      </w:r>
      <w:r w:rsidRPr="00852DDC">
        <w:rPr>
          <w:rFonts w:eastAsia="Times New Roman" w:cs="Times New Roman"/>
          <w:spacing w:val="-4"/>
          <w:szCs w:val="28"/>
          <w:lang w:eastAsia="ru-RU"/>
        </w:rPr>
        <w:t xml:space="preserve">по направлениям, указанным в пункте 5 раздела </w:t>
      </w:r>
      <w:r w:rsidRPr="00852DDC">
        <w:rPr>
          <w:rFonts w:eastAsia="Times New Roman" w:cs="Times New Roman"/>
          <w:spacing w:val="-4"/>
          <w:szCs w:val="28"/>
          <w:lang w:val="en-GB" w:eastAsia="ru-RU"/>
        </w:rPr>
        <w:t>I</w:t>
      </w:r>
      <w:r w:rsidRPr="00852DDC">
        <w:rPr>
          <w:rFonts w:eastAsia="Times New Roman" w:cs="Times New Roman"/>
          <w:spacing w:val="-4"/>
          <w:szCs w:val="28"/>
          <w:lang w:eastAsia="ru-RU"/>
        </w:rPr>
        <w:t xml:space="preserve"> настоящего порядка (далее − гранты в форме субсидий) на конкурсной основе;</w:t>
      </w:r>
    </w:p>
    <w:p w:rsidR="00852DDC" w:rsidRPr="00852DDC" w:rsidRDefault="00852DDC" w:rsidP="00852DDC">
      <w:pPr>
        <w:widowControl w:val="0"/>
        <w:autoSpaceDE w:val="0"/>
        <w:autoSpaceDN w:val="0"/>
        <w:ind w:firstLine="708"/>
        <w:jc w:val="both"/>
        <w:outlineLvl w:val="1"/>
        <w:rPr>
          <w:rFonts w:ascii="Calibri" w:eastAsia="Times New Roman" w:hAnsi="Calibri" w:cs="Calibri"/>
          <w:sz w:val="22"/>
          <w:szCs w:val="20"/>
          <w:lang w:eastAsia="ru-RU"/>
        </w:rPr>
      </w:pPr>
      <w:r w:rsidRPr="00852DDC">
        <w:rPr>
          <w:rFonts w:eastAsia="Times New Roman" w:cs="Times New Roman"/>
          <w:szCs w:val="28"/>
          <w:lang w:eastAsia="ru-RU"/>
        </w:rPr>
        <w:t>- заявка на получение гранта в форме субсидии (далее − заявка) − документ, подготовленный некоммерческой организацией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szCs w:val="28"/>
          <w:lang w:eastAsia="ru-RU"/>
        </w:rPr>
        <w:t>с приложением 2 к настоящему порядку и представленный в управление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szCs w:val="28"/>
          <w:lang w:eastAsia="ru-RU"/>
        </w:rPr>
        <w:t xml:space="preserve">внешних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52DDC">
        <w:rPr>
          <w:rFonts w:eastAsia="Times New Roman" w:cs="Times New Roman"/>
          <w:szCs w:val="28"/>
          <w:lang w:eastAsia="ru-RU"/>
        </w:rPr>
        <w:t xml:space="preserve">и общественных связей в соответствии с разделом </w:t>
      </w:r>
      <w:r w:rsidRPr="00852DDC">
        <w:rPr>
          <w:rFonts w:eastAsia="Times New Roman" w:cs="Times New Roman"/>
          <w:szCs w:val="28"/>
          <w:lang w:val="en-GB" w:eastAsia="ru-RU"/>
        </w:rPr>
        <w:t>II</w:t>
      </w:r>
      <w:r w:rsidRPr="00852DDC">
        <w:rPr>
          <w:rFonts w:eastAsia="Times New Roman" w:cs="Times New Roman"/>
          <w:szCs w:val="28"/>
          <w:lang w:eastAsia="ru-RU"/>
        </w:rPr>
        <w:t xml:space="preserve"> приложения 1 к настоящему порядку</w:t>
      </w:r>
      <w:r>
        <w:rPr>
          <w:rFonts w:eastAsia="Times New Roman" w:cs="Times New Roman"/>
          <w:szCs w:val="28"/>
          <w:lang w:eastAsia="ru-RU"/>
        </w:rPr>
        <w:t>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2DDC">
        <w:rPr>
          <w:rFonts w:eastAsia="Times New Roman" w:cs="Times New Roman"/>
          <w:szCs w:val="28"/>
          <w:lang w:eastAsia="ru-RU"/>
        </w:rPr>
        <w:t xml:space="preserve">- получатель гранта в форме субсидии − некоммерческая организация, зарегистрированная в качестве юридического лица (не являющаяся </w:t>
      </w:r>
      <w:r w:rsidRPr="00852DDC">
        <w:rPr>
          <w:rFonts w:eastAsia="Times New Roman" w:cs="Times New Roman"/>
          <w:spacing w:val="-4"/>
          <w:szCs w:val="28"/>
          <w:lang w:eastAsia="ru-RU"/>
        </w:rPr>
        <w:t>государственным, муниципальным учреждением), реализующая общественно значимые</w:t>
      </w:r>
      <w:r w:rsidRPr="00852DDC">
        <w:rPr>
          <w:rFonts w:eastAsia="Times New Roman" w:cs="Times New Roman"/>
          <w:szCs w:val="28"/>
          <w:lang w:eastAsia="ru-RU"/>
        </w:rPr>
        <w:t xml:space="preserve"> инициативы в сфере профилактики правонарушений и экстремизма в соответствии с требованиями и критериями приложения 1 к настоящему порядку;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2DDC">
        <w:rPr>
          <w:rFonts w:eastAsia="Times New Roman" w:cs="Times New Roman"/>
          <w:szCs w:val="28"/>
          <w:lang w:eastAsia="ru-RU"/>
        </w:rPr>
        <w:t xml:space="preserve">- общественно значимая инициатива в сфере профилактики правонарушений и экстремизма − проект, мероприятие (или ряд мероприятий),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szCs w:val="28"/>
          <w:lang w:eastAsia="ru-RU"/>
        </w:rPr>
        <w:t>осуществляемые некоммерческой организацией, направленные на профилактику правонарушений и экстремизма и содействие позитивным изменениям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szCs w:val="28"/>
          <w:lang w:eastAsia="ru-RU"/>
        </w:rPr>
        <w:t xml:space="preserve"> в местном сообществе, ограниченные во времени и имеющие конкретный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szCs w:val="28"/>
          <w:lang w:eastAsia="ru-RU"/>
        </w:rPr>
        <w:t>результат и отвечающие требованиям раздела V приложения 1 к настоящему порядку;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</w:t>
      </w:r>
      <w:r w:rsidRPr="00852DDC">
        <w:rPr>
          <w:rFonts w:eastAsia="Times New Roman" w:cs="Times New Roman"/>
          <w:bCs/>
          <w:color w:val="000000" w:themeColor="text1"/>
          <w:szCs w:val="28"/>
          <w:lang w:eastAsia="ru-RU"/>
        </w:rPr>
        <w:t>рган муниципального финансового контроля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– Контрольно-счетная палата города (далее – КСП), осуществляющая внешний финансовый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соблюдением условий, целей и порядка предоставления грантов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субсидий их получателями;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</w:t>
      </w:r>
      <w:r w:rsidRPr="00852DDC">
        <w:rPr>
          <w:rFonts w:eastAsia="Times New Roman" w:cs="Times New Roman"/>
          <w:bCs/>
          <w:color w:val="000000" w:themeColor="text1"/>
          <w:szCs w:val="28"/>
          <w:lang w:eastAsia="ru-RU"/>
        </w:rPr>
        <w:t>онтрольно-ревизионное управление (далее – КРУ)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– структурное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подразделение главного распорядителя бюджетных средств </w:t>
      </w:r>
      <w:r w:rsidR="00A023D5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города, осуществляющее обязательную проверку соблюдения условий, целей и порядка предоставления грантов в форме субсидий их получателями.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3. Гранты в форме субсидии предоставляются в целях повышения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эффективности взаимодействия Администрации города с некоммерческими организациями</w:t>
      </w:r>
      <w:r w:rsidRPr="00852DDC">
        <w:rPr>
          <w:rFonts w:eastAsia="Times New Roman" w:cs="Times New Roman"/>
          <w:szCs w:val="28"/>
          <w:lang w:eastAsia="ru-RU"/>
        </w:rPr>
        <w:t xml:space="preserve"> в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сфере профилактики правонарушений и экстремизма,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распространения лучших проектов некоммерческих организаций, привле</w:t>
      </w:r>
      <w:r w:rsidR="00A023D5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чения некоммерческих организаций к реализации городских мероприятий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 направлениям, указанным в пункте 5 настоящего раздела, профилактика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социально опасных форм поведения, решения проблем адаптации мигрантов.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4. Главный распорядитель бюджетных средств Администрация города осуществляет предоставление грантов в форме субсидии из бюджета городского округа город Сургут в соответствии с решением Думы города о бюджете городского округа город Сургут на текущий финансовый год и плановый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период в пределах утвержденных лимитов бюджетных обязательств в рамках муниципальной программы «Профилактика правонарушений и экстремизма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городе Сургуте на период до 2030 года».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Гранты в форме субсидии предоставляются в рамках мероприятия 2.5.1.1 муниципальной программы «Профилактика правонарушений и экстремизма в городе Сургуте на период до 2030</w:t>
      </w:r>
      <w:r w:rsidR="00A023D5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 некоммерческим организациям на реализацию общественно значимых инициатив в сфере профилактики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правонарушений и экстремизма по следующим направлениям: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профилактика социально опасных форм поведения граждан;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укрепление дружбы между народами, проживающими на территории автономного округа;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развитие межнационального сотрудничества, сохранение и защита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самобытности и языков народов, проживающих на территории автономного округа;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оказание помощи пострадавшим в результате социальных, национальных, религиозных конфликтов беженцам и вынужденным переселенцам;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расширение практик посредничества, медиации и примирения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конфликтах межэтнических групп в местных сообществах;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культурно-просветительская и образовательная деятельность в сфере государственной национальной политики;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социальная и культурная адаптация и интеграция мигрантов.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6.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городского округа город Сургут, а также территориального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общественного самоуправления.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7. Категориями получателей грантов в форме субсидий являются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социально ориентированные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некоммерческие организации.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8. Критериями отбора для получателей грантов в форме субсидий являются: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наличие государственной регистрации в качестве юридического лица;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местонахождение и осуществление деятельности на территории города Сургута;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отсутствие оснований, указанных в пункте 1 раздела </w:t>
      </w:r>
      <w:r w:rsidRPr="00852DDC">
        <w:rPr>
          <w:rFonts w:eastAsia="Times New Roman" w:cs="Times New Roman"/>
          <w:color w:val="000000" w:themeColor="text1"/>
          <w:szCs w:val="28"/>
          <w:lang w:val="en-US" w:eastAsia="ru-RU"/>
        </w:rPr>
        <w:t>III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приложения 1 к настоящему порядку;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направленность общественно значимой инициативы в сфере профилактики правонарушений и экстремизма на жителей города Сургута;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самостоятельное осуществление на территории города социально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ориентированной деятельности, которая по своему содержанию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плани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руемым результатам соответствует видам деятельности, указанным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пункте 5 раздела I настоящего порядка.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9. Получателями грантов в форме субсидий не могут быть: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политические партии и движения;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профессиональные союзы;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государственные, муниципальные учреждения.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10. Порядок проведения отбора некоммерческих организаций для предоставления грантов в форме субсидий отражен в приложении 1 к настоящему порядку.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11. Отбор некоммерческих организаций для предоставления грантов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субсидий проводится посредством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оценки экспертным советом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по поддержке социально ориентированных некоммерческих организаций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при Главе города, утвержденным распоряжением Главы города от 26.12.2011 № 56 «Об утверждении положения об экспертном совете по поддержке социально ориентированных некоммерческих организаций при Главе города»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(далее – экспертный совет), документов, указанных в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разделе II приложения 1 к настоящему порядку на соответствие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критериев, указанных в пункте 8 настоящего раздела.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Раздел II. Условия и порядок предоставления грантов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</w:t>
      </w:r>
      <w:r w:rsidRPr="00852DDC">
        <w:rPr>
          <w:rFonts w:eastAsia="Times New Roman" w:cs="Times New Roman"/>
          <w:szCs w:val="28"/>
          <w:lang w:eastAsia="ru-RU"/>
        </w:rPr>
        <w:t>Гранты в форме субсидии предоставляются в соответствии</w:t>
      </w:r>
      <w:r w:rsidR="00720212">
        <w:rPr>
          <w:rFonts w:eastAsia="Times New Roman" w:cs="Times New Roman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szCs w:val="28"/>
          <w:lang w:eastAsia="ru-RU"/>
        </w:rPr>
        <w:t xml:space="preserve">с постановлением Администрации города о предоставлении грантов в форме </w:t>
      </w:r>
      <w:r w:rsidR="00720212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szCs w:val="28"/>
          <w:lang w:eastAsia="ru-RU"/>
        </w:rPr>
        <w:t xml:space="preserve">субсидии некоммерческим организациям в целях поддержки общественно </w:t>
      </w:r>
      <w:r w:rsidR="00720212">
        <w:rPr>
          <w:rFonts w:eastAsia="Times New Roman" w:cs="Times New Roman"/>
          <w:szCs w:val="28"/>
          <w:lang w:eastAsia="ru-RU"/>
        </w:rPr>
        <w:t xml:space="preserve">    </w:t>
      </w:r>
      <w:r w:rsidRPr="00852DDC">
        <w:rPr>
          <w:rFonts w:eastAsia="Times New Roman" w:cs="Times New Roman"/>
          <w:szCs w:val="28"/>
          <w:lang w:eastAsia="ru-RU"/>
        </w:rPr>
        <w:t>значимых инициатив в сфере профилактики правонарушений и экстремизма</w:t>
      </w:r>
      <w:r w:rsidR="00720212">
        <w:rPr>
          <w:rFonts w:eastAsia="Times New Roman" w:cs="Times New Roman"/>
          <w:szCs w:val="28"/>
          <w:lang w:eastAsia="ru-RU"/>
        </w:rPr>
        <w:t xml:space="preserve">          </w:t>
      </w:r>
      <w:r w:rsidRPr="00852DDC">
        <w:rPr>
          <w:rFonts w:eastAsia="Times New Roman" w:cs="Times New Roman"/>
          <w:szCs w:val="28"/>
          <w:lang w:eastAsia="ru-RU"/>
        </w:rPr>
        <w:t xml:space="preserve"> в текущем году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соглашения, заключенного между Администрацией города и получателем гранта в форме субсидии в соответствии с типовой формой, установленной департаментом финансов</w:t>
      </w:r>
      <w:r w:rsidRPr="00852DDC">
        <w:rPr>
          <w:rFonts w:eastAsia="Times New Roman" w:cs="Times New Roman"/>
          <w:szCs w:val="28"/>
          <w:lang w:eastAsia="ru-RU"/>
        </w:rPr>
        <w:t>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2DDC">
        <w:rPr>
          <w:rFonts w:eastAsia="Times New Roman" w:cs="Times New Roman"/>
          <w:szCs w:val="28"/>
          <w:lang w:eastAsia="ru-RU"/>
        </w:rPr>
        <w:t xml:space="preserve">2. Управление внешних и общественных связей организует заключение с получателями грантов в форме субсидии соглашений в течение 20-и рабочих дней после издания постановления Администрации города о предоставлении грантов в форме субсидии некоммерческим организациям в целях поддержки общественно значимых инициатив в сфере профилактики правонарушений </w:t>
      </w:r>
      <w:r w:rsidR="00720212">
        <w:rPr>
          <w:rFonts w:eastAsia="Times New Roman" w:cs="Times New Roman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szCs w:val="28"/>
          <w:lang w:eastAsia="ru-RU"/>
        </w:rPr>
        <w:t>и экстремизма.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3. Размер гранта в форме субсидии определяется экспертным советом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сметой расходов общественно значимой инициативы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сфере профилактики правонарушений и экстремизма. При этом, сумма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одного гранта не может превышать 50% от всей суммы утвержденного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бюджета в рамках данного конкурса.</w:t>
      </w:r>
    </w:p>
    <w:p w:rsidR="00852DDC" w:rsidRPr="00852DDC" w:rsidRDefault="00852DDC" w:rsidP="00852DD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4. Соглашением о предоставлении гранта в форме субсидии предусматривается: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целевое назначение гранта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размер гранта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согласие получателя гранта в форме субсидии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на осуществление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главным распорядителем (распорядителем) бюджетных средств, предоста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вившим субсидию, КРУ и КСП проверок соблюдения получателем гранта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форме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субсидии условий, целей и порядка предоставления гранта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 условие соблюдения получателем гранта в форме субсидии запрета приобретения за счет полученного гранта в форме субсидии, предоставленного в целях финансового обеспечения затрат получателя гранта,</w:t>
      </w:r>
      <w:r w:rsidRPr="00852DDC">
        <w:rPr>
          <w:rFonts w:ascii="PT Serif" w:eastAsia="Times New Roman" w:hAnsi="PT Serif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иностранной валюты, за исключением операций, осуществляемых в соответствии с валю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срок реализации общественно значимой инициативы в сфере профилактики правонарушений и экстремизма в текущем календарном году;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перечень затрат, на финансовое обеспечение (возмещение) которых предоставляется грант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порядок и сроки перечисления гранта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порядок взыскания (возврата) средств гранта в форме субсидии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случае нарушения порядка, целей и условий его предоставления;</w:t>
      </w:r>
    </w:p>
    <w:p w:rsidR="00852DDC" w:rsidRPr="00852DDC" w:rsidRDefault="00852DDC" w:rsidP="00852DD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условия об авансовых платежах в размере 100% от суммы гранта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(в случае, если грант предоставляется на финансовое обеспечение затрат);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порядок, формы и сроки представления отчетов;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ответственные за осуществление контроля об исполнении условий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соглашения и представлении отчетов;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ответственность сторон за нарушение условий соглашения;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условия о возмещении произведенных некоммерческой организацией затрат на реализацию общественно значимой инициативы в сфере профилактики правонарушений и экстремизма (в случае, если грант предоставляется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 возмещение затрат реализованной (реализуемой) инициативы).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Грант в форме субсидии должен быть использован исключительно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 цели, указанные в проекте.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6. Для перемещения средств между статьями свыше 10% получаемой суммы гранта в форме субсидий или создания новой статьи расходов, получателю гранта необходимо обратиться с письменным запросом не менее чем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за 10 рабочих дней до срока окончания реализации общественно значимой инициативы в сфере профилактики правонарушений и экстремизма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для рассмотрения и согласования экспертным советом. Перемещение средств на другие статьи сметы без согласования экспертным советом допускается только в случаях, если перемещаемая сумма не превышает 10% общей суммы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7. Приобретенное на средства гранта в форме субсидии оборудование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не может быть использовано в коммерческих целях.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8. В случае невыполнения получателем гранта условий соглашения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 предоставлении гранта в форме субсидии и порядка предоставления грантов в форме субсидии некоммерческим организациям в целях поддержки общественно значимых инициатив Администрация города досрочно расторгает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соглашение с последующим возвратом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9. Перечисление гранта в форме субсидии осуществляется в течение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30 календарных дней с момента заключения соглашения о предоставлении гранта в форме субсидии на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счет, открытый территориальным органам Федерального казначейства в учреждении Центрального банка Российской Феде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рации для учета средств юридических лиц, не являющихся участниками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бюджетного процесса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10. К перечню затрат, на финансовое обеспечение (возмещение) которых предоставляется грант, относится: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оплата труда (не более 20% от суммы получаемого гранта в форме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субсидии);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приобретение оборудования и материалов;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услуги сторонних организаций;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командировочные расходы (не более 20% от суммы получаемого гранта в форме субсидии);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расходы по аренде помещения, необходимого для реализации проекта, рекламе, телефонным переговорам;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начисления на заработную плату;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приобретение призов и подарков, при этом сумма затрат не должна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превышать 20 % от суммы получаемого гранта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привлечение к выполнению работ третьих лиц в пределах сметы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расходов. В случае заключения договоров (соглашений) в целях исполнения обязательств по соглашению о предоставлении гранта в форме субсидии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на финансовое обеспечение затрат получателя гранта, в указанные договоры (соглашения) в качестве обязательного условия включается согласие лиц,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являющихся поставщиками (подрядчиками, исполнителями) по данным договорам (соглашениям), на осуществление КРУ и КСП проверок соблюдения указанными лицами условий, целей и порядка предоставления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11. Грант в форме субсидии не может быть использован на: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финансирование текущей деятельности некоммерческой организации (деятельность и расходы, не предусмотренные в заявке на получение гранта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приобретение офисной мебели, ремонт помещения;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текущую оплату аренды помещения и коммунальных услуг (кроме аренды помещений, необходимых для реализации проекта (включая выста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вочные и концертные залы);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капитальное строительство и инвестиции;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оплату прошлых обязательств некоммерческой организации;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извлечение прибыли;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политическую деятельность;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приобретение иностранной валюты, за исключением операций,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 достижением целей предоставления этих средств иных операций, определенных муниципальными правовыми актами, регулирующими порядок предоставления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деятельность, запрещенную действующим законодательством.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Раздел III. Требования к отчетности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Получатель гранта в форме субсидии представляет финансовый отчет и отчет о реализации общественно значимой инициативы в сфере профилактики правонарушений и экстремизма в сфере профилактики правонарушений и экстремизма в течение 15-и календарных дней после реализации общественно значимой инициативы в сфере профилактики правонарушений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и экстремизма в сфере профилактики правонарушений и экстремизма,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но не позднее 20 декабря текущего года согласно соглашению о предостав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лении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При предоставлении гранта в форме субсидии и приеме финансового отчета не оцениваются организация и ведение бухгалтерского учета у некоммерческой организации.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3. Форма финансового отчета и руководство по составлению данного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отчета утверждена приложением 3 к настоящему порядку.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4. Форма отчета о реализации общественно значимой инициативы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 и руководство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по составлению данного отчета утверждена приложением 4 к настоящему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порядку.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Информация об общественно значимой инициативе в сфере профилактики правонарушений и экстремизма должна быть предоставлена получателем гранта в управление внешних и общественных связей за 15 календарных дней до дня ее реализации для опубликования на официальном портале Администрации города.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6. При освещении мероприятий, проводимых в рамках реализации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значимой инициативы в сфере профилактики правонарушений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и экстремизма, в средствах массовой информации, изготовлении печатной продукции получатель гранта обязан указывать, что данное мероприятие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реализуется с привлечением средств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852DDC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852DDC">
        <w:rPr>
          <w:rFonts w:eastAsia="Times New Roman" w:cs="Times New Roman"/>
          <w:color w:val="000000" w:themeColor="text1"/>
          <w:szCs w:val="28"/>
          <w:lang w:val="en-GB" w:eastAsia="ru-RU"/>
        </w:rPr>
        <w:t>V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КРУ и КСП осуществляют проверку соблюдения условий, целей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порядка предоставления грантов в форме субсидий их получателями.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2. В целях соблюдения условий, целей и порядка предоставления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субсидий ее получателями, КРУ и КСП осуществляют обязательную проверку получателей грантов в форме субсидий, направленную на: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обеспечение соблюдения бюджетного законодательства Российской Федерации и иных правовых актов, регулирующих бюджетные правоотно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шения;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подтверждение достоверности, полноты и соответствия требованиям представления отчетности;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повышение экономности, результативности и эффективности использования бюджетных средств;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соблюдение целей, условий и порядка предоставления гранта в форме субсидий.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Сроки и регламент проведения проверки устанавливаются внутренними документами КРУ и КСП.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3. Контроль за выполнением условий соглашения о предоставлении гранта в форме субсидии и организацию процедуры приема информационного отчета о реализации общественно значимой инициативы в сфере профилактики правонарушений и экстремизма в сроки, установленные соглашением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 предоставлении грантов в форме субсидии, осуществляет управление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внешних и общественных связей.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4. Управление бюджетного учёта и отчётности обеспечивает контроль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за представлением получателями гранта в форме субсидии финансового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отчета. В случае, если предоставленные документы не подтверждают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или не в полной мере подтверждают произведенные расходы некоммерческой организации,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источником финансового обеспечения (возмещения) которых является грант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в форме субсидии, управление бюджетного уч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та и отч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тности при приеме финансового отчета в течении 5 рабочих дней со дня выявления указанных фактов запрашивает у некоммерческой организации дополни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тельные документы, подтверждающие факт произведенных расходов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и указанные в руководстве по составлению финансового отчета согласно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приложению 3 к настоящему порядку.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КРУ осуществляет последующий финансовый контроль за целевым использованием грантов в форме субсидии, КСП осуществляет внешний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финансовый контроль.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20212" w:rsidRPr="00852DDC" w:rsidRDefault="00720212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852DDC">
        <w:rPr>
          <w:rFonts w:eastAsia="Times New Roman" w:cs="Times New Roman"/>
          <w:color w:val="000000" w:themeColor="text1"/>
          <w:szCs w:val="28"/>
          <w:lang w:val="en-GB" w:eastAsia="ru-RU"/>
        </w:rPr>
        <w:t>V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. Порядок возврата грантов в форме субсидии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Гранты в форме субсидии подлежат возврату получателями грантов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в бюджет города Сургута в случае нарушения порядка,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целей и условий их предоставления, в том числе непредставления финансового отчета и отчета о реализации общественно значимой инициативы в сфере профилактики правонарушений и экстремизма в сроки, установленные соглашением о предоставлении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Остатки грантов в форме субсидии, не использованных в отчетном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финансовом году, подлежат возврату получателями грантов в форме субсидий в текущем финансовом году в бюджет города в случаях, предусмотренных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соглашением о предоставлении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За полноту и достоверность представленной информации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доку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ментов несет ответственность получатель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3. Возврат гранта в форме субсидии в бюджет города Сургута осуществляется получателем гранта в форме субсидии в течение 10-и рабочих дней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с момента получения соответствующего уведомления о возврате гранта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субсидии. Уведомление Администрации города о возврате гранта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в форме субсидий готовится в произвольной форме в письменном виде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 указанием причин и оснований для возврата гранта в форме субсидий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направляется управлением внешних и общественных связей в адрес получателя гранта в форме субсидий почтовым отправлением с уведомлением.</w:t>
      </w:r>
    </w:p>
    <w:p w:rsidR="00852DDC" w:rsidRPr="00852DDC" w:rsidRDefault="00852DDC" w:rsidP="00852DDC">
      <w:pPr>
        <w:spacing w:after="160" w:line="259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случае неиспользования в отчетном финансовом году части гранта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остатки возвращаются в бюджет города Сургута в течение 10-и рабочих дней с момента утверждения финансового отчета.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Приложение 1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субсидий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426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426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организациям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426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поддержки общественно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426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значимых инициатив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426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426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правонарушений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28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852DDC" w:rsidRDefault="00852DDC" w:rsidP="00852DDC">
      <w:pPr>
        <w:widowControl w:val="0"/>
        <w:autoSpaceDE w:val="0"/>
        <w:autoSpaceDN w:val="0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Default="00852DDC" w:rsidP="00852DDC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Порядок </w:t>
      </w:r>
    </w:p>
    <w:p w:rsidR="00852DDC" w:rsidRDefault="00852DDC" w:rsidP="00852DDC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проведения отбора некоммерческих организаций </w:t>
      </w:r>
    </w:p>
    <w:p w:rsidR="00852DDC" w:rsidRPr="00852DDC" w:rsidRDefault="00852DDC" w:rsidP="00852DDC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для предоставления грантов в форме субсидий</w:t>
      </w:r>
    </w:p>
    <w:p w:rsidR="00852DDC" w:rsidRPr="00852DDC" w:rsidRDefault="00852DDC" w:rsidP="00852DDC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852DDC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. Порядок объявления о проведении отбора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Конкурс на предоставление грантов в форме субсидии проводит управление внешних и общественных связей в течение текущего года.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случае, если по итогам конкурсного отбора часть суммы утвержденного бюджета в рамках данного конкурса осталась не распределенной,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 решению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экспертного совета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конкурс проводится в несколько этапов.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2. Управление внешних и общественных связей готовит информацию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об объявлении конкурса на предоставление грантов в форме субсидии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для публикации в газете «Сургутские ведомости»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и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для размещения ее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на официальном портале Администрации города: </w:t>
      </w:r>
      <w:hyperlink r:id="rId6" w:history="1">
        <w:r w:rsidRPr="00852DDC">
          <w:rPr>
            <w:rFonts w:eastAsia="Times New Roman" w:cs="Times New Roman"/>
            <w:color w:val="000000" w:themeColor="text1"/>
            <w:szCs w:val="28"/>
            <w:lang w:eastAsia="ru-RU"/>
          </w:rPr>
          <w:t>www.admsurgut.ru</w:t>
        </w:r>
      </w:hyperlink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3. Информация об объявлении конкурса на предоставление грантов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должна содержать: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данные о муниципальном правовом акте, в соответствии с которым проводится конкурс на предоставление грантов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перечень документов, необходимых для участия в конкурсе грантов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срок и место приема заявки и документов, необходимых для участия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конкурсе грантов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направления по которым осуществляется реализация общественно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значимых инициатив в сфере профилактики правонарушений и экстремизма.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852DDC">
        <w:rPr>
          <w:rFonts w:eastAsia="Times New Roman" w:cs="Times New Roman"/>
          <w:color w:val="000000" w:themeColor="text1"/>
          <w:szCs w:val="28"/>
          <w:lang w:val="en-US" w:eastAsia="ru-RU"/>
        </w:rPr>
        <w:t>II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. Перечень документов, необходимых для проведения отбора, сроки и порядок их подачи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Заявки от некоммерческих организаций принимаются при наличии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перечня документов, указанного в пункте 4 раздела II настоящего порядка.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Заявка в печатном виде подается некоммерческой организацией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управление внешних и общественных связей или направляется заказным письмом с уведомлением.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3. Некоммерческая организация представляет на конкурс не более трех заявок на получение гранта в форме субсидии, при этом по одному направ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лению может быть подано не более одной заявки.</w:t>
      </w:r>
    </w:p>
    <w:p w:rsidR="00852DDC" w:rsidRPr="00852DDC" w:rsidRDefault="00852DDC" w:rsidP="00852DDC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4. Для участия в конкурсе на предоставление грантов в форме субсидии в сроки согласно объявлению о проведении конкурса некоммерческие организации подают заявки по форме согласно приложению 2 к порядку предоставления грантов в форме субсидий некоммерческим организациям в целях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поддержки общественно значимых инициатив</w:t>
      </w:r>
      <w:r w:rsidRPr="00852DDC">
        <w:rPr>
          <w:rFonts w:ascii="Calibri" w:eastAsia="Times New Roman" w:hAnsi="Calibri" w:cs="Calibri"/>
          <w:color w:val="000000" w:themeColor="text1"/>
          <w:sz w:val="22"/>
          <w:szCs w:val="20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 и следующие документы: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копия свидетельства о государственной регистрации, заверенная руководителем некоммерческой организации;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копия учредительного документа организации, заверенная руководи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телем некоммерческой организации;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справка уполномоченного банка о наличии рублевого счета (оригинал или электронная подпись);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справка Инспекции Федеральной налоговой службы по городу Сургуту об исполнении налогоплательщиком (плательщиком сбора, налоговым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агентом) обязанности по уплате налогов, сборов, пеней штрафов, процентов, выданная не ранее чем за 60 дней до дня представления документов (оригинал или электронная подпись).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У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правление внешних и общественных связей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осуществляет прием заявок (улица Энгельса, 8, кабинет 135)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и документов, указанных в пункте 4 раздела II настоящего порядка в течение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10-и рабочих дней после опубликования объявления о проведении конкурса. Заявки принимаются ежедневно, кроме субботы и воскресенья, с 09.00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до 13.00 и с 14.00 до 17.00, в понедельник - до 18.00;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ведет на бумажном носителе учет заявок и соответствующих доку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ментов к заявке в журнале регистрации заявок, который должен быть прошнурован, пронумерован и скреплен печатью управления в последний день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приема заявок. Журнал регистрации заявок содержит номер заявки, наименование некоммерческой организации, указание даты и времени получения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документов (число, месяц, год, время в часах и минутах);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направляет запрос для получения выписки из Единого государственного реестра юридических лиц с использованием интернет-сервиса, размещенного на сайте Инспекции Федеральной налоговой службы по городу Сургуту;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 направляет запросы в управление бюджетного уч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ё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та и отч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ё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тности,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департамент архитектуры и градостроительства, департамент образования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для получения информации о соответствии заявителя пункту 1 раздела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val="en-GB" w:eastAsia="ru-RU"/>
        </w:rPr>
        <w:t>III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настоящего порядка.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Раздел III. Основания для отказа некоммерческой организации в участии в отборе на предоставление грантов в форме субсидии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1. Основаниями для отказа некоммерческой организации в участии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конкурсе на предоставление грантов в форме субсидий являются: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несоответствие представленных некоммерческой организацией документов перечню документов согласно пункту 4 раздела II настоящего порядка или непредставление (или представление не в полном объеме) указанных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документов;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недостоверность предоставленной информации;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представление заявки и перечня документов после окончания срока приема документов;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участник отбора является иностранным юридическим лицом;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</w:pP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- участник отбора получает в текущем финансовом году средства </w:t>
      </w:r>
      <w:r w:rsidR="00720212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                  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бюджета города Сургута в соответствии с иными правовыми актами на цели, установленные в пункте 3 раздела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val="en-US" w:eastAsia="ru-RU"/>
        </w:rPr>
        <w:t>I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приложения к настоящему постанов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лению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</w:pP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- у участника отбора на дату подачи заявки, имеется просроченная </w:t>
      </w:r>
      <w:r w:rsidR="00720212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задолженность по возврату в бюджет города Сургута субсидий, бюджетных инвестиций, предоставленных в том числе в соответствии с иными правовыми актами, иная просроченная задолженность перед бюджетом города Сургута;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</w:pP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- у участника отбора имеется неисполненная обязанность по уплате налогов, сборов, страховых взносов, пеней, штрафов и процентов, подле</w:t>
      </w:r>
      <w:r w:rsidR="00720212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-             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жащих уплате в соответствии с законодательством Российской Федерации </w:t>
      </w:r>
      <w:r w:rsidR="00720212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                   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о налогах и сборах, на дату,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не позднее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60 дней до дня представления документов;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</w:pP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- участник отбора на дату подачи заявки находится в процессе ликви</w:t>
      </w:r>
      <w:r w:rsidR="00720212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-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дации, банкротства.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Управление внешних и общественных связей не позднее даты проведения заседания экспертного совета осуществляет проверку наличия осно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ваний отказа некоммерческой организации в участии в отборе на предостав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ление грантов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3. Экспертный совет на заседании объявляет об отказе некоммерческим организациям в участии в отборе по основаниям, установленными пунктом 1 раздела III настоящего порядка.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Раздел IV. Порядок определения победителя отбора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1. Рассмотрение заявок на получение грантов в форме субсидии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принятие решения о предоставлении грантов в форме субсидии осуществляет экспертный совет.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Управление внешних и общественных связей: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направляет поступившие заявки в электронном виде членам экспертного совета для предварительного ознакомления;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в течение 20-и рабочих дней со дня окончания приема заявок организует заседания экспертного совета, в ходе которых рассматриваются заявки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на соответствие критериям, предусмотренным разделом V настоящего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порядка, и принимается решение о предоставлении грантов в форме субсидии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3. Экспертный совет при рассмотрении заявок принимает решение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 распределении грантов в форме субсидий между некоммерческими организациями по направлениям, указанным в пункте 5 раздела </w:t>
      </w:r>
      <w:r w:rsidRPr="00852DDC">
        <w:rPr>
          <w:rFonts w:eastAsia="Times New Roman" w:cs="Times New Roman"/>
          <w:color w:val="000000" w:themeColor="text1"/>
          <w:szCs w:val="28"/>
          <w:lang w:val="en-GB" w:eastAsia="ru-RU"/>
        </w:rPr>
        <w:t>I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приложения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 настоящему постановлению.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4. Распределение средств грантов в форме субсидии между направле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ниями конкурса в соответствии с поступившими заявками осуществляется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 решению экспертного совета.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По итогам отбора управление внешних и общественных связей: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готовит проект постановления Администрации города «О предостав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лении грантов в форме субсидии некоммерческим организациям в целях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поддержки общественно значимых инициатив в сфере профилактики правонарушений и экстремизма» в текущем году на основании решения экспертного совета в течение десяти рабочих дней с момента принятия решения;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готовит информацию о решении экспертного совета об утверждении получателей грантов в форме субсидии для публикации в газете «Сургутские ведомости» и размещения ее на официальном портале Администрации города: www.admsurgut.ru в течение пяти рабочих дней с момента принятия решения;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уведомляет в течение пяти рабочих дней некоммерческие организации, которые подали заявки, о результатах решения экспертного совета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Раздел V. Критерии оценки заявки на участие в отборе на предостав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ление грантов в форме субсидии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1. Критериями оценки заявки являются: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соответствие заявленной общественно значимой инициативы в сфере профилактики правонарушений и экстремизма направлениям, предусмот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ренным пунктом 5 раздела I приложения к настоящему постановлению;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соответствие имеющихся ресурсов и специалистов для реализации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значимой инициативы в сфере профилактики правонарушений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экстремизма;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обоснованность затрат на реализацию общественно значимой инициативы в сфере профилактики правонарушений и экстремизма;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направленность общественно значимой инициативы в сфере профилактики правонарушений и экстремизма на широкий круг потенциальных участников и лиц, чьи интересы удовлетворяет данная инициатива (не менее 50-и человек);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направленность общественно значимой инициативы в сфере профилактики правонарушений и экстремизма на сотрудничество между некоммерческими организациями;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возможность софинансирования реализации общественно значимой инициативы в сфере профилактики правонарушений и экстремизма иными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организациями, предприятиями;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возможность измерения результата реализации общественно значимой инициативы в сфере профилактики правонарушений и экстремизма, наличие четко прописанного социального эффекта.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Общественно значимые инициативы в сфере профилактики правонарушений и экстремизма должны быть реализованы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текущем календарном году.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  <w:sectPr w:rsidR="00852DDC" w:rsidRPr="00852DD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DDC" w:rsidRP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Приложение 2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субсидий</w:t>
      </w:r>
    </w:p>
    <w:p w:rsid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</w:t>
      </w:r>
    </w:p>
    <w:p w:rsid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организациям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</w:t>
      </w:r>
    </w:p>
    <w:p w:rsid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поддержки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значимых инициатив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</w:t>
      </w:r>
    </w:p>
    <w:p w:rsid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правонарушений 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852DDC" w:rsidRPr="00852DDC" w:rsidRDefault="00852DDC" w:rsidP="00852DDC">
      <w:pPr>
        <w:widowControl w:val="0"/>
        <w:autoSpaceDE w:val="0"/>
        <w:autoSpaceDN w:val="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" w:name="P187"/>
      <w:bookmarkEnd w:id="5"/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Заявка</w:t>
      </w:r>
    </w:p>
    <w:p w:rsidR="00852DDC" w:rsidRPr="00852DDC" w:rsidRDefault="00852DDC" w:rsidP="00852DDC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 получение гранта в форме субсидий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1. Титульный лист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91"/>
      </w:tblGrid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1.1. Название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некоммерческой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1.2. Название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направления общественно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значимой инициативы в сфере профилактики правонарушений и экстремизма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 xml:space="preserve">(в соответствии 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 п. 5 Раздела 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val="en-US" w:eastAsia="ru-RU"/>
              </w:rPr>
              <w:t>I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порядка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 xml:space="preserve">о предоставлении грантов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форме субсидии)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1.3. Контактная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почтовый (с индексом) адрес некоммерческой организации</w:t>
            </w: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номера телефона, факса, адрес электронной почты</w:t>
            </w: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1.4. Руководитель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некоммерческой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Ф.И.О., должность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телефоны, электронная почта</w:t>
            </w: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1.5. Ф.И.О. и контакты лиц,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ответственных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 реализацию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общественно значимой инициативы в сфере профилактики правонарушений и экстремизма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1.6. Срок реализации 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продолжительность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–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количество полных 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месяцев, даты начала и окончания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инициативы</w:t>
            </w: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1.7. Место реализации 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территории, на которых будет реализована инициатива</w:t>
            </w: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1.8. Запрашиваемая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сумма, полная стоимость затрат и имеющаяся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 некоммерческой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запрашиваемая сумма (в рублях)</w:t>
            </w: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полная стоимость реализации инициативы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(в рублях)</w:t>
            </w: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имеющаяся у некоммерческой организации сумма (в рублях)</w:t>
            </w:r>
          </w:p>
        </w:tc>
      </w:tr>
    </w:tbl>
    <w:p w:rsidR="00852DDC" w:rsidRPr="00852DDC" w:rsidRDefault="00852DDC" w:rsidP="00852DDC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Содержание инициативы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020"/>
        <w:gridCol w:w="306"/>
        <w:gridCol w:w="510"/>
        <w:gridCol w:w="997"/>
        <w:gridCol w:w="360"/>
        <w:gridCol w:w="993"/>
        <w:gridCol w:w="992"/>
        <w:gridCol w:w="360"/>
        <w:gridCol w:w="1023"/>
        <w:gridCol w:w="1392"/>
      </w:tblGrid>
      <w:tr w:rsidR="00852DDC" w:rsidRPr="00852DDC" w:rsidTr="00054126">
        <w:tc>
          <w:tcPr>
            <w:tcW w:w="2632" w:type="dxa"/>
            <w:gridSpan w:val="2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2.1. Наименование общественно 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значимой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инициативы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сфере профилактики правонару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шений и экстремизма</w:t>
            </w:r>
          </w:p>
        </w:tc>
        <w:tc>
          <w:tcPr>
            <w:tcW w:w="6933" w:type="dxa"/>
            <w:gridSpan w:val="9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2.2. Основные цели и задачи реализации инициативы</w:t>
            </w: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2.3. Основные целевые группы, интересы которой удовлетворяет инициатива</w:t>
            </w: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2.4. Механизм и поэтапный план реализации инициативы (последовательное перечисление основных этапов с приведением количественных показателей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периодов их осуществления)</w:t>
            </w: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2.5. Описание позитивных изменений, которые произойдут в результате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2.6. Информация об организациях, участвующих в финансировании реали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зации общественно значимой инициативы в сфере профилактики правонарушений и экстремизма (если таковые есть) с указанием их доли</w:t>
            </w: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2.7. Смета затрат на реализацию общественно значимой инициативы в сфере профилактики правонарушений и экстремизма (не все статьи обязательны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 заполнению)</w:t>
            </w:r>
          </w:p>
        </w:tc>
      </w:tr>
      <w:tr w:rsidR="00852DDC" w:rsidRPr="00852DDC" w:rsidTr="00054126">
        <w:tc>
          <w:tcPr>
            <w:tcW w:w="1612" w:type="dxa"/>
            <w:vMerge w:val="restart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 Оплата труда (не более 20% общего объема)</w:t>
            </w:r>
          </w:p>
        </w:tc>
      </w:tr>
      <w:tr w:rsidR="00852DDC" w:rsidRPr="00852DDC" w:rsidTr="00852DDC">
        <w:trPr>
          <w:trHeight w:val="938"/>
        </w:trPr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зарплата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гонорары</w:t>
            </w:r>
          </w:p>
        </w:tc>
        <w:tc>
          <w:tcPr>
            <w:tcW w:w="3342" w:type="dxa"/>
            <w:gridSpan w:val="4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852DDC" w:rsidRDefault="00720212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</w:t>
            </w:r>
            <w:r w:rsidR="00852DDC"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оли</w:t>
            </w:r>
            <w:r w:rsid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чество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месяцев</w:t>
            </w:r>
          </w:p>
        </w:tc>
        <w:tc>
          <w:tcPr>
            <w:tcW w:w="13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общая сумма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специалист</w:t>
            </w:r>
          </w:p>
        </w:tc>
        <w:tc>
          <w:tcPr>
            <w:tcW w:w="1357" w:type="dxa"/>
            <w:gridSpan w:val="2"/>
          </w:tcPr>
          <w:p w:rsid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количество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рабочих дней</w:t>
            </w:r>
          </w:p>
        </w:tc>
        <w:tc>
          <w:tcPr>
            <w:tcW w:w="99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ставка</w:t>
            </w:r>
          </w:p>
        </w:tc>
        <w:tc>
          <w:tcPr>
            <w:tcW w:w="9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сумма в месяц</w:t>
            </w:r>
          </w:p>
        </w:tc>
        <w:tc>
          <w:tcPr>
            <w:tcW w:w="1383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</w:t>
            </w:r>
          </w:p>
        </w:tc>
        <w:tc>
          <w:tcPr>
            <w:tcW w:w="1357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Итого</w:t>
            </w:r>
          </w:p>
        </w:tc>
        <w:tc>
          <w:tcPr>
            <w:tcW w:w="1357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 Приобретение оборудования и материалов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 Услуги сторонних организаций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4. Командировочные расходы (не более 20% общего объема)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5. </w:t>
            </w:r>
            <w:r w:rsidRPr="00852DDC">
              <w:rPr>
                <w:rFonts w:eastAsia="Times New Roman" w:cs="Times New Roman"/>
                <w:szCs w:val="28"/>
                <w:lang w:eastAsia="ru-RU"/>
              </w:rPr>
              <w:t>Расходы по аренде помещения, необходимого для реализации проекта, рекламе, телефонным переговорам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6. Начисления на заработную плату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720212" w:rsidRDefault="00852DDC" w:rsidP="007202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7. </w:t>
            </w:r>
            <w:r w:rsidRPr="00852DDC">
              <w:rPr>
                <w:rFonts w:eastAsia="Times New Roman" w:cs="Times New Roman"/>
                <w:szCs w:val="28"/>
                <w:lang w:eastAsia="ru-RU"/>
              </w:rPr>
              <w:t xml:space="preserve">Приобретение призов и подарков, при этом сумма затрат </w:t>
            </w:r>
          </w:p>
          <w:p w:rsidR="00720212" w:rsidRDefault="00852DDC" w:rsidP="007202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szCs w:val="28"/>
                <w:lang w:eastAsia="ru-RU"/>
              </w:rPr>
              <w:t xml:space="preserve">не должна превышать 20 % от суммы получаемого гранта </w:t>
            </w:r>
          </w:p>
          <w:p w:rsidR="00852DDC" w:rsidRPr="00852DDC" w:rsidRDefault="00852DDC" w:rsidP="00720212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szCs w:val="28"/>
                <w:lang w:eastAsia="ru-RU"/>
              </w:rPr>
              <w:t>в форме субсидии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szCs w:val="28"/>
                <w:lang w:eastAsia="ru-RU"/>
              </w:rPr>
              <w:t>8. Привлечение к выполнению работ третьих лиц в пределах сметы расходов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9. Итого общая сумма инициативы</w:t>
            </w:r>
          </w:p>
        </w:tc>
      </w:tr>
      <w:tr w:rsidR="00852DDC" w:rsidRPr="00852DDC" w:rsidTr="00054126">
        <w:tc>
          <w:tcPr>
            <w:tcW w:w="2938" w:type="dxa"/>
            <w:gridSpan w:val="3"/>
            <w:vMerge w:val="restart"/>
          </w:tcPr>
          <w:p w:rsidR="00720212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2.8. Возможное </w:t>
            </w:r>
          </w:p>
          <w:p w:rsidR="00720212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распределение средств грантов в форме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субсидий по кварталам</w:t>
            </w:r>
          </w:p>
        </w:tc>
        <w:tc>
          <w:tcPr>
            <w:tcW w:w="1507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II квартал</w:t>
            </w:r>
          </w:p>
        </w:tc>
        <w:tc>
          <w:tcPr>
            <w:tcW w:w="2705" w:type="dxa"/>
            <w:gridSpan w:val="4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III квартал</w:t>
            </w:r>
          </w:p>
        </w:tc>
        <w:tc>
          <w:tcPr>
            <w:tcW w:w="2415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IV квартал</w:t>
            </w:r>
          </w:p>
        </w:tc>
      </w:tr>
      <w:tr w:rsidR="00852DDC" w:rsidRPr="00852DDC" w:rsidTr="00054126">
        <w:tc>
          <w:tcPr>
            <w:tcW w:w="2938" w:type="dxa"/>
            <w:gridSpan w:val="3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507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705" w:type="dxa"/>
            <w:gridSpan w:val="4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ind w:firstLine="54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3. Сведения о некоммерческой организации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3102"/>
      </w:tblGrid>
      <w:tr w:rsidR="00852DDC" w:rsidRPr="00852DDC" w:rsidTr="00054126">
        <w:tc>
          <w:tcPr>
            <w:tcW w:w="646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3.1. Организационно-правовая форма некоммерческой организации</w:t>
            </w:r>
          </w:p>
        </w:tc>
        <w:tc>
          <w:tcPr>
            <w:tcW w:w="310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646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3.2. Дата создания некоммерческой организации, дата и номер регистрации</w:t>
            </w:r>
          </w:p>
        </w:tc>
        <w:tc>
          <w:tcPr>
            <w:tcW w:w="310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646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3.3. Основные сферы деятельности (не более трех)</w:t>
            </w:r>
          </w:p>
        </w:tc>
        <w:tc>
          <w:tcPr>
            <w:tcW w:w="310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646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3.4. Территория деятельности</w:t>
            </w:r>
          </w:p>
        </w:tc>
        <w:tc>
          <w:tcPr>
            <w:tcW w:w="310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6463" w:type="dxa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3.5. Опыт работы некоммерческой организации 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 заявленному направлению (не менее одного 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и не более трех наиболее удачно реализованных проекта с указанием сроков реализации, целей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задач, результатов, объемов и источников финансирования и другое)</w:t>
            </w:r>
          </w:p>
        </w:tc>
        <w:tc>
          <w:tcPr>
            <w:tcW w:w="310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6463" w:type="dxa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3.6. Имеющиеся материально-технические, информационные и иные ресурсы некоммерческой организации (дать краткое описание с количественными показателями - количество сотрудников, добро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вольцев, помещение, оборудование, периодические издания и так далее)</w:t>
            </w:r>
          </w:p>
        </w:tc>
        <w:tc>
          <w:tcPr>
            <w:tcW w:w="310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852DDC" w:rsidRDefault="00852DDC" w:rsidP="00852DD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Дата составления заявки</w:t>
      </w:r>
    </w:p>
    <w:p w:rsidR="00852DDC" w:rsidRPr="00852DDC" w:rsidRDefault="00852DDC" w:rsidP="00852DD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Настоящим подтверждаю достоверность предоставленной информации,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некоммерческая организация не находится в процессе ликвидации и реоргани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зации в качестве юридического лица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852DDC" w:rsidRPr="00852DDC" w:rsidTr="0005412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Руководитель некоммерческой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Ф.И.О.</w:t>
            </w:r>
          </w:p>
        </w:tc>
      </w:tr>
    </w:tbl>
    <w:p w:rsidR="00852DDC" w:rsidRPr="00852DDC" w:rsidRDefault="00852DDC" w:rsidP="00852DDC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Приложение 3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субсидий</w:t>
      </w:r>
    </w:p>
    <w:p w:rsid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</w:t>
      </w:r>
    </w:p>
    <w:p w:rsid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организациям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</w:t>
      </w:r>
    </w:p>
    <w:p w:rsid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поддержки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значимых инициатив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</w:t>
      </w:r>
    </w:p>
    <w:p w:rsid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правонарушений </w:t>
      </w:r>
    </w:p>
    <w:p w:rsid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  <w:t>Форма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  <w:t>УТВЕРЖДАЮ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  <w:t>Заместитель Главы города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  <w:t>_____________________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  <w:t>«___» _________ 20__ г.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СОГЛАСОВАНО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Начальник управления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внешних и общественных связей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________________________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«___» __________ 20__ г.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Финансовый отчет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Название некоммерческой организации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Наименование общественно значимой инициативы в сфере профилактики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правонарушений и экстремизма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Соглашение о предоставлении гранта в форме субсидии от ________ № ________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Реестр финансовых операций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2DDC" w:rsidRPr="00852DDC" w:rsidTr="00054126">
        <w:tc>
          <w:tcPr>
            <w:tcW w:w="2392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Статья расходов</w:t>
            </w:r>
          </w:p>
        </w:tc>
        <w:tc>
          <w:tcPr>
            <w:tcW w:w="2393" w:type="dxa"/>
          </w:tcPr>
          <w:p w:rsid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Фактически </w:t>
            </w:r>
          </w:p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израсходованная сумма (руб.)</w:t>
            </w: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Утвержденная сумма (руб.)</w:t>
            </w:r>
          </w:p>
        </w:tc>
        <w:tc>
          <w:tcPr>
            <w:tcW w:w="2393" w:type="dxa"/>
          </w:tcPr>
          <w:p w:rsidR="00852DDC" w:rsidRPr="00852DDC" w:rsidRDefault="00852DDC" w:rsidP="00720212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Порядковый № копии документа</w:t>
            </w:r>
          </w:p>
        </w:tc>
      </w:tr>
      <w:tr w:rsidR="00852DDC" w:rsidRPr="00852DDC" w:rsidTr="00054126">
        <w:tc>
          <w:tcPr>
            <w:tcW w:w="2392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2392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2392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2392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2392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Руководитель некоммерческой организации: ___________________________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Бухгалтер некоммерческой организации:_______________________________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Дата: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______________ 20__ г.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М.П.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Руководство по составлению финансового отчета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Настоящее руководство по составлению финансового отчета (далее −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руководство) содержит основные требования, предъявляемые Администрацией города, к финансовым отчетам получателей грантов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субсидий. Содержащаяся в финансовых отчетах информация необходима Администрации города для контроля за выполнением условий соглашения о предоставлении гранта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по расходованию средств, которые должны осуществляться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строгом соответствии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 статьями утвержденной сметы. Руководство содержит подробные рекомендации по составлению финансового отчета.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2. Предоставление отчета осуществляется в сроки, указанные в п. 1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раздела </w:t>
      </w:r>
      <w:r w:rsidRPr="00852DDC">
        <w:rPr>
          <w:rFonts w:eastAsia="Times New Roman" w:cs="Times New Roman"/>
          <w:color w:val="000000" w:themeColor="text1"/>
          <w:szCs w:val="28"/>
          <w:lang w:val="en-GB" w:eastAsia="ru-RU"/>
        </w:rPr>
        <w:t>III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порядка о предоставлении гранта в форме субсидии.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3. Отчеты представляются в печатном виде по форме согласно прило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жению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 к порядку о предоставлении гранта в форме субсидии. Отчет сдается руководителем некоммерческой организации в управление бюджетного учета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отчетности.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4. При составлении отчета необходимо учитывать следующие требования: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1) наименование статей расходов и суммы, указанные в финансовом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отчете, должны строго совпадать с наименованием расходов и суммами, указанными в подтверждающих документах;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2) для подтверждения произведенных расходов представляются копии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документов, заверенные подписью руководителя и печатью некоммерческой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организации. Копии необходимо делать на полных листах формата А-4. Расходы на приобретение товаров должны быть подтверждены копиями следующих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документов: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накладная;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платежное поручение (безналичный расчет);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кассовый чек, товарный чек (наличный расчет), авансовый отчет;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комиссионный акт о списании, в случае, если расходы предусматривают приобретение материальных ценностей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3) для подтверждения расходов на оплату выполненных работ или оказа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нных услуг третьих лиц представляются копии следующих документов: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акт выполненных работ или оказанных услуг;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платежное поручение (безналичный расчет);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кассовый чек, товарный чек (наличный расчет), авансовый отчет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4) если оплата за выполненные работы, оказанные услуги в рамках использования средств гранта в форме субсидии была произведена физическим лицам по платежной ведомости, в отчете о расходах указывается общая сумма средств, которые были выданы получателям данной ведомости. Ведомость должна содержать подписи всех получателей.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Подтверждающими документами являются копии следующих документов: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акт оказания услуг или выполнения работ;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платежная ведомость;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5) перечисленные налоги необходимо указать в отчете о расходах отдельно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 детальным расчетом, приложить копии платежных поручений. Если указанная в первичном документе сумма состоит не только из средств гранта в форме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субсидии, обязательно указать на копии платежного документа сумму средств гранта в форме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субсидии: «в том числе ________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___ рублей из средств по соглашению о предоставлении гранта в форме субсидии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от ________ № ____»;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6) необходимо представлять списки участников мероприятий в рамках инициативы. В случае расходования средств гранта в форме субсидии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 выдачу призов в денежной или натуральной форме обязательно составление ведомости на выдачу призов с подписями получателей;</w:t>
      </w:r>
    </w:p>
    <w:p w:rsidR="00852DDC" w:rsidRPr="00852DDC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7) первичные учетные документы должны содержать необходимые реквизиты, предусмотренные действующим законодательством.</w:t>
      </w:r>
    </w:p>
    <w:p w:rsidR="00852DDC" w:rsidRPr="00852DDC" w:rsidRDefault="00852DDC" w:rsidP="00852DDC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852DDC" w:rsidRPr="00852DDC" w:rsidRDefault="00852DDC" w:rsidP="00852DDC">
      <w:pPr>
        <w:widowControl w:val="0"/>
        <w:autoSpaceDE w:val="0"/>
        <w:autoSpaceDN w:val="0"/>
        <w:ind w:firstLine="5954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Приложение 4</w:t>
      </w:r>
    </w:p>
    <w:p w:rsidR="00720212" w:rsidRPr="00852DDC" w:rsidRDefault="00720212" w:rsidP="00720212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720212" w:rsidRPr="00852DDC" w:rsidRDefault="00720212" w:rsidP="00720212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субсидий</w:t>
      </w:r>
    </w:p>
    <w:p w:rsidR="00720212" w:rsidRDefault="00720212" w:rsidP="00720212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</w:t>
      </w:r>
    </w:p>
    <w:p w:rsidR="00720212" w:rsidRDefault="00720212" w:rsidP="00720212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организациям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</w:t>
      </w:r>
    </w:p>
    <w:p w:rsidR="00720212" w:rsidRDefault="00720212" w:rsidP="00720212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поддержки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</w:t>
      </w:r>
    </w:p>
    <w:p w:rsidR="00720212" w:rsidRPr="00852DDC" w:rsidRDefault="00720212" w:rsidP="00720212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значимых инициатив</w:t>
      </w:r>
    </w:p>
    <w:p w:rsidR="00720212" w:rsidRPr="00852DDC" w:rsidRDefault="00720212" w:rsidP="00720212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</w:t>
      </w:r>
    </w:p>
    <w:p w:rsidR="00720212" w:rsidRDefault="00720212" w:rsidP="00720212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правонарушений </w:t>
      </w:r>
    </w:p>
    <w:p w:rsidR="00852DDC" w:rsidRPr="00852DDC" w:rsidRDefault="00720212" w:rsidP="00720212">
      <w:pPr>
        <w:spacing w:after="1"/>
        <w:ind w:firstLine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20212" w:rsidRPr="00852DDC" w:rsidRDefault="00720212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Форма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6" w:name="P547"/>
      <w:bookmarkEnd w:id="6"/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Отчет о реализации общественно значимой инициативы в сфере профилактики правонарушений и экстремизма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Соглашение о предоставлении гранта в форме субсидии от _______ № 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Период отчетности: _______________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Название общественно значимой инициативы в сфере профилактики правонарушений и экстремизма: ________________________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Наименование направления: _______________________________________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Название некоммерческой организации: _____________________________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Контакты ответственных лиц за реализацию общественно значимой инициативы в сфере профилактики правонарушений и экстремизма: ______________________________________________________________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852DDC" w:rsidRPr="00852DDC" w:rsidTr="00054126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текст отчета о реализации общественной инициативы в сфере профилактики правонарушений и экстремизма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Подпись руководителя инициативы: ___________________________________</w:t>
      </w:r>
    </w:p>
    <w:p w:rsidR="00852DDC" w:rsidRPr="00852DDC" w:rsidRDefault="00852DDC" w:rsidP="00852DDC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Подпись руководителя некоммерческой организации: __________________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</w:t>
      </w:r>
    </w:p>
    <w:p w:rsidR="00852DDC" w:rsidRPr="00852DDC" w:rsidRDefault="00852DDC" w:rsidP="00852DDC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Дата: __________________</w:t>
      </w:r>
    </w:p>
    <w:p w:rsidR="00852DDC" w:rsidRPr="00852DDC" w:rsidRDefault="00852DDC" w:rsidP="00852DDC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Телефон: __________________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center"/>
        <w:outlineLvl w:val="3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Руководство по составлению отчета о реализации общественно</w:t>
      </w:r>
    </w:p>
    <w:p w:rsidR="00852DDC" w:rsidRPr="00852DDC" w:rsidRDefault="00852DDC" w:rsidP="00852DDC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значимой инициативы в сфере профилактики правонарушений и экстремизма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72021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Руководство по составлению программного (содержательного) отчета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(далее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руководство) содержит основные требования, предъявляемые Администрацией города, к отчетам о реализации общественно значимой инициативы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получателей грантов в форме субсидии. Содержащаяся в отчетах информация необходима Администрации города для мониторинга выполнения условий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соглашения о предоставлении гранта в форме субсидии,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а также для оценки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результата реализации общественно значимой инициативы в сфере профилактики правонарушений и экстремизма и его воздействия на местное сообщество. Руководство содержит подробные рекомендации по составлению отчетов.</w:t>
      </w:r>
    </w:p>
    <w:p w:rsidR="00852DDC" w:rsidRPr="00852DDC" w:rsidRDefault="00852DDC" w:rsidP="0072021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Представление отчетов осуществляется в сроки, указанные в п</w:t>
      </w:r>
      <w:r w:rsidR="00267C5B">
        <w:rPr>
          <w:rFonts w:eastAsia="Times New Roman" w:cs="Times New Roman"/>
          <w:color w:val="000000" w:themeColor="text1"/>
          <w:szCs w:val="28"/>
          <w:lang w:eastAsia="ru-RU"/>
        </w:rPr>
        <w:t>ункте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1 </w:t>
      </w:r>
      <w:r w:rsidR="00267C5B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раздела </w:t>
      </w:r>
      <w:r w:rsidRPr="00852DDC">
        <w:rPr>
          <w:rFonts w:eastAsia="Times New Roman" w:cs="Times New Roman"/>
          <w:color w:val="000000" w:themeColor="text1"/>
          <w:szCs w:val="28"/>
          <w:lang w:val="en-GB" w:eastAsia="ru-RU"/>
        </w:rPr>
        <w:t>III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порядка о предоставлении гранта в форме субсидии. Отчет сдается руководителем некоммерческой организации в управление внешних и общественных связей.</w:t>
      </w:r>
    </w:p>
    <w:p w:rsidR="00852DDC" w:rsidRPr="00852DDC" w:rsidRDefault="00852DDC" w:rsidP="0072021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отчет необходимо включить:</w:t>
      </w:r>
    </w:p>
    <w:p w:rsidR="00852DDC" w:rsidRPr="00852DDC" w:rsidRDefault="00852DDC" w:rsidP="0072021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краткую обобщающую информацию по реализации инициативы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 приведением количественных показателей (например, по теме «________» обучено или проконсультировано ___ человек, предоставлено ___ часов консультаций, распространено пособие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 ___ организациях и так далее);</w:t>
      </w:r>
    </w:p>
    <w:p w:rsidR="00852DDC" w:rsidRPr="00852DDC" w:rsidRDefault="00852DDC" w:rsidP="00852DD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отзывы участников реализации инициативы и копии публикаций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средствах массовой информации о мероприятиях в рамках ее реализации;</w:t>
      </w:r>
    </w:p>
    <w:p w:rsidR="00852DDC" w:rsidRPr="00852DDC" w:rsidRDefault="00852DDC" w:rsidP="00852DD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анализ результатов анкетирования участников реализации инициативы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(с приложением формы анкеты);</w:t>
      </w:r>
    </w:p>
    <w:p w:rsidR="00226A5C" w:rsidRPr="00852DDC" w:rsidRDefault="00852DDC" w:rsidP="00720212">
      <w:pPr>
        <w:widowControl w:val="0"/>
        <w:autoSpaceDE w:val="0"/>
        <w:autoSpaceDN w:val="0"/>
        <w:ind w:firstLine="709"/>
        <w:jc w:val="both"/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информацию о результатах реализации инициативы.</w:t>
      </w:r>
    </w:p>
    <w:sectPr w:rsidR="00226A5C" w:rsidRPr="00852DDC" w:rsidSect="00852DD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F1" w:rsidRDefault="004D2CF1">
      <w:r>
        <w:separator/>
      </w:r>
    </w:p>
  </w:endnote>
  <w:endnote w:type="continuationSeparator" w:id="0">
    <w:p w:rsidR="004D2CF1" w:rsidRDefault="004D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F1" w:rsidRDefault="004D2CF1">
      <w:r>
        <w:separator/>
      </w:r>
    </w:p>
  </w:footnote>
  <w:footnote w:type="continuationSeparator" w:id="0">
    <w:p w:rsidR="004D2CF1" w:rsidRDefault="004D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9158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7C5B" w:rsidRPr="00267C5B" w:rsidRDefault="00267C5B">
        <w:pPr>
          <w:pStyle w:val="a4"/>
          <w:jc w:val="center"/>
          <w:rPr>
            <w:sz w:val="20"/>
            <w:szCs w:val="20"/>
          </w:rPr>
        </w:pPr>
        <w:r w:rsidRPr="00267C5B">
          <w:rPr>
            <w:sz w:val="20"/>
            <w:szCs w:val="20"/>
          </w:rPr>
          <w:fldChar w:fldCharType="begin"/>
        </w:r>
        <w:r w:rsidRPr="00267C5B">
          <w:rPr>
            <w:sz w:val="20"/>
            <w:szCs w:val="20"/>
          </w:rPr>
          <w:instrText>PAGE   \* MERGEFORMAT</w:instrText>
        </w:r>
        <w:r w:rsidRPr="00267C5B">
          <w:rPr>
            <w:sz w:val="20"/>
            <w:szCs w:val="20"/>
          </w:rPr>
          <w:fldChar w:fldCharType="separate"/>
        </w:r>
        <w:r w:rsidR="007017D4">
          <w:rPr>
            <w:noProof/>
            <w:sz w:val="20"/>
            <w:szCs w:val="20"/>
          </w:rPr>
          <w:t>1</w:t>
        </w:r>
        <w:r w:rsidRPr="00267C5B">
          <w:rPr>
            <w:sz w:val="20"/>
            <w:szCs w:val="20"/>
          </w:rPr>
          <w:fldChar w:fldCharType="end"/>
        </w:r>
      </w:p>
    </w:sdtContent>
  </w:sdt>
  <w:p w:rsidR="00267C5B" w:rsidRDefault="00267C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07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44011">
          <w:rPr>
            <w:rStyle w:val="a6"/>
            <w:noProof/>
            <w:sz w:val="20"/>
          </w:rPr>
          <w:instrText>25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4011">
          <w:rPr>
            <w:noProof/>
            <w:sz w:val="20"/>
            <w:lang w:val="en-US"/>
          </w:rPr>
          <w:instrText>24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4011">
          <w:rPr>
            <w:noProof/>
            <w:sz w:val="20"/>
            <w:lang w:val="en-US"/>
          </w:rPr>
          <w:instrText>24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4011">
          <w:rPr>
            <w:noProof/>
            <w:sz w:val="20"/>
            <w:lang w:val="en-US"/>
          </w:rPr>
          <w:instrText>24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44011">
          <w:rPr>
            <w:noProof/>
            <w:sz w:val="20"/>
            <w:lang w:val="en-US"/>
          </w:rPr>
          <w:t>24</w:t>
        </w:r>
        <w:r w:rsidRPr="004A12EB">
          <w:rPr>
            <w:sz w:val="20"/>
          </w:rPr>
          <w:fldChar w:fldCharType="end"/>
        </w:r>
      </w:p>
    </w:sdtContent>
  </w:sdt>
  <w:p w:rsidR="001E6248" w:rsidRDefault="007017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DC"/>
    <w:rsid w:val="00226A5C"/>
    <w:rsid w:val="00243839"/>
    <w:rsid w:val="00267C5B"/>
    <w:rsid w:val="004D071C"/>
    <w:rsid w:val="004D2CF1"/>
    <w:rsid w:val="007017D4"/>
    <w:rsid w:val="00720212"/>
    <w:rsid w:val="00852DDC"/>
    <w:rsid w:val="00907FD1"/>
    <w:rsid w:val="00944011"/>
    <w:rsid w:val="009E35FB"/>
    <w:rsid w:val="00A023D5"/>
    <w:rsid w:val="00FC4533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FEC9B-97DE-4B18-B6B4-522954A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DC"/>
    <w:rPr>
      <w:rFonts w:ascii="Times New Roman" w:hAnsi="Times New Roman"/>
      <w:sz w:val="28"/>
    </w:rPr>
  </w:style>
  <w:style w:type="character" w:styleId="a6">
    <w:name w:val="page number"/>
    <w:basedOn w:val="a0"/>
    <w:rsid w:val="00852DDC"/>
  </w:style>
  <w:style w:type="table" w:customStyle="1" w:styleId="1">
    <w:name w:val="Сетка таблицы1"/>
    <w:basedOn w:val="a1"/>
    <w:next w:val="a3"/>
    <w:uiPriority w:val="39"/>
    <w:rsid w:val="0085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67C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7C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6718</Words>
  <Characters>38293</Characters>
  <Application>Microsoft Office Word</Application>
  <DocSecurity>0</DocSecurity>
  <Lines>319</Lines>
  <Paragraphs>89</Paragraphs>
  <ScaleCrop>false</ScaleCrop>
  <Company/>
  <LinksUpToDate>false</LinksUpToDate>
  <CharactersWithSpaces>44922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2019-06-28T08:52:00Z</cp:lastPrinted>
  <dcterms:created xsi:type="dcterms:W3CDTF">2019-07-02T07:41:00Z</dcterms:created>
  <dcterms:modified xsi:type="dcterms:W3CDTF">2019-07-02T07:41:00Z</dcterms:modified>
</cp:coreProperties>
</file>