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7" w:rsidRDefault="00840D47" w:rsidP="00840D47">
      <w:pPr>
        <w:pStyle w:val="s15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000080"/>
        </w:rPr>
      </w:pPr>
      <w:bookmarkStart w:id="0" w:name="_GoBack"/>
      <w:bookmarkEnd w:id="0"/>
      <w:r>
        <w:rPr>
          <w:rStyle w:val="s10"/>
          <w:rFonts w:ascii="Arial" w:hAnsi="Arial" w:cs="Arial"/>
          <w:b/>
          <w:bCs/>
          <w:color w:val="000080"/>
        </w:rPr>
        <w:t>Налоговый кодекс Российской Федерации</w:t>
      </w:r>
    </w:p>
    <w:p w:rsidR="00840D47" w:rsidRPr="00840D47" w:rsidRDefault="00840D47" w:rsidP="00840D47">
      <w:pPr>
        <w:pStyle w:val="s15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000080"/>
        </w:rPr>
      </w:pPr>
      <w:r>
        <w:rPr>
          <w:rStyle w:val="s10"/>
          <w:rFonts w:ascii="Arial" w:hAnsi="Arial" w:cs="Arial"/>
          <w:b/>
          <w:bCs/>
          <w:color w:val="000080"/>
        </w:rPr>
        <w:t>(часть вторая)</w:t>
      </w:r>
    </w:p>
    <w:p w:rsidR="00840D47" w:rsidRDefault="00840D47" w:rsidP="00840D47">
      <w:pPr>
        <w:pStyle w:val="s15"/>
        <w:spacing w:before="0" w:beforeAutospacing="0" w:after="0" w:afterAutospacing="0"/>
        <w:rPr>
          <w:rStyle w:val="s10"/>
          <w:rFonts w:ascii="Arial" w:hAnsi="Arial" w:cs="Arial"/>
          <w:b/>
          <w:bCs/>
          <w:color w:val="000080"/>
          <w:sz w:val="20"/>
          <w:szCs w:val="20"/>
        </w:rPr>
      </w:pPr>
    </w:p>
    <w:p w:rsidR="00840D47" w:rsidRDefault="00840D47" w:rsidP="00840D47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333.18.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Порядок и сроки уплаты государственной пошлины</w:t>
      </w:r>
    </w:p>
    <w:p w:rsidR="00840D47" w:rsidRDefault="00840D47" w:rsidP="00840D47">
      <w:pPr>
        <w:pStyle w:val="s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обращении в Конституционный Суд Российской Федерации, Верховный Суд Российской Федерации, суды общей юрисдикции, арбитражные суды или к мировым судьям - до подачи запроса, ходатайства, заявления, искового заявления, жалобы;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плательщики, указанные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anchor="block_3331720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подпункте 2 пункта 2 статьи 333.17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Кодекса, - в десятидневный срок со дня вступления в законную силу решения суда;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обращении за совершением нотариальных действий - до совершения нотариальных действий;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при обращении за выдачей документов (их дубликатов) - до выдачи документов (их дубликатов);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при обращении за проставлением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апостиля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до проставления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апостиля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5.1) при обращении за ежегодным подтверждением регистрации судна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block_3307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Российском международном реестре судов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5.2) при обращении за совершением юридически значимых действий,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block_33303312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 21-33 пункта 1 статьи 333.33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при обращении за совершением юридически значимых действий, за исключением юридически значимых действий,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block_3331810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 1 - 5.2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Государственная пошлина уплачивается плательщиком, если иное не установлено настоящей главой.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block_3332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статьями 333.20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block_33302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333.22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block_3332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333.25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block_33327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333.27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block_33329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block_33303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333.32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block_33303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333.34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предусмотренной </w:t>
      </w:r>
      <w:hyperlink r:id="rId15" w:anchor="block_213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Федеральным законом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27 июля 2010 года N 210-ФЗ "Об организации предоставления государственных и муниципальных услуг".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Перечень и формы документов, необходимых для совершения юридически значимых действий,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anchor="block_3331810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6 пункта 1</w:t>
        </w:r>
      </w:hyperlink>
      <w:r>
        <w:rPr>
          <w:rFonts w:ascii="Arial" w:hAnsi="Arial" w:cs="Arial"/>
          <w:color w:val="000000"/>
          <w:sz w:val="20"/>
          <w:szCs w:val="20"/>
        </w:rPr>
        <w:t>настоящей статьи, а также порядок их представления устанавливаются федеральными законами.</w:t>
      </w:r>
    </w:p>
    <w:p w:rsidR="00840D47" w:rsidRDefault="00840D47" w:rsidP="00840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333.26.</w:t>
      </w: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 государственную регистрацию заключения брака, включая выдачу свидетельства,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 государственную регистрацию расторжения брака, включая выдачу свидетельств: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расторжении брака в судебном порядке - 650 рублей с каждого из супругов;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- 1 600 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Положения настоящей статьи применяются с учетом положений </w:t>
      </w:r>
      <w:hyperlink r:id="rId17" w:anchor="block_33327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статьи 333.27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333.27.</w:t>
      </w: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государственной регистрации актов гражданского состояния или совершении указанных в </w:t>
      </w:r>
      <w:hyperlink r:id="rId18" w:anchor="block_33326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 действий государственная пошлина уплачивается с учетом следующих особенностей: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 </w:t>
      </w:r>
      <w:hyperlink r:id="rId19" w:anchor="block_33326105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подпунктом 5 пункта 1 статьи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 </w:t>
      </w:r>
      <w:hyperlink r:id="rId20" w:anchor="block_33326106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подпунктом 6 пункта 1 статьи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за каждое свидетельство.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</w:t>
      </w: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Положения настоящей статьи применяются с учетом положений </w:t>
      </w:r>
      <w:hyperlink r:id="rId21" w:anchor="block_333035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статей 333.35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2" w:anchor="block_33339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333.39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840D47" w:rsidRDefault="00840D47" w:rsidP="00840D47">
      <w:pPr>
        <w:pStyle w:val="s15"/>
        <w:spacing w:before="0" w:beforeAutospacing="0" w:after="0" w:afterAutospacing="0"/>
        <w:rPr>
          <w:rStyle w:val="s10"/>
          <w:rFonts w:ascii="Arial" w:hAnsi="Arial" w:cs="Arial"/>
          <w:b/>
          <w:bCs/>
          <w:color w:val="000080"/>
          <w:sz w:val="20"/>
          <w:szCs w:val="20"/>
        </w:rPr>
      </w:pPr>
    </w:p>
    <w:p w:rsidR="00840D47" w:rsidRDefault="00840D47" w:rsidP="00840D47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333.35.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Льготы для отдельных категорий физических лиц и организаций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 уплаты государственной пошлины, установленной настоящей главой, освобождаются: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органы управления государственными внебюджетными фондами Российской Федерации, казенные учреждения, редакции средств массовой информации, за исключением средств массовой информации рекламного и эротического характера, общероссийские общественные объединения, религиозные объединения, политические партии - за право использования наименований "Россия", "Российская Федерация" и образованных на их основе слов и словосочетаний в наименованиях указанных организаций или объединений;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бюджетные учреждения, являющиеся получателями бюджетных средств до 1 июля 2012 года, - за право использования наименований "Россия", "Российская Федерация" и образованных на их основе слов и словосочетаний в наименованиях указанных учреждений;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Верховный Суд Российской Федерации, суды общей юрисдикции, арбитражные суды и мировые судьи - при направлении (подаче) запросов в Конституционный Суд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суды общей юрисдикции, арбитражные суды и мировые судьи, органы государственной власти субъекта Российской Федерации - при направлении (подаче) заявлений в конституционные (уставные) суды субъектов Российской Федерации;</w:t>
      </w:r>
    </w:p>
    <w:p w:rsidR="00840D47" w:rsidRDefault="00DC7EA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="00840D47"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4)</w:t>
        </w:r>
      </w:hyperlink>
      <w:r w:rsidR="00840D4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40D47">
        <w:rPr>
          <w:rFonts w:ascii="Arial" w:hAnsi="Arial" w:cs="Arial"/>
          <w:color w:val="000000"/>
          <w:sz w:val="20"/>
          <w:szCs w:val="20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главой, за исключением случаев, предусмотренных</w:t>
      </w:r>
      <w:r w:rsidR="00840D4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anchor="block_33333124" w:history="1">
        <w:r w:rsidR="00840D47"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124 пункта 1 статьи 333.33</w:t>
        </w:r>
      </w:hyperlink>
      <w:r w:rsidR="00840D4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40D47">
        <w:rPr>
          <w:rFonts w:ascii="Arial" w:hAnsi="Arial" w:cs="Arial"/>
          <w:color w:val="000000"/>
          <w:sz w:val="20"/>
          <w:szCs w:val="20"/>
        </w:rPr>
        <w:t>настоящего Кодекса;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Центральный банк Российской Федерации - при обращении за совершением установленных настоящей главой юридически значимых действий в связи с выполнением им функций, возложенных на него законодательством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организации - при государственной регистрации выпусков (дополнительных выпусков) эмиссионных ценных бумаг, эмиссия которых осуществляется ими в целях реструктуризации долговых обязательств перед бюджетами всех уровней (в период действия договора о реструктуризации таких обязательств), в случае, если такие ценные бумаги переданы и (или) обременены в пользу уполномоченного органа исполнительной власти на основании договора о погашении задолженности по платежам в бюджеты всех уровней;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организации - при государственной регистрации выпусков (дополнительных выпусков) эмиссионных ценных бумаг, выпускаемых в обращение при увеличении уставного капитала на величину переоценки основных фондов, производимой по решению Правительства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государственные и муниципальные музеи, архивы, библиотеки и иные государственные и муниципальные хранилища культурных ценностей - за право временного вывоза культурных ценностей, находящихся в их фондах на постоянном хранении;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физические лица - авторы культурных ценностей - за право вывоза (временного вывоза) ими культурных ценностей;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органы государственной власти, органы местного самоуправления - за проставление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апостиля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физические лица - участники и инвалиды Великой Отечественной войны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block_3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утратил силу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14) физическое лицо - гражданин Российской Федерации, являющийся единственным автором программы для ЭВМ, базы данных, топологии интегральной микросхемы и правообладателем на нее, испрашивающим свидетельство о регистрации на свое имя, в случае, если такое физическое лицо является ветераном Великой Отечественной войны, инвалидом, учащимся (воспитанником) образовательных учреждений (независимо от их форм собственности), - за совершение действий,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anchor="block_33330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подпунктами 1 - 3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block_33330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block_33330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6 пункта 1 статьи 333.30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Льгота, предусмотренная настоящим подпунктом, предоставляется также коллективу авторов, правообладателей, каждый член которого является инвалидом, либо участником Великой Отечественной войны, либо инвалидом Великой Отечественной войны;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физические лица, признаваемые малоимущими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Жилищным кодексом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Федерации, - за совершение действий,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block_33303312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22 пункта 1 статьи 333.33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Кодекса, за исключением государственной регистрации ограничений (обременений) прав на недвижимое имущество.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Основанием для предоставления льгот физическим лицам, перечисленным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anchor="block_33303511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 11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block_33303511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12 пункта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настоящей статьи, является удостоверение установленного образца.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Льготы, предусмотренные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anchor="block_333035114" w:history="1">
        <w:r>
          <w:rPr>
            <w:rStyle w:val="a3"/>
            <w:rFonts w:ascii="Arial" w:hAnsi="Arial" w:cs="Arial"/>
            <w:color w:val="008000"/>
            <w:sz w:val="20"/>
            <w:szCs w:val="20"/>
          </w:rPr>
          <w:t>подпунктом 14 пункта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настоящей статьи, предоставляются по ходатайству автора (авторов). Основанием для предоставления льготы являются копии соответствующих документов: удостоверения ветерана Великой Отечественной войны (участника войны), справки медико-социальной экспертизы, документа, выданного образовательным учреждением. Ходатайство о предоставлении указанных льгот подается вместо документа, подтверждающего уплату государственной пошлины, если льготой является освобождение от ее уплаты, или вместе с указанным документом.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предоставления льготы, предусмотренной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anchor="block_33303511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15 пункта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настоящей статьи, является документ, выданный в установленном порядке.</w:t>
      </w:r>
    </w:p>
    <w:p w:rsidR="00840D47" w:rsidRDefault="00840D47" w:rsidP="00840D47">
      <w:pPr>
        <w:pStyle w:val="s15"/>
        <w:spacing w:before="0" w:beforeAutospacing="0" w:after="0" w:afterAutospacing="0"/>
        <w:rPr>
          <w:rStyle w:val="s10"/>
          <w:rFonts w:ascii="Arial" w:hAnsi="Arial" w:cs="Arial"/>
          <w:b/>
          <w:bCs/>
          <w:color w:val="000080"/>
          <w:sz w:val="20"/>
          <w:szCs w:val="20"/>
        </w:rPr>
      </w:pPr>
    </w:p>
    <w:p w:rsidR="00840D47" w:rsidRDefault="00840D47" w:rsidP="00840D47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333.39.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Льготы при государственной регистрации актов гражданского состояния</w:t>
      </w:r>
    </w:p>
    <w:p w:rsidR="00840D47" w:rsidRDefault="00840D47" w:rsidP="00840D47">
      <w:pPr>
        <w:pStyle w:val="s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</w:p>
    <w:p w:rsidR="00840D47" w:rsidRDefault="00840D47" w:rsidP="00840D4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физические лица: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государственную регистрацию рождения, смерти, включая выдачу свидетельств;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восьмой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anchor="block_3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утратил силу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843846" w:rsidRDefault="00843846"/>
    <w:sectPr w:rsidR="0084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7"/>
    <w:rsid w:val="00840D47"/>
    <w:rsid w:val="00843846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A692-4038-4B15-BD4D-5B2F6F6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0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D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0D47"/>
  </w:style>
  <w:style w:type="character" w:customStyle="1" w:styleId="apple-converted-space">
    <w:name w:val="apple-converted-space"/>
    <w:basedOn w:val="a0"/>
    <w:rsid w:val="00840D47"/>
  </w:style>
  <w:style w:type="paragraph" w:customStyle="1" w:styleId="s22">
    <w:name w:val="s_22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0D47"/>
    <w:rPr>
      <w:color w:val="0000FF"/>
      <w:u w:val="single"/>
    </w:rPr>
  </w:style>
  <w:style w:type="paragraph" w:customStyle="1" w:styleId="s1">
    <w:name w:val="s_1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40/" TargetMode="External"/><Relationship Id="rId18" Type="http://schemas.openxmlformats.org/officeDocument/2006/relationships/hyperlink" Target="http://base.garant.ru/10900200/40/" TargetMode="External"/><Relationship Id="rId26" Type="http://schemas.openxmlformats.org/officeDocument/2006/relationships/hyperlink" Target="http://base.garant.ru/10900200/40/" TargetMode="External"/><Relationship Id="rId21" Type="http://schemas.openxmlformats.org/officeDocument/2006/relationships/hyperlink" Target="http://base.garant.ru/10900200/40/" TargetMode="External"/><Relationship Id="rId34" Type="http://schemas.openxmlformats.org/officeDocument/2006/relationships/hyperlink" Target="http://base.garant.ru/10900200/40/" TargetMode="External"/><Relationship Id="rId7" Type="http://schemas.openxmlformats.org/officeDocument/2006/relationships/hyperlink" Target="http://base.garant.ru/10900200/40/" TargetMode="External"/><Relationship Id="rId12" Type="http://schemas.openxmlformats.org/officeDocument/2006/relationships/hyperlink" Target="http://base.garant.ru/10900200/40/" TargetMode="External"/><Relationship Id="rId17" Type="http://schemas.openxmlformats.org/officeDocument/2006/relationships/hyperlink" Target="http://base.garant.ru/10900200/40/" TargetMode="External"/><Relationship Id="rId25" Type="http://schemas.openxmlformats.org/officeDocument/2006/relationships/hyperlink" Target="http://base.garant.ru/12171902/" TargetMode="External"/><Relationship Id="rId33" Type="http://schemas.openxmlformats.org/officeDocument/2006/relationships/hyperlink" Target="http://base.garant.ru/10900200/4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900200/40/" TargetMode="External"/><Relationship Id="rId20" Type="http://schemas.openxmlformats.org/officeDocument/2006/relationships/hyperlink" Target="http://base.garant.ru/10900200/40/" TargetMode="External"/><Relationship Id="rId29" Type="http://schemas.openxmlformats.org/officeDocument/2006/relationships/hyperlink" Target="http://base.garant.ru/1213829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40/" TargetMode="External"/><Relationship Id="rId11" Type="http://schemas.openxmlformats.org/officeDocument/2006/relationships/hyperlink" Target="http://base.garant.ru/10900200/40/" TargetMode="External"/><Relationship Id="rId24" Type="http://schemas.openxmlformats.org/officeDocument/2006/relationships/hyperlink" Target="http://base.garant.ru/10900200/40/" TargetMode="External"/><Relationship Id="rId32" Type="http://schemas.openxmlformats.org/officeDocument/2006/relationships/hyperlink" Target="http://base.garant.ru/10900200/40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se.garant.ru/12115482/3/" TargetMode="External"/><Relationship Id="rId15" Type="http://schemas.openxmlformats.org/officeDocument/2006/relationships/hyperlink" Target="http://base.garant.ru/12177515/6/" TargetMode="External"/><Relationship Id="rId23" Type="http://schemas.openxmlformats.org/officeDocument/2006/relationships/hyperlink" Target="http://base.garant.ru/12178966/" TargetMode="External"/><Relationship Id="rId28" Type="http://schemas.openxmlformats.org/officeDocument/2006/relationships/hyperlink" Target="http://base.garant.ru/10900200/40/" TargetMode="External"/><Relationship Id="rId36" Type="http://schemas.openxmlformats.org/officeDocument/2006/relationships/hyperlink" Target="http://base.garant.ru/12171902/" TargetMode="External"/><Relationship Id="rId10" Type="http://schemas.openxmlformats.org/officeDocument/2006/relationships/hyperlink" Target="http://base.garant.ru/10900200/40/" TargetMode="External"/><Relationship Id="rId19" Type="http://schemas.openxmlformats.org/officeDocument/2006/relationships/hyperlink" Target="http://base.garant.ru/10900200/40/" TargetMode="External"/><Relationship Id="rId31" Type="http://schemas.openxmlformats.org/officeDocument/2006/relationships/hyperlink" Target="http://base.garant.ru/10900200/40/" TargetMode="External"/><Relationship Id="rId4" Type="http://schemas.openxmlformats.org/officeDocument/2006/relationships/hyperlink" Target="http://base.garant.ru/10900200/40/" TargetMode="External"/><Relationship Id="rId9" Type="http://schemas.openxmlformats.org/officeDocument/2006/relationships/hyperlink" Target="http://base.garant.ru/10900200/40/" TargetMode="External"/><Relationship Id="rId14" Type="http://schemas.openxmlformats.org/officeDocument/2006/relationships/hyperlink" Target="http://base.garant.ru/10900200/40/" TargetMode="External"/><Relationship Id="rId22" Type="http://schemas.openxmlformats.org/officeDocument/2006/relationships/hyperlink" Target="http://base.garant.ru/10900200/40/" TargetMode="External"/><Relationship Id="rId27" Type="http://schemas.openxmlformats.org/officeDocument/2006/relationships/hyperlink" Target="http://base.garant.ru/10900200/40/" TargetMode="External"/><Relationship Id="rId30" Type="http://schemas.openxmlformats.org/officeDocument/2006/relationships/hyperlink" Target="http://base.garant.ru/10900200/40/" TargetMode="External"/><Relationship Id="rId35" Type="http://schemas.openxmlformats.org/officeDocument/2006/relationships/hyperlink" Target="http://base.garant.ru/10105390/" TargetMode="External"/><Relationship Id="rId8" Type="http://schemas.openxmlformats.org/officeDocument/2006/relationships/hyperlink" Target="http://base.garant.ru/10900200/4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Мелешкина Ольга Сергеевна</cp:lastModifiedBy>
  <cp:revision>2</cp:revision>
  <dcterms:created xsi:type="dcterms:W3CDTF">2019-01-23T12:39:00Z</dcterms:created>
  <dcterms:modified xsi:type="dcterms:W3CDTF">2019-01-23T12:39:00Z</dcterms:modified>
</cp:coreProperties>
</file>