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58" w:rsidRDefault="00271E58" w:rsidP="00271E58">
      <w:pPr>
        <w:ind w:left="5954"/>
        <w:rPr>
          <w:sz w:val="28"/>
          <w:szCs w:val="28"/>
        </w:rPr>
      </w:pPr>
      <w:r w:rsidRPr="008E033B">
        <w:t>Проект</w:t>
      </w:r>
    </w:p>
    <w:p w:rsidR="00271E58" w:rsidRPr="004B3275" w:rsidRDefault="00271E58" w:rsidP="00271E58">
      <w:pPr>
        <w:ind w:left="5812" w:hanging="142"/>
      </w:pPr>
    </w:p>
    <w:p w:rsidR="00271E58" w:rsidRPr="008E033B" w:rsidRDefault="00271E58" w:rsidP="00271E58">
      <w:pPr>
        <w:ind w:left="5954"/>
      </w:pPr>
      <w:r>
        <w:t>п</w:t>
      </w:r>
      <w:r w:rsidRPr="008E033B">
        <w:t xml:space="preserve">одготовлен </w:t>
      </w:r>
      <w:r>
        <w:t xml:space="preserve">управлением </w:t>
      </w:r>
      <w:r w:rsidRPr="008E033B">
        <w:t xml:space="preserve"> </w:t>
      </w:r>
    </w:p>
    <w:p w:rsidR="00271E58" w:rsidRPr="008E033B" w:rsidRDefault="00271E58" w:rsidP="00271E58">
      <w:pPr>
        <w:ind w:left="5954"/>
      </w:pPr>
      <w:r>
        <w:t xml:space="preserve">бюджетного учёта и       отчётности </w:t>
      </w:r>
    </w:p>
    <w:p w:rsidR="00271E58" w:rsidRDefault="00271E58" w:rsidP="00271E58"/>
    <w:p w:rsidR="00271E58" w:rsidRDefault="00271E58" w:rsidP="00271E5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71E58" w:rsidRDefault="00271E58" w:rsidP="00271E5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271E58" w:rsidRDefault="00271E58" w:rsidP="00271E58">
      <w:pPr>
        <w:jc w:val="center"/>
        <w:rPr>
          <w:sz w:val="28"/>
          <w:szCs w:val="28"/>
        </w:rPr>
      </w:pPr>
    </w:p>
    <w:p w:rsidR="00271E58" w:rsidRPr="00D67383" w:rsidRDefault="00271E58" w:rsidP="00271E58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271E58" w:rsidRPr="00A14D71" w:rsidRDefault="00271E58" w:rsidP="00271E58">
      <w:pPr>
        <w:jc w:val="center"/>
        <w:rPr>
          <w:sz w:val="28"/>
          <w:szCs w:val="28"/>
        </w:rPr>
      </w:pPr>
    </w:p>
    <w:p w:rsidR="00271E58" w:rsidRPr="002027B5" w:rsidRDefault="00271E58" w:rsidP="00271E58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E166C4" w:rsidRDefault="00E166C4" w:rsidP="00271E58">
      <w:pPr>
        <w:jc w:val="both"/>
        <w:rPr>
          <w:sz w:val="28"/>
          <w:szCs w:val="28"/>
        </w:rPr>
      </w:pPr>
    </w:p>
    <w:p w:rsidR="001D08F9" w:rsidRPr="001D08F9" w:rsidRDefault="001D08F9" w:rsidP="001D08F9">
      <w:pPr>
        <w:jc w:val="both"/>
        <w:rPr>
          <w:sz w:val="28"/>
          <w:szCs w:val="28"/>
        </w:rPr>
      </w:pPr>
      <w:r w:rsidRPr="001D08F9">
        <w:rPr>
          <w:sz w:val="28"/>
          <w:szCs w:val="28"/>
        </w:rPr>
        <w:t xml:space="preserve">Об установлении предельных </w:t>
      </w:r>
    </w:p>
    <w:p w:rsidR="001D08F9" w:rsidRPr="001D08F9" w:rsidRDefault="001D08F9" w:rsidP="001D08F9">
      <w:pPr>
        <w:jc w:val="both"/>
        <w:rPr>
          <w:sz w:val="28"/>
          <w:szCs w:val="28"/>
        </w:rPr>
      </w:pPr>
      <w:r w:rsidRPr="001D08F9">
        <w:rPr>
          <w:sz w:val="28"/>
          <w:szCs w:val="28"/>
        </w:rPr>
        <w:t xml:space="preserve">максимальных тарифов на платные </w:t>
      </w:r>
    </w:p>
    <w:p w:rsidR="001D08F9" w:rsidRPr="001D08F9" w:rsidRDefault="001D08F9" w:rsidP="001D08F9">
      <w:pPr>
        <w:jc w:val="both"/>
        <w:rPr>
          <w:sz w:val="28"/>
          <w:szCs w:val="28"/>
        </w:rPr>
      </w:pPr>
      <w:r w:rsidRPr="001D08F9">
        <w:rPr>
          <w:sz w:val="28"/>
          <w:szCs w:val="28"/>
        </w:rPr>
        <w:t xml:space="preserve">услуги, не относящиеся к основным </w:t>
      </w:r>
    </w:p>
    <w:p w:rsidR="001D08F9" w:rsidRPr="001D08F9" w:rsidRDefault="001D08F9" w:rsidP="001D08F9">
      <w:pPr>
        <w:jc w:val="both"/>
        <w:rPr>
          <w:sz w:val="28"/>
          <w:szCs w:val="28"/>
        </w:rPr>
      </w:pPr>
      <w:r w:rsidRPr="001D08F9">
        <w:rPr>
          <w:sz w:val="28"/>
          <w:szCs w:val="28"/>
        </w:rPr>
        <w:t xml:space="preserve">видам деятельности, оказываемые </w:t>
      </w:r>
    </w:p>
    <w:p w:rsidR="001D08F9" w:rsidRPr="001D08F9" w:rsidRDefault="001D08F9" w:rsidP="001D08F9">
      <w:pPr>
        <w:jc w:val="both"/>
        <w:rPr>
          <w:sz w:val="28"/>
          <w:szCs w:val="28"/>
        </w:rPr>
      </w:pPr>
      <w:r w:rsidRPr="001D08F9">
        <w:rPr>
          <w:sz w:val="28"/>
          <w:szCs w:val="28"/>
        </w:rPr>
        <w:t xml:space="preserve">муниципальным бюджетным </w:t>
      </w:r>
    </w:p>
    <w:p w:rsidR="001D08F9" w:rsidRPr="001D08F9" w:rsidRDefault="001D08F9" w:rsidP="001D08F9">
      <w:pPr>
        <w:jc w:val="both"/>
        <w:rPr>
          <w:sz w:val="28"/>
          <w:szCs w:val="28"/>
        </w:rPr>
      </w:pPr>
      <w:r w:rsidRPr="001D08F9">
        <w:rPr>
          <w:sz w:val="28"/>
          <w:szCs w:val="28"/>
        </w:rPr>
        <w:t>учреждением спортивной подготовки</w:t>
      </w:r>
    </w:p>
    <w:p w:rsidR="001D08F9" w:rsidRPr="001D08F9" w:rsidRDefault="001D08F9" w:rsidP="001D08F9">
      <w:pPr>
        <w:jc w:val="both"/>
        <w:rPr>
          <w:sz w:val="28"/>
          <w:szCs w:val="28"/>
        </w:rPr>
      </w:pPr>
      <w:r w:rsidRPr="001D08F9">
        <w:rPr>
          <w:sz w:val="28"/>
          <w:szCs w:val="28"/>
        </w:rPr>
        <w:t xml:space="preserve">спортивной школой олимпийского </w:t>
      </w:r>
    </w:p>
    <w:p w:rsidR="001D08F9" w:rsidRPr="001D08F9" w:rsidRDefault="001D08F9" w:rsidP="001D08F9">
      <w:pPr>
        <w:jc w:val="both"/>
        <w:rPr>
          <w:sz w:val="28"/>
          <w:szCs w:val="28"/>
        </w:rPr>
      </w:pPr>
      <w:r w:rsidRPr="001D08F9">
        <w:rPr>
          <w:sz w:val="28"/>
          <w:szCs w:val="28"/>
        </w:rPr>
        <w:t>резерва «Ермак»</w:t>
      </w:r>
    </w:p>
    <w:p w:rsidR="001D08F9" w:rsidRPr="001D08F9" w:rsidRDefault="001D08F9" w:rsidP="001D08F9">
      <w:pPr>
        <w:jc w:val="both"/>
        <w:rPr>
          <w:sz w:val="28"/>
          <w:szCs w:val="28"/>
        </w:rPr>
      </w:pPr>
    </w:p>
    <w:p w:rsidR="001D08F9" w:rsidRPr="001D08F9" w:rsidRDefault="001D08F9" w:rsidP="001D08F9">
      <w:pPr>
        <w:ind w:firstLine="540"/>
        <w:jc w:val="both"/>
        <w:rPr>
          <w:sz w:val="28"/>
          <w:szCs w:val="28"/>
        </w:rPr>
      </w:pPr>
    </w:p>
    <w:p w:rsidR="001D08F9" w:rsidRPr="001D08F9" w:rsidRDefault="001D08F9" w:rsidP="001D08F9">
      <w:pPr>
        <w:ind w:firstLine="540"/>
        <w:jc w:val="both"/>
        <w:rPr>
          <w:sz w:val="28"/>
          <w:szCs w:val="28"/>
        </w:rPr>
      </w:pPr>
      <w:r w:rsidRPr="001D08F9">
        <w:rPr>
          <w:sz w:val="28"/>
          <w:szCs w:val="28"/>
        </w:rPr>
        <w:t xml:space="preserve">В  соответствии с п.4 ч.1 ст.17 Федерального закона от  06.10.2003     №131-ФЗ «Об общих принципах организации местного самоуправления в Российской Федерации», пп.22 п.1 ст.38 Устава муниципального образования городской  округ город Сургут, решением городской Думы </w:t>
      </w:r>
      <w:r w:rsidRPr="001D08F9">
        <w:rPr>
          <w:sz w:val="28"/>
          <w:szCs w:val="28"/>
        </w:rPr>
        <w:br/>
        <w:t>от 28.02.2006 № 575-</w:t>
      </w:r>
      <w:r w:rsidRPr="001D08F9">
        <w:rPr>
          <w:sz w:val="28"/>
          <w:szCs w:val="28"/>
          <w:lang w:val="en-US"/>
        </w:rPr>
        <w:t>III</w:t>
      </w:r>
      <w:r w:rsidRPr="001D08F9">
        <w:rPr>
          <w:sz w:val="28"/>
          <w:szCs w:val="28"/>
        </w:rPr>
        <w:t xml:space="preserve"> ГД «Об утверждении Положения о порядке установления тарифов на услуги (работы), предоставляемые (выполняемые) муниципальными предприятиями и учреждениями на территории города», </w:t>
      </w:r>
      <w:r w:rsidR="0010545D" w:rsidRPr="00960C2E">
        <w:rPr>
          <w:sz w:val="28"/>
          <w:szCs w:val="28"/>
        </w:rPr>
        <w:t>постановлени</w:t>
      </w:r>
      <w:r w:rsidR="00960C2E" w:rsidRPr="00960C2E">
        <w:rPr>
          <w:sz w:val="28"/>
          <w:szCs w:val="28"/>
        </w:rPr>
        <w:t>ями</w:t>
      </w:r>
      <w:r w:rsidR="0010545D" w:rsidRPr="00960C2E">
        <w:rPr>
          <w:sz w:val="28"/>
          <w:szCs w:val="28"/>
        </w:rPr>
        <w:t xml:space="preserve"> Администрации города от 12.02.2015 </w:t>
      </w:r>
      <w:r w:rsidR="00960C2E" w:rsidRPr="00960C2E">
        <w:rPr>
          <w:sz w:val="28"/>
          <w:szCs w:val="28"/>
        </w:rPr>
        <w:t xml:space="preserve">№ 912 </w:t>
      </w:r>
      <w:r w:rsidR="0010545D" w:rsidRPr="00960C2E">
        <w:rPr>
          <w:sz w:val="28"/>
          <w:szCs w:val="28"/>
        </w:rPr>
        <w:t>«Об утверждении положения о платных услугах (работах) муниципальных организаций»</w:t>
      </w:r>
      <w:r w:rsidR="00B8491C" w:rsidRPr="00960C2E">
        <w:rPr>
          <w:sz w:val="28"/>
          <w:szCs w:val="28"/>
        </w:rPr>
        <w:t>,</w:t>
      </w:r>
      <w:r w:rsidR="0010545D" w:rsidRPr="00960C2E">
        <w:rPr>
          <w:sz w:val="28"/>
          <w:szCs w:val="28"/>
        </w:rPr>
        <w:t xml:space="preserve"> </w:t>
      </w:r>
      <w:r w:rsidR="00960C2E" w:rsidRPr="00960C2E">
        <w:rPr>
          <w:sz w:val="28"/>
          <w:szCs w:val="28"/>
        </w:rPr>
        <w:t xml:space="preserve">от 09.02.2015 № 792 «Об утверждении порядка формирования тарифов на платные услуги (работах) муниципальных организаций», </w:t>
      </w:r>
      <w:r w:rsidRPr="001D08F9">
        <w:rPr>
          <w:sz w:val="28"/>
          <w:szCs w:val="28"/>
        </w:rPr>
        <w:t xml:space="preserve">распоряжением Администрации города от 30.12.2005 № 3686 </w:t>
      </w:r>
      <w:r w:rsidRPr="001D08F9">
        <w:rPr>
          <w:sz w:val="28"/>
          <w:szCs w:val="28"/>
        </w:rPr>
        <w:br/>
        <w:t>«Об утверждении Регламента Администрации города»:</w:t>
      </w:r>
    </w:p>
    <w:p w:rsidR="001D08F9" w:rsidRPr="001D08F9" w:rsidRDefault="001D08F9" w:rsidP="001D08F9">
      <w:pPr>
        <w:ind w:firstLine="540"/>
        <w:jc w:val="both"/>
        <w:rPr>
          <w:sz w:val="28"/>
          <w:szCs w:val="28"/>
        </w:rPr>
      </w:pPr>
      <w:r w:rsidRPr="001D08F9">
        <w:rPr>
          <w:sz w:val="28"/>
          <w:szCs w:val="28"/>
        </w:rPr>
        <w:t xml:space="preserve">1. Установить предельные максимальные тарифы на платные услуги, не относящиеся к основным видам деятельности, оказываемые муниципальным бюджетным учреждением спортивной подготовки спортивной школой олимпийского резерва «Ермак», зафиксированные в прейскуранте </w:t>
      </w:r>
      <w:r w:rsidR="00737A79">
        <w:rPr>
          <w:sz w:val="28"/>
          <w:szCs w:val="28"/>
        </w:rPr>
        <w:t xml:space="preserve">                 </w:t>
      </w:r>
      <w:r w:rsidRPr="001D08F9">
        <w:rPr>
          <w:sz w:val="28"/>
          <w:szCs w:val="28"/>
        </w:rPr>
        <w:t>№ 10-3</w:t>
      </w:r>
      <w:r w:rsidR="004C32ED">
        <w:rPr>
          <w:sz w:val="28"/>
          <w:szCs w:val="28"/>
        </w:rPr>
        <w:t>3-03</w:t>
      </w:r>
      <w:r w:rsidRPr="001D08F9">
        <w:rPr>
          <w:sz w:val="28"/>
          <w:szCs w:val="28"/>
        </w:rPr>
        <w:t>/</w:t>
      </w:r>
      <w:r w:rsidR="004C32ED">
        <w:rPr>
          <w:sz w:val="28"/>
          <w:szCs w:val="28"/>
        </w:rPr>
        <w:t xml:space="preserve">3 </w:t>
      </w:r>
      <w:r w:rsidRPr="001D08F9">
        <w:rPr>
          <w:sz w:val="28"/>
          <w:szCs w:val="28"/>
        </w:rPr>
        <w:t>согласно приложени</w:t>
      </w:r>
      <w:r w:rsidR="004C32ED">
        <w:rPr>
          <w:sz w:val="28"/>
          <w:szCs w:val="28"/>
        </w:rPr>
        <w:t>ю</w:t>
      </w:r>
      <w:r w:rsidRPr="001D08F9">
        <w:rPr>
          <w:sz w:val="28"/>
          <w:szCs w:val="28"/>
        </w:rPr>
        <w:t>.</w:t>
      </w:r>
    </w:p>
    <w:p w:rsidR="001D08F9" w:rsidRPr="001D08F9" w:rsidRDefault="001D08F9" w:rsidP="001D08F9">
      <w:pPr>
        <w:ind w:firstLine="540"/>
        <w:jc w:val="both"/>
        <w:rPr>
          <w:sz w:val="28"/>
          <w:szCs w:val="28"/>
        </w:rPr>
      </w:pPr>
      <w:r w:rsidRPr="001D08F9">
        <w:rPr>
          <w:sz w:val="28"/>
          <w:szCs w:val="28"/>
        </w:rPr>
        <w:t>2. Муниципальному бюджетному учреждению спортивной подготовки спортивной школе олимпийского резерва «</w:t>
      </w:r>
      <w:r w:rsidR="004C32ED">
        <w:rPr>
          <w:sz w:val="28"/>
          <w:szCs w:val="28"/>
        </w:rPr>
        <w:t>Ермак</w:t>
      </w:r>
      <w:r w:rsidRPr="001D08F9">
        <w:rPr>
          <w:sz w:val="28"/>
          <w:szCs w:val="28"/>
        </w:rPr>
        <w:t>» издать приказ об утверждении фиксированных тарифов на платные услуги, размер которых не должен превышать предельные максимальные тарифы на платные услуги, установленные пунктом 1 настоящего постановления.</w:t>
      </w:r>
    </w:p>
    <w:p w:rsidR="00D569B4" w:rsidRDefault="001D08F9" w:rsidP="001D08F9">
      <w:pPr>
        <w:ind w:firstLine="540"/>
        <w:jc w:val="both"/>
        <w:rPr>
          <w:sz w:val="28"/>
          <w:szCs w:val="28"/>
        </w:rPr>
      </w:pPr>
      <w:r w:rsidRPr="001D08F9">
        <w:rPr>
          <w:sz w:val="28"/>
          <w:szCs w:val="28"/>
        </w:rPr>
        <w:t>3. Признать утратившим силу</w:t>
      </w:r>
      <w:r w:rsidR="00D569B4">
        <w:rPr>
          <w:sz w:val="28"/>
          <w:szCs w:val="28"/>
        </w:rPr>
        <w:t>:</w:t>
      </w:r>
    </w:p>
    <w:p w:rsidR="001D08F9" w:rsidRDefault="00D569B4" w:rsidP="001D08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D08F9" w:rsidRPr="001D08F9">
        <w:rPr>
          <w:sz w:val="28"/>
          <w:szCs w:val="28"/>
        </w:rPr>
        <w:t xml:space="preserve"> постановление Администрации города</w:t>
      </w:r>
      <w:r w:rsidR="004C32ED">
        <w:rPr>
          <w:sz w:val="28"/>
          <w:szCs w:val="28"/>
        </w:rPr>
        <w:t xml:space="preserve"> </w:t>
      </w:r>
      <w:r w:rsidR="001D08F9" w:rsidRPr="001D08F9">
        <w:rPr>
          <w:sz w:val="28"/>
          <w:szCs w:val="28"/>
        </w:rPr>
        <w:t xml:space="preserve">от </w:t>
      </w:r>
      <w:r w:rsidR="004C32ED">
        <w:rPr>
          <w:sz w:val="28"/>
          <w:szCs w:val="28"/>
        </w:rPr>
        <w:t>25.04.2016 № 3115</w:t>
      </w:r>
      <w:r w:rsidR="001D08F9" w:rsidRPr="001D08F9">
        <w:rPr>
          <w:sz w:val="28"/>
          <w:szCs w:val="28"/>
        </w:rPr>
        <w:t xml:space="preserve"> «Об установлении тарифов на платные услуги, не относящиеся к основным видам деятельности, оказываемые муниципальным бюджетным учреждением дополнительного образования специализированной детско-юношеской спортивной школой олимпийского резерва «</w:t>
      </w:r>
      <w:r w:rsidR="004C32ED">
        <w:rPr>
          <w:sz w:val="28"/>
          <w:szCs w:val="28"/>
        </w:rPr>
        <w:t>Ермак</w:t>
      </w:r>
      <w:r>
        <w:rPr>
          <w:sz w:val="28"/>
          <w:szCs w:val="28"/>
        </w:rPr>
        <w:t>»;</w:t>
      </w:r>
    </w:p>
    <w:p w:rsidR="00D569B4" w:rsidRPr="001D08F9" w:rsidRDefault="00D569B4" w:rsidP="001D08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пункты 2, 2.1, 2.2, 2.3, 2.4 постановления Администрации города от 25.12.2018 № 10164 «О внесении изменений в некоторые постановления Администрации города».</w:t>
      </w:r>
    </w:p>
    <w:p w:rsidR="0022246D" w:rsidRDefault="001D08F9" w:rsidP="001D08F9">
      <w:pPr>
        <w:ind w:firstLine="540"/>
        <w:jc w:val="both"/>
        <w:rPr>
          <w:sz w:val="28"/>
          <w:szCs w:val="28"/>
        </w:rPr>
      </w:pPr>
      <w:r w:rsidRPr="001D08F9">
        <w:rPr>
          <w:sz w:val="28"/>
          <w:szCs w:val="28"/>
        </w:rPr>
        <w:t>4. </w:t>
      </w:r>
      <w:r w:rsidR="0022246D" w:rsidRPr="00FC3961">
        <w:rPr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D417FC" w:rsidRDefault="0022246D" w:rsidP="001D08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3961">
        <w:rPr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</w:t>
      </w:r>
      <w:r>
        <w:rPr>
          <w:sz w:val="28"/>
          <w:szCs w:val="28"/>
        </w:rPr>
        <w:t>.</w:t>
      </w:r>
    </w:p>
    <w:p w:rsidR="0022246D" w:rsidRPr="00737A79" w:rsidRDefault="0022246D" w:rsidP="001D08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37A79">
        <w:rPr>
          <w:sz w:val="28"/>
          <w:szCs w:val="28"/>
        </w:rPr>
        <w:t xml:space="preserve">Настоящее постановление вступает в силу </w:t>
      </w:r>
      <w:r w:rsidR="00737A79" w:rsidRPr="00737A79">
        <w:rPr>
          <w:sz w:val="28"/>
          <w:szCs w:val="28"/>
        </w:rPr>
        <w:t>по истечении пяти дней с момента</w:t>
      </w:r>
      <w:r w:rsidRPr="00737A79">
        <w:rPr>
          <w:sz w:val="28"/>
          <w:szCs w:val="28"/>
        </w:rPr>
        <w:t xml:space="preserve"> официального опубликования.</w:t>
      </w:r>
    </w:p>
    <w:p w:rsidR="0022246D" w:rsidRPr="0022246D" w:rsidRDefault="0022246D" w:rsidP="001D08F9">
      <w:pPr>
        <w:ind w:firstLine="540"/>
        <w:jc w:val="both"/>
        <w:rPr>
          <w:color w:val="FF0000"/>
          <w:sz w:val="28"/>
          <w:szCs w:val="28"/>
        </w:rPr>
      </w:pPr>
      <w:r w:rsidRPr="0022246D">
        <w:rPr>
          <w:sz w:val="28"/>
          <w:szCs w:val="28"/>
        </w:rPr>
        <w:t xml:space="preserve">7. </w:t>
      </w:r>
      <w:r w:rsidRPr="00FC3961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417FC" w:rsidRDefault="00D417FC" w:rsidP="001D08F9">
      <w:pPr>
        <w:ind w:firstLine="540"/>
        <w:jc w:val="both"/>
        <w:rPr>
          <w:sz w:val="28"/>
          <w:szCs w:val="28"/>
        </w:rPr>
      </w:pPr>
    </w:p>
    <w:p w:rsidR="00E166C4" w:rsidRPr="00E166C4" w:rsidRDefault="00E166C4" w:rsidP="00E166C4">
      <w:pPr>
        <w:jc w:val="both"/>
        <w:rPr>
          <w:sz w:val="28"/>
          <w:szCs w:val="28"/>
        </w:rPr>
      </w:pPr>
    </w:p>
    <w:p w:rsidR="00E166C4" w:rsidRDefault="00E166C4" w:rsidP="00E166C4">
      <w:pPr>
        <w:jc w:val="both"/>
        <w:rPr>
          <w:sz w:val="28"/>
          <w:szCs w:val="28"/>
        </w:rPr>
      </w:pPr>
      <w:r w:rsidRPr="00E166C4">
        <w:rPr>
          <w:sz w:val="28"/>
          <w:szCs w:val="28"/>
        </w:rPr>
        <w:t>Глава города</w:t>
      </w:r>
      <w:r w:rsidRPr="00E166C4">
        <w:rPr>
          <w:sz w:val="28"/>
          <w:szCs w:val="28"/>
        </w:rPr>
        <w:tab/>
      </w:r>
      <w:r w:rsidRPr="00E166C4">
        <w:rPr>
          <w:sz w:val="28"/>
          <w:szCs w:val="28"/>
        </w:rPr>
        <w:tab/>
      </w:r>
      <w:r w:rsidRPr="00E166C4">
        <w:rPr>
          <w:sz w:val="28"/>
          <w:szCs w:val="28"/>
        </w:rPr>
        <w:tab/>
      </w:r>
      <w:r w:rsidRPr="00E166C4">
        <w:rPr>
          <w:sz w:val="28"/>
          <w:szCs w:val="28"/>
        </w:rPr>
        <w:tab/>
      </w:r>
      <w:r w:rsidRPr="00E166C4">
        <w:rPr>
          <w:sz w:val="28"/>
          <w:szCs w:val="28"/>
        </w:rPr>
        <w:tab/>
      </w:r>
      <w:r w:rsidRPr="00E166C4">
        <w:rPr>
          <w:sz w:val="28"/>
          <w:szCs w:val="28"/>
        </w:rPr>
        <w:tab/>
      </w:r>
      <w:r w:rsidRPr="00E166C4">
        <w:rPr>
          <w:sz w:val="28"/>
          <w:szCs w:val="28"/>
        </w:rPr>
        <w:tab/>
      </w:r>
      <w:r w:rsidRPr="00E166C4">
        <w:rPr>
          <w:sz w:val="28"/>
          <w:szCs w:val="28"/>
        </w:rPr>
        <w:tab/>
      </w:r>
      <w:r w:rsidRPr="00E166C4">
        <w:rPr>
          <w:sz w:val="28"/>
          <w:szCs w:val="28"/>
        </w:rPr>
        <w:tab/>
        <w:t xml:space="preserve"> </w:t>
      </w:r>
      <w:r w:rsidR="0022246D">
        <w:rPr>
          <w:sz w:val="28"/>
          <w:szCs w:val="28"/>
        </w:rPr>
        <w:t xml:space="preserve">                                                            </w:t>
      </w:r>
      <w:r w:rsidRPr="00E166C4">
        <w:rPr>
          <w:sz w:val="28"/>
          <w:szCs w:val="28"/>
        </w:rPr>
        <w:t xml:space="preserve"> В.Н. Шувалов</w:t>
      </w: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Default="00960C2E" w:rsidP="00E166C4">
      <w:pPr>
        <w:jc w:val="both"/>
        <w:rPr>
          <w:sz w:val="28"/>
          <w:szCs w:val="28"/>
        </w:rPr>
      </w:pPr>
    </w:p>
    <w:p w:rsidR="00960C2E" w:rsidRPr="00E166C4" w:rsidRDefault="00960C2E" w:rsidP="00E166C4">
      <w:pPr>
        <w:jc w:val="both"/>
        <w:rPr>
          <w:sz w:val="28"/>
          <w:szCs w:val="28"/>
        </w:rPr>
      </w:pPr>
    </w:p>
    <w:p w:rsidR="0022246D" w:rsidRDefault="0022246D" w:rsidP="0022246D">
      <w:pPr>
        <w:jc w:val="both"/>
        <w:rPr>
          <w:sz w:val="28"/>
          <w:szCs w:val="28"/>
        </w:rPr>
      </w:pPr>
    </w:p>
    <w:p w:rsidR="00E166C4" w:rsidRPr="00E166C4" w:rsidRDefault="00E166C4" w:rsidP="00E166C4">
      <w:pPr>
        <w:ind w:left="6372"/>
        <w:rPr>
          <w:bCs/>
          <w:sz w:val="28"/>
          <w:szCs w:val="28"/>
        </w:rPr>
      </w:pPr>
      <w:r w:rsidRPr="00E166C4">
        <w:rPr>
          <w:bCs/>
          <w:sz w:val="28"/>
          <w:szCs w:val="28"/>
        </w:rPr>
        <w:lastRenderedPageBreak/>
        <w:t xml:space="preserve">Приложение </w:t>
      </w:r>
    </w:p>
    <w:p w:rsidR="00E166C4" w:rsidRPr="00E166C4" w:rsidRDefault="00E166C4" w:rsidP="00E166C4">
      <w:pPr>
        <w:ind w:left="6372"/>
        <w:rPr>
          <w:bCs/>
          <w:sz w:val="28"/>
          <w:szCs w:val="28"/>
        </w:rPr>
      </w:pPr>
      <w:r w:rsidRPr="00E166C4">
        <w:rPr>
          <w:bCs/>
          <w:sz w:val="28"/>
          <w:szCs w:val="28"/>
        </w:rPr>
        <w:t>к постановлению</w:t>
      </w:r>
    </w:p>
    <w:p w:rsidR="00E166C4" w:rsidRPr="00E166C4" w:rsidRDefault="00E166C4" w:rsidP="00E166C4">
      <w:pPr>
        <w:ind w:left="6372"/>
        <w:rPr>
          <w:bCs/>
          <w:sz w:val="28"/>
          <w:szCs w:val="28"/>
        </w:rPr>
      </w:pPr>
      <w:r w:rsidRPr="00E166C4">
        <w:rPr>
          <w:bCs/>
          <w:sz w:val="28"/>
          <w:szCs w:val="28"/>
        </w:rPr>
        <w:t>Администрации города</w:t>
      </w:r>
    </w:p>
    <w:p w:rsidR="00E166C4" w:rsidRPr="00E166C4" w:rsidRDefault="00E166C4" w:rsidP="00E166C4">
      <w:pPr>
        <w:ind w:left="6372"/>
        <w:rPr>
          <w:bCs/>
          <w:sz w:val="28"/>
          <w:szCs w:val="28"/>
        </w:rPr>
      </w:pPr>
      <w:r w:rsidRPr="00E166C4">
        <w:rPr>
          <w:bCs/>
          <w:sz w:val="28"/>
          <w:szCs w:val="28"/>
        </w:rPr>
        <w:t>от ___________ №____</w:t>
      </w:r>
    </w:p>
    <w:p w:rsidR="00E166C4" w:rsidRPr="00E166C4" w:rsidRDefault="00E166C4" w:rsidP="00E166C4">
      <w:pPr>
        <w:rPr>
          <w:b/>
          <w:bCs/>
        </w:rPr>
      </w:pPr>
    </w:p>
    <w:p w:rsidR="00E166C4" w:rsidRPr="00E166C4" w:rsidRDefault="00E166C4" w:rsidP="00E166C4">
      <w:pPr>
        <w:jc w:val="center"/>
        <w:rPr>
          <w:b/>
          <w:bCs/>
        </w:rPr>
      </w:pPr>
    </w:p>
    <w:p w:rsidR="00E166C4" w:rsidRPr="00E166C4" w:rsidRDefault="00E166C4" w:rsidP="00E166C4">
      <w:pPr>
        <w:jc w:val="center"/>
        <w:rPr>
          <w:bCs/>
          <w:sz w:val="28"/>
          <w:szCs w:val="28"/>
        </w:rPr>
      </w:pPr>
      <w:r w:rsidRPr="00E166C4">
        <w:rPr>
          <w:bCs/>
          <w:sz w:val="28"/>
          <w:szCs w:val="28"/>
        </w:rPr>
        <w:t>Прейскурант № 10-3</w:t>
      </w:r>
      <w:r w:rsidR="004E7561">
        <w:rPr>
          <w:bCs/>
          <w:sz w:val="28"/>
          <w:szCs w:val="28"/>
        </w:rPr>
        <w:t>3-03/3</w:t>
      </w:r>
    </w:p>
    <w:p w:rsidR="00E166C4" w:rsidRPr="00E166C4" w:rsidRDefault="00E166C4" w:rsidP="00E166C4">
      <w:pPr>
        <w:ind w:firstLine="540"/>
        <w:jc w:val="center"/>
        <w:rPr>
          <w:bCs/>
          <w:sz w:val="28"/>
          <w:szCs w:val="28"/>
        </w:rPr>
      </w:pPr>
      <w:r w:rsidRPr="00E166C4">
        <w:rPr>
          <w:bCs/>
          <w:sz w:val="28"/>
          <w:szCs w:val="28"/>
        </w:rPr>
        <w:t>Предельные максимальные тарифы на платные услуги,</w:t>
      </w:r>
    </w:p>
    <w:p w:rsidR="00E166C4" w:rsidRPr="00E166C4" w:rsidRDefault="00E166C4" w:rsidP="00E166C4">
      <w:pPr>
        <w:ind w:firstLine="540"/>
        <w:jc w:val="center"/>
        <w:rPr>
          <w:sz w:val="28"/>
          <w:szCs w:val="28"/>
        </w:rPr>
      </w:pPr>
      <w:r w:rsidRPr="00E166C4">
        <w:rPr>
          <w:sz w:val="28"/>
          <w:szCs w:val="28"/>
        </w:rPr>
        <w:t xml:space="preserve">не относящиеся к основным видам деятельности, оказываемые муниципальным бюджетным учреждением спортивной подготовки </w:t>
      </w:r>
    </w:p>
    <w:p w:rsidR="00E166C4" w:rsidRPr="00E166C4" w:rsidRDefault="00E166C4" w:rsidP="00E166C4">
      <w:pPr>
        <w:ind w:firstLine="540"/>
        <w:jc w:val="center"/>
        <w:rPr>
          <w:sz w:val="28"/>
          <w:szCs w:val="28"/>
        </w:rPr>
      </w:pPr>
      <w:r w:rsidRPr="00E166C4">
        <w:rPr>
          <w:sz w:val="28"/>
          <w:szCs w:val="28"/>
        </w:rPr>
        <w:t>спортивной школой олимпийского резерва «</w:t>
      </w:r>
      <w:r w:rsidR="004E7561">
        <w:rPr>
          <w:sz w:val="28"/>
          <w:szCs w:val="28"/>
        </w:rPr>
        <w:t>Ермак</w:t>
      </w:r>
      <w:r w:rsidRPr="00E166C4">
        <w:rPr>
          <w:sz w:val="28"/>
          <w:szCs w:val="28"/>
        </w:rPr>
        <w:t>»</w:t>
      </w:r>
    </w:p>
    <w:p w:rsidR="004E7561" w:rsidRPr="004E7561" w:rsidRDefault="004E7561" w:rsidP="004E7561">
      <w:pPr>
        <w:ind w:firstLine="284"/>
        <w:jc w:val="center"/>
        <w:rPr>
          <w:color w:val="000000"/>
          <w:spacing w:val="-1"/>
          <w:sz w:val="28"/>
          <w:szCs w:val="28"/>
        </w:rPr>
      </w:pPr>
    </w:p>
    <w:p w:rsidR="004E7561" w:rsidRPr="004E7561" w:rsidRDefault="004E7561" w:rsidP="004E7561">
      <w:pPr>
        <w:shd w:val="clear" w:color="auto" w:fill="FFFFFF"/>
        <w:jc w:val="center"/>
        <w:rPr>
          <w:color w:val="000000"/>
          <w:spacing w:val="-1"/>
          <w:sz w:val="16"/>
          <w:szCs w:val="16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1"/>
        <w:gridCol w:w="3260"/>
        <w:gridCol w:w="1418"/>
        <w:gridCol w:w="1417"/>
      </w:tblGrid>
      <w:tr w:rsidR="004E7561" w:rsidRPr="004E7561" w:rsidTr="00382CAB">
        <w:trPr>
          <w:trHeight w:hRule="exact" w:val="143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spacing w:line="324" w:lineRule="exact"/>
              <w:ind w:left="223" w:right="115" w:firstLine="108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ind w:left="151"/>
              <w:jc w:val="center"/>
            </w:pPr>
            <w:r w:rsidRPr="004E7561">
              <w:rPr>
                <w:color w:val="000000"/>
                <w:spacing w:val="1"/>
                <w:sz w:val="28"/>
                <w:szCs w:val="28"/>
              </w:rPr>
              <w:t xml:space="preserve">Единица </w:t>
            </w:r>
            <w:r w:rsidRPr="004E7561">
              <w:rPr>
                <w:color w:val="000000"/>
                <w:spacing w:val="-3"/>
                <w:sz w:val="28"/>
                <w:szCs w:val="28"/>
              </w:rPr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spacing w:line="324" w:lineRule="exact"/>
              <w:ind w:right="151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4E7561">
              <w:rPr>
                <w:color w:val="000000"/>
                <w:spacing w:val="-5"/>
                <w:sz w:val="28"/>
                <w:szCs w:val="28"/>
              </w:rPr>
              <w:t xml:space="preserve">Тариф без      </w:t>
            </w:r>
            <w:r w:rsidRPr="004E7561">
              <w:rPr>
                <w:color w:val="000000"/>
                <w:spacing w:val="-8"/>
                <w:sz w:val="28"/>
                <w:szCs w:val="28"/>
              </w:rPr>
              <w:t>НДС,</w:t>
            </w:r>
            <w:r w:rsidRPr="004E7561">
              <w:rPr>
                <w:color w:val="000000"/>
                <w:spacing w:val="-5"/>
                <w:sz w:val="28"/>
                <w:szCs w:val="28"/>
              </w:rPr>
              <w:t xml:space="preserve">                       руб. 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Default="004E7561" w:rsidP="004E7561">
            <w:pPr>
              <w:shd w:val="clear" w:color="auto" w:fill="FFFFFF"/>
              <w:spacing w:line="324" w:lineRule="exact"/>
              <w:ind w:left="151" w:right="151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4E7561">
              <w:rPr>
                <w:color w:val="000000"/>
                <w:spacing w:val="-5"/>
                <w:sz w:val="28"/>
                <w:szCs w:val="28"/>
              </w:rPr>
              <w:t xml:space="preserve">Тариф с       </w:t>
            </w:r>
            <w:r w:rsidRPr="004E7561">
              <w:rPr>
                <w:color w:val="000000"/>
                <w:spacing w:val="-8"/>
                <w:sz w:val="28"/>
                <w:szCs w:val="28"/>
              </w:rPr>
              <w:t>НДС,</w:t>
            </w:r>
            <w:r w:rsidRPr="004E7561">
              <w:rPr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4E7561" w:rsidRPr="004E7561" w:rsidRDefault="004E7561" w:rsidP="004E7561">
            <w:pPr>
              <w:shd w:val="clear" w:color="auto" w:fill="FFFFFF"/>
              <w:spacing w:line="324" w:lineRule="exact"/>
              <w:ind w:left="151" w:right="151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4E7561">
              <w:rPr>
                <w:color w:val="000000"/>
                <w:spacing w:val="-5"/>
                <w:sz w:val="28"/>
                <w:szCs w:val="28"/>
              </w:rPr>
              <w:t>руб. **</w:t>
            </w:r>
          </w:p>
        </w:tc>
      </w:tr>
      <w:tr w:rsidR="004E7561" w:rsidRPr="004E7561" w:rsidTr="004E7561">
        <w:trPr>
          <w:trHeight w:hRule="exact" w:val="670"/>
        </w:trPr>
        <w:tc>
          <w:tcPr>
            <w:tcW w:w="91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7B7AA3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102"/>
              </w:tabs>
              <w:ind w:left="194" w:firstLine="0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Тарифы на платные услуги в спортивно – оздоровительном                          комплексе «Энергетик»</w:t>
            </w:r>
          </w:p>
        </w:tc>
      </w:tr>
      <w:tr w:rsidR="004E7561" w:rsidRPr="004E7561" w:rsidTr="00382CAB">
        <w:trPr>
          <w:trHeight w:hRule="exact" w:val="714"/>
        </w:trPr>
        <w:tc>
          <w:tcPr>
            <w:tcW w:w="3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7B7AA3">
            <w:pPr>
              <w:pStyle w:val="a3"/>
              <w:numPr>
                <w:ilvl w:val="1"/>
                <w:numId w:val="7"/>
              </w:numPr>
              <w:shd w:val="clear" w:color="auto" w:fill="FFFFFF"/>
              <w:tabs>
                <w:tab w:val="left" w:pos="194"/>
              </w:tabs>
              <w:spacing w:line="317" w:lineRule="exact"/>
              <w:ind w:left="194" w:firstLine="0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Предоставление спортивной арены (3 спортивных зала: № 1,            № 2, № 3)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1 посещение, 60 минут, для группы посетителей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382CAB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</w:tr>
      <w:tr w:rsidR="004E7561" w:rsidRPr="004E7561" w:rsidTr="00382CAB">
        <w:trPr>
          <w:trHeight w:hRule="exact" w:val="696"/>
        </w:trPr>
        <w:tc>
          <w:tcPr>
            <w:tcW w:w="3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 xml:space="preserve">1 посещение, 90 минут, для группы посетителей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131ABB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8250</w:t>
            </w:r>
          </w:p>
        </w:tc>
      </w:tr>
      <w:tr w:rsidR="004E7561" w:rsidRPr="004E7561" w:rsidTr="00382CAB">
        <w:trPr>
          <w:trHeight w:hRule="exact" w:val="652"/>
        </w:trPr>
        <w:tc>
          <w:tcPr>
            <w:tcW w:w="3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7B7AA3" w:rsidRDefault="004E7561" w:rsidP="007B7AA3">
            <w:pPr>
              <w:pStyle w:val="a3"/>
              <w:numPr>
                <w:ilvl w:val="1"/>
                <w:numId w:val="7"/>
              </w:numPr>
              <w:shd w:val="clear" w:color="auto" w:fill="FFFFFF"/>
              <w:tabs>
                <w:tab w:val="left" w:pos="102"/>
                <w:tab w:val="left" w:pos="194"/>
                <w:tab w:val="left" w:pos="386"/>
              </w:tabs>
              <w:spacing w:line="317" w:lineRule="exact"/>
              <w:ind w:left="194" w:firstLine="0"/>
              <w:rPr>
                <w:sz w:val="28"/>
                <w:szCs w:val="28"/>
              </w:rPr>
            </w:pPr>
            <w:r w:rsidRPr="007B7AA3">
              <w:rPr>
                <w:sz w:val="28"/>
                <w:szCs w:val="28"/>
              </w:rPr>
              <w:t>Предоставление зала (№ 1, или № 2, или     № 3)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1 посещение, 60 минут, для группы посетителей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131ABB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4E7561" w:rsidRPr="004E7561" w:rsidTr="00382CAB">
        <w:trPr>
          <w:trHeight w:hRule="exact" w:val="793"/>
        </w:trPr>
        <w:tc>
          <w:tcPr>
            <w:tcW w:w="3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tabs>
                <w:tab w:val="left" w:pos="102"/>
                <w:tab w:val="left" w:pos="386"/>
              </w:tabs>
              <w:spacing w:line="317" w:lineRule="exact"/>
              <w:ind w:firstLine="102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 xml:space="preserve">1 посещение, 90 минут, для группы посетителей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131ABB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4E7561" w:rsidRPr="004E7561" w:rsidTr="00382CAB">
        <w:trPr>
          <w:trHeight w:hRule="exact" w:val="723"/>
        </w:trPr>
        <w:tc>
          <w:tcPr>
            <w:tcW w:w="3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7B7AA3" w:rsidRDefault="004E7561" w:rsidP="007B7AA3">
            <w:pPr>
              <w:pStyle w:val="a3"/>
              <w:numPr>
                <w:ilvl w:val="1"/>
                <w:numId w:val="7"/>
              </w:numPr>
              <w:shd w:val="clear" w:color="auto" w:fill="FFFFFF"/>
              <w:tabs>
                <w:tab w:val="left" w:pos="194"/>
              </w:tabs>
              <w:spacing w:line="317" w:lineRule="exact"/>
              <w:ind w:left="194" w:firstLine="0"/>
              <w:rPr>
                <w:sz w:val="28"/>
                <w:szCs w:val="28"/>
              </w:rPr>
            </w:pPr>
            <w:r w:rsidRPr="007B7AA3">
              <w:rPr>
                <w:sz w:val="28"/>
                <w:szCs w:val="28"/>
              </w:rPr>
              <w:t xml:space="preserve">Предоставление залов (за исключением залов № 1, № 2, </w:t>
            </w:r>
            <w:r w:rsidR="00681F53">
              <w:rPr>
                <w:sz w:val="28"/>
                <w:szCs w:val="28"/>
              </w:rPr>
              <w:t xml:space="preserve">         </w:t>
            </w:r>
            <w:r w:rsidR="007B7AA3">
              <w:rPr>
                <w:sz w:val="28"/>
                <w:szCs w:val="28"/>
              </w:rPr>
              <w:t>№</w:t>
            </w:r>
            <w:r w:rsidR="00681F53">
              <w:rPr>
                <w:sz w:val="28"/>
                <w:szCs w:val="28"/>
              </w:rPr>
              <w:t xml:space="preserve"> </w:t>
            </w:r>
            <w:r w:rsidR="007B7AA3">
              <w:rPr>
                <w:sz w:val="28"/>
                <w:szCs w:val="28"/>
              </w:rPr>
              <w:t>3</w:t>
            </w:r>
            <w:r w:rsidRPr="007B7AA3">
              <w:rPr>
                <w:sz w:val="28"/>
                <w:szCs w:val="28"/>
              </w:rPr>
              <w:t>)***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1 посещение, 60 минут, для группы посетителей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131ABB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</w:tr>
      <w:tr w:rsidR="004E7561" w:rsidRPr="004E7561" w:rsidTr="00382CAB">
        <w:trPr>
          <w:trHeight w:hRule="exact" w:val="710"/>
        </w:trPr>
        <w:tc>
          <w:tcPr>
            <w:tcW w:w="3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7B7AA3">
            <w:pPr>
              <w:numPr>
                <w:ilvl w:val="1"/>
                <w:numId w:val="4"/>
              </w:numPr>
              <w:shd w:val="clear" w:color="auto" w:fill="FFFFFF"/>
              <w:tabs>
                <w:tab w:val="left" w:pos="194"/>
                <w:tab w:val="left" w:pos="386"/>
              </w:tabs>
              <w:spacing w:line="317" w:lineRule="exact"/>
              <w:ind w:left="194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 xml:space="preserve">1 посещение, 90 минут, для группы посетителей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131ABB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</w:t>
            </w:r>
          </w:p>
        </w:tc>
      </w:tr>
      <w:tr w:rsidR="004E7561" w:rsidRPr="004E7561" w:rsidTr="00382CAB">
        <w:trPr>
          <w:trHeight w:hRule="exact" w:val="684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7B7AA3" w:rsidRDefault="004E7561" w:rsidP="007B7AA3">
            <w:pPr>
              <w:pStyle w:val="a3"/>
              <w:numPr>
                <w:ilvl w:val="1"/>
                <w:numId w:val="7"/>
              </w:numPr>
              <w:shd w:val="clear" w:color="auto" w:fill="FFFFFF"/>
              <w:tabs>
                <w:tab w:val="left" w:pos="194"/>
                <w:tab w:val="left" w:pos="386"/>
              </w:tabs>
              <w:spacing w:line="317" w:lineRule="exact"/>
              <w:ind w:left="194" w:firstLine="0"/>
              <w:rPr>
                <w:sz w:val="28"/>
                <w:szCs w:val="28"/>
              </w:rPr>
            </w:pPr>
            <w:r w:rsidRPr="007B7AA3">
              <w:rPr>
                <w:sz w:val="28"/>
                <w:szCs w:val="28"/>
              </w:rPr>
              <w:t>Пользование спортивными тренажёрами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1 посещение,                           60 минут, 1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131ABB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4E7561" w:rsidRPr="004E7561" w:rsidTr="00382CAB">
        <w:trPr>
          <w:trHeight w:hRule="exact" w:val="1003"/>
        </w:trPr>
        <w:tc>
          <w:tcPr>
            <w:tcW w:w="3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месячный абонемент, 12 посещений по 60 минут,                            1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131ABB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</w:t>
            </w:r>
          </w:p>
        </w:tc>
      </w:tr>
      <w:tr w:rsidR="004E7561" w:rsidRPr="004E7561" w:rsidTr="00382CAB">
        <w:trPr>
          <w:trHeight w:hRule="exact" w:val="742"/>
        </w:trPr>
        <w:tc>
          <w:tcPr>
            <w:tcW w:w="3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 xml:space="preserve"> 1 посещение,                           90 минут, 1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131ABB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4E7561" w:rsidRPr="004E7561" w:rsidTr="00382CAB">
        <w:trPr>
          <w:trHeight w:hRule="exact" w:val="985"/>
        </w:trPr>
        <w:tc>
          <w:tcPr>
            <w:tcW w:w="3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месячный абонемент, 12 посещений по 90 минут,                            1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131ABB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</w:t>
            </w:r>
          </w:p>
        </w:tc>
      </w:tr>
      <w:tr w:rsidR="004E7561" w:rsidRPr="004E7561" w:rsidTr="00131ABB">
        <w:trPr>
          <w:trHeight w:hRule="exact" w:val="42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7B7AA3">
            <w:pPr>
              <w:shd w:val="clear" w:color="auto" w:fill="FFFFFF"/>
              <w:tabs>
                <w:tab w:val="left" w:pos="102"/>
                <w:tab w:val="left" w:pos="386"/>
              </w:tabs>
              <w:spacing w:line="317" w:lineRule="exact"/>
              <w:ind w:left="52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 xml:space="preserve"> </w:t>
            </w:r>
            <w:r w:rsidR="007B7AA3">
              <w:rPr>
                <w:sz w:val="28"/>
                <w:szCs w:val="28"/>
              </w:rPr>
              <w:t>1.</w:t>
            </w:r>
            <w:r w:rsidRPr="004E7561">
              <w:rPr>
                <w:sz w:val="28"/>
                <w:szCs w:val="28"/>
              </w:rPr>
              <w:t>5. Услуги гостиницы: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E7561" w:rsidRPr="004E7561" w:rsidTr="00382CAB">
        <w:trPr>
          <w:trHeight w:hRule="exact" w:val="71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561" w:rsidRPr="007B7AA3" w:rsidRDefault="004E7561" w:rsidP="007B7AA3">
            <w:pPr>
              <w:pStyle w:val="a3"/>
              <w:numPr>
                <w:ilvl w:val="2"/>
                <w:numId w:val="8"/>
              </w:numPr>
              <w:shd w:val="clear" w:color="auto" w:fill="FFFFFF"/>
              <w:tabs>
                <w:tab w:val="left" w:pos="102"/>
                <w:tab w:val="left" w:pos="244"/>
                <w:tab w:val="left" w:pos="386"/>
              </w:tabs>
              <w:spacing w:line="317" w:lineRule="exact"/>
              <w:ind w:left="194" w:firstLine="0"/>
              <w:rPr>
                <w:sz w:val="28"/>
                <w:szCs w:val="28"/>
              </w:rPr>
            </w:pPr>
            <w:r w:rsidRPr="007B7AA3">
              <w:rPr>
                <w:sz w:val="28"/>
                <w:szCs w:val="28"/>
              </w:rPr>
              <w:t>Предоставление одноместного номера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номер/сутки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131ABB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4E7561" w:rsidRPr="004E7561" w:rsidTr="00960C2E">
        <w:trPr>
          <w:trHeight w:hRule="exact" w:val="1291"/>
        </w:trPr>
        <w:tc>
          <w:tcPr>
            <w:tcW w:w="30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960C2E">
            <w:pPr>
              <w:numPr>
                <w:ilvl w:val="1"/>
                <w:numId w:val="6"/>
              </w:numPr>
              <w:shd w:val="clear" w:color="auto" w:fill="FFFFFF"/>
              <w:tabs>
                <w:tab w:val="left" w:pos="102"/>
                <w:tab w:val="left" w:pos="527"/>
              </w:tabs>
              <w:spacing w:line="317" w:lineRule="exact"/>
              <w:ind w:left="102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lastRenderedPageBreak/>
              <w:t xml:space="preserve"> </w:t>
            </w:r>
            <w:r w:rsidR="007B7AA3">
              <w:rPr>
                <w:sz w:val="28"/>
                <w:szCs w:val="28"/>
              </w:rPr>
              <w:t xml:space="preserve">1.5.2. </w:t>
            </w:r>
            <w:r w:rsidR="00960C2E">
              <w:rPr>
                <w:sz w:val="28"/>
                <w:szCs w:val="28"/>
              </w:rPr>
              <w:t>Предоставление койко</w:t>
            </w:r>
            <w:r w:rsidRPr="004E7561">
              <w:rPr>
                <w:sz w:val="28"/>
                <w:szCs w:val="28"/>
              </w:rPr>
              <w:t>-мест</w:t>
            </w:r>
            <w:r w:rsidR="00960C2E">
              <w:rPr>
                <w:sz w:val="28"/>
                <w:szCs w:val="28"/>
              </w:rPr>
              <w:t>о</w:t>
            </w:r>
            <w:r w:rsidRPr="004E7561">
              <w:rPr>
                <w:sz w:val="28"/>
                <w:szCs w:val="28"/>
              </w:rPr>
              <w:t xml:space="preserve"> в 3-</w:t>
            </w:r>
            <w:r w:rsidR="00960C2E">
              <w:rPr>
                <w:sz w:val="28"/>
                <w:szCs w:val="28"/>
              </w:rPr>
              <w:t xml:space="preserve">х </w:t>
            </w:r>
            <w:proofErr w:type="spellStart"/>
            <w:r w:rsidR="007B7AA3">
              <w:rPr>
                <w:sz w:val="28"/>
                <w:szCs w:val="28"/>
              </w:rPr>
              <w:t>местно</w:t>
            </w:r>
            <w:r w:rsidRPr="004E7561">
              <w:rPr>
                <w:sz w:val="28"/>
                <w:szCs w:val="28"/>
              </w:rPr>
              <w:t>местном</w:t>
            </w:r>
            <w:proofErr w:type="spellEnd"/>
            <w:r w:rsidRPr="004E7561">
              <w:rPr>
                <w:sz w:val="28"/>
                <w:szCs w:val="28"/>
              </w:rPr>
              <w:t xml:space="preserve"> номере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 xml:space="preserve">1 </w:t>
            </w:r>
            <w:proofErr w:type="spellStart"/>
            <w:r w:rsidRPr="004E7561">
              <w:rPr>
                <w:sz w:val="28"/>
                <w:szCs w:val="28"/>
              </w:rPr>
              <w:t>койко</w:t>
            </w:r>
            <w:proofErr w:type="spellEnd"/>
            <w:r w:rsidRPr="004E7561">
              <w:rPr>
                <w:sz w:val="28"/>
                <w:szCs w:val="28"/>
              </w:rPr>
              <w:t xml:space="preserve"> - место                                                                                                                                                                                                    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131ABB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4E7561" w:rsidRPr="004E7561" w:rsidTr="00382CAB">
        <w:trPr>
          <w:trHeight w:hRule="exact" w:val="2124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7B7AA3" w:rsidP="004E756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02"/>
                <w:tab w:val="left" w:pos="527"/>
              </w:tabs>
              <w:spacing w:line="317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="004E7561" w:rsidRPr="004E7561">
              <w:rPr>
                <w:sz w:val="28"/>
                <w:szCs w:val="28"/>
              </w:rPr>
              <w:t>Предрейсовое (межрейсовое, послерейсовое) медицинское освидетельствование шофёров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1 услуга</w:t>
            </w:r>
            <w:r w:rsidR="00382CAB">
              <w:rPr>
                <w:sz w:val="28"/>
                <w:szCs w:val="28"/>
              </w:rPr>
              <w:t xml:space="preserve"> / 1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131ABB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 xml:space="preserve">    </w:t>
            </w:r>
          </w:p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-</w:t>
            </w:r>
          </w:p>
          <w:p w:rsidR="004E7561" w:rsidRPr="004E7561" w:rsidRDefault="004E7561" w:rsidP="004E7561">
            <w:pPr>
              <w:shd w:val="clear" w:color="auto" w:fill="FFFFFF"/>
              <w:rPr>
                <w:sz w:val="28"/>
                <w:szCs w:val="28"/>
              </w:rPr>
            </w:pPr>
          </w:p>
          <w:p w:rsidR="004E7561" w:rsidRPr="004E7561" w:rsidRDefault="004E7561" w:rsidP="004E75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E7561" w:rsidRPr="004E7561" w:rsidTr="004E7561">
        <w:trPr>
          <w:trHeight w:hRule="exact" w:val="424"/>
        </w:trPr>
        <w:tc>
          <w:tcPr>
            <w:tcW w:w="91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7B7AA3" w:rsidP="004E756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27"/>
              </w:tabs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E7561" w:rsidRPr="004E7561">
              <w:rPr>
                <w:sz w:val="28"/>
                <w:szCs w:val="28"/>
              </w:rPr>
              <w:t>Тарифы на платные услуги в спортивном комплексе «Юность»</w:t>
            </w:r>
          </w:p>
        </w:tc>
      </w:tr>
      <w:tr w:rsidR="004E7561" w:rsidRPr="004E7561" w:rsidTr="00382CAB">
        <w:trPr>
          <w:trHeight w:hRule="exact" w:val="682"/>
        </w:trPr>
        <w:tc>
          <w:tcPr>
            <w:tcW w:w="3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7B7AA3" w:rsidP="004E756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86"/>
              </w:tabs>
              <w:spacing w:line="317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="004E7561" w:rsidRPr="004E7561">
              <w:rPr>
                <w:sz w:val="28"/>
                <w:szCs w:val="28"/>
              </w:rPr>
              <w:t>Предоставление залов ***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1 посещение, 60 минут, для группы посетителей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131ABB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</w:tr>
      <w:tr w:rsidR="004E7561" w:rsidRPr="004E7561" w:rsidTr="00382CAB">
        <w:trPr>
          <w:trHeight w:hRule="exact" w:val="680"/>
        </w:trPr>
        <w:tc>
          <w:tcPr>
            <w:tcW w:w="3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 xml:space="preserve">1 посещение, 90 минут, для группы посетителей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131ABB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</w:t>
            </w:r>
          </w:p>
        </w:tc>
      </w:tr>
      <w:tr w:rsidR="004E7561" w:rsidRPr="004E7561" w:rsidTr="00382CAB">
        <w:trPr>
          <w:trHeight w:hRule="exact" w:val="652"/>
        </w:trPr>
        <w:tc>
          <w:tcPr>
            <w:tcW w:w="3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7B7AA3" w:rsidP="004E756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86"/>
              </w:tabs>
              <w:spacing w:line="317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4E7561" w:rsidRPr="004E7561">
              <w:rPr>
                <w:sz w:val="28"/>
                <w:szCs w:val="28"/>
              </w:rPr>
              <w:t>Пользование спортивными тренажёрами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1 посещение,                           60 минут, 1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131ABB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4E7561" w:rsidRPr="004E7561" w:rsidTr="00382CAB">
        <w:trPr>
          <w:trHeight w:hRule="exact" w:val="1052"/>
        </w:trPr>
        <w:tc>
          <w:tcPr>
            <w:tcW w:w="3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7"/>
              </w:tabs>
              <w:spacing w:line="317" w:lineRule="exact"/>
              <w:ind w:left="102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месячный абонемент, 12 посещений по 60 минут,                            1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131ABB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</w:t>
            </w:r>
          </w:p>
        </w:tc>
      </w:tr>
      <w:tr w:rsidR="004E7561" w:rsidRPr="004E7561" w:rsidTr="00382CAB">
        <w:trPr>
          <w:trHeight w:hRule="exact" w:val="698"/>
        </w:trPr>
        <w:tc>
          <w:tcPr>
            <w:tcW w:w="3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7"/>
              </w:tabs>
              <w:spacing w:line="317" w:lineRule="exact"/>
              <w:ind w:left="102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 xml:space="preserve"> 1 посещение,                           90 минут, 1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131ABB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4E7561" w:rsidRPr="004E7561" w:rsidTr="00382CAB">
        <w:trPr>
          <w:trHeight w:hRule="exact" w:val="1033"/>
        </w:trPr>
        <w:tc>
          <w:tcPr>
            <w:tcW w:w="30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7"/>
              </w:tabs>
              <w:spacing w:line="317" w:lineRule="exact"/>
              <w:ind w:left="102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месячный абонемент, 12 посещений по 90 минут,                            1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131ABB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</w:t>
            </w:r>
          </w:p>
        </w:tc>
      </w:tr>
      <w:tr w:rsidR="004E7561" w:rsidRPr="004E7561" w:rsidTr="00382CAB">
        <w:trPr>
          <w:trHeight w:hRule="exact" w:val="666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561" w:rsidRPr="004E7561" w:rsidRDefault="007B7AA3" w:rsidP="004E756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7"/>
              </w:tabs>
              <w:spacing w:line="317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 w:rsidR="004E7561" w:rsidRPr="004E7561">
              <w:rPr>
                <w:sz w:val="28"/>
                <w:szCs w:val="28"/>
              </w:rPr>
              <w:t>Предоставление открытой ледовой площадки для группы посетителей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 xml:space="preserve">1 посещение, 60 минут, до 20 человек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131ABB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</w:tr>
      <w:tr w:rsidR="004E7561" w:rsidRPr="004E7561" w:rsidTr="00382CAB">
        <w:trPr>
          <w:trHeight w:hRule="exact" w:val="688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7"/>
              </w:tabs>
              <w:spacing w:line="317" w:lineRule="exact"/>
              <w:ind w:left="102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 xml:space="preserve">1 посещение, 90 минут, до 20 человек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131ABB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</w:tr>
      <w:tr w:rsidR="004E7561" w:rsidRPr="004E7561" w:rsidTr="00382CAB">
        <w:trPr>
          <w:trHeight w:hRule="exact" w:val="206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561" w:rsidRPr="004E7561" w:rsidRDefault="007B7AA3" w:rsidP="004E756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7"/>
              </w:tabs>
              <w:spacing w:line="317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  <w:r w:rsidR="004E7561" w:rsidRPr="004E7561">
              <w:rPr>
                <w:sz w:val="28"/>
                <w:szCs w:val="28"/>
              </w:rPr>
              <w:t>Предрейсовое (межрейсовое, послерейсовое) медицинское освидетельствование шофёров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1 услуга</w:t>
            </w:r>
            <w:r w:rsidR="00382CAB">
              <w:rPr>
                <w:sz w:val="28"/>
                <w:szCs w:val="28"/>
              </w:rPr>
              <w:t xml:space="preserve"> / 1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811DD5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561" w:rsidRPr="004E7561" w:rsidRDefault="004E7561" w:rsidP="004E7561">
            <w:pPr>
              <w:shd w:val="clear" w:color="auto" w:fill="FFFFFF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 xml:space="preserve">    </w:t>
            </w:r>
          </w:p>
          <w:p w:rsidR="004E7561" w:rsidRPr="004E7561" w:rsidRDefault="004E7561" w:rsidP="004E7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561">
              <w:rPr>
                <w:sz w:val="28"/>
                <w:szCs w:val="28"/>
              </w:rPr>
              <w:t>-</w:t>
            </w:r>
          </w:p>
          <w:p w:rsidR="004E7561" w:rsidRPr="004E7561" w:rsidRDefault="004E7561" w:rsidP="004E7561">
            <w:pPr>
              <w:shd w:val="clear" w:color="auto" w:fill="FFFFFF"/>
              <w:rPr>
                <w:sz w:val="28"/>
                <w:szCs w:val="28"/>
              </w:rPr>
            </w:pPr>
          </w:p>
          <w:p w:rsidR="004E7561" w:rsidRPr="004E7561" w:rsidRDefault="004E7561" w:rsidP="004E75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E7561" w:rsidRPr="004E7561" w:rsidRDefault="004E7561" w:rsidP="004E7561">
      <w:pPr>
        <w:ind w:firstLine="426"/>
        <w:jc w:val="both"/>
        <w:rPr>
          <w:sz w:val="28"/>
          <w:szCs w:val="28"/>
        </w:rPr>
      </w:pPr>
    </w:p>
    <w:p w:rsidR="004E7561" w:rsidRPr="004E7561" w:rsidRDefault="004E7561" w:rsidP="004E7561">
      <w:pPr>
        <w:ind w:firstLine="426"/>
        <w:jc w:val="both"/>
        <w:rPr>
          <w:sz w:val="28"/>
          <w:szCs w:val="28"/>
        </w:rPr>
      </w:pPr>
      <w:r w:rsidRPr="004E7561">
        <w:rPr>
          <w:sz w:val="28"/>
          <w:szCs w:val="28"/>
        </w:rPr>
        <w:t xml:space="preserve">Примечание:  </w:t>
      </w:r>
    </w:p>
    <w:p w:rsidR="004E7561" w:rsidRPr="004E7561" w:rsidRDefault="004E7561" w:rsidP="004E7561">
      <w:pPr>
        <w:ind w:firstLine="426"/>
        <w:jc w:val="both"/>
        <w:rPr>
          <w:sz w:val="28"/>
          <w:szCs w:val="28"/>
        </w:rPr>
      </w:pPr>
      <w:r w:rsidRPr="004E7561">
        <w:rPr>
          <w:bCs/>
          <w:sz w:val="28"/>
          <w:szCs w:val="28"/>
        </w:rPr>
        <w:t xml:space="preserve">* Согласно </w:t>
      </w:r>
      <w:proofErr w:type="spellStart"/>
      <w:r w:rsidRPr="004E7561">
        <w:rPr>
          <w:bCs/>
          <w:sz w:val="28"/>
          <w:szCs w:val="28"/>
        </w:rPr>
        <w:t>пп</w:t>
      </w:r>
      <w:proofErr w:type="spellEnd"/>
      <w:r w:rsidRPr="004E7561">
        <w:rPr>
          <w:bCs/>
          <w:sz w:val="28"/>
          <w:szCs w:val="28"/>
        </w:rPr>
        <w:t xml:space="preserve">. 2 п. 2, п.6 ст. 149 второй части Налогового кодекса Российской Федерации </w:t>
      </w:r>
      <w:r w:rsidRPr="004E7561">
        <w:rPr>
          <w:sz w:val="28"/>
          <w:szCs w:val="28"/>
        </w:rPr>
        <w:t>реализация медицинских услуг не подлежит налогообложению</w:t>
      </w:r>
      <w:r w:rsidR="00DC02D1">
        <w:rPr>
          <w:sz w:val="28"/>
          <w:szCs w:val="28"/>
        </w:rPr>
        <w:t xml:space="preserve"> налогом на добавленную стоимость</w:t>
      </w:r>
      <w:r w:rsidRPr="004E7561">
        <w:rPr>
          <w:sz w:val="28"/>
          <w:szCs w:val="28"/>
        </w:rPr>
        <w:t>.</w:t>
      </w:r>
    </w:p>
    <w:p w:rsidR="004E7561" w:rsidRPr="004E7561" w:rsidRDefault="004E7561" w:rsidP="004E7561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E7561">
        <w:rPr>
          <w:sz w:val="28"/>
          <w:szCs w:val="28"/>
        </w:rPr>
        <w:t>** Размеры тарифов указаны с учётом суммы налога на добавленную стоимость, которая должна выделяться в расчётных документах отдельной строкой в соответствии с п. 4 ст. 168 Налогового кодекса Российской Федерации.</w:t>
      </w:r>
    </w:p>
    <w:p w:rsidR="004E7561" w:rsidRPr="004E7561" w:rsidRDefault="004E7561" w:rsidP="004E7561">
      <w:pPr>
        <w:ind w:firstLine="426"/>
        <w:jc w:val="both"/>
        <w:rPr>
          <w:sz w:val="28"/>
          <w:szCs w:val="28"/>
        </w:rPr>
      </w:pPr>
      <w:r w:rsidRPr="004E7561">
        <w:rPr>
          <w:sz w:val="28"/>
          <w:szCs w:val="28"/>
        </w:rPr>
        <w:lastRenderedPageBreak/>
        <w:t xml:space="preserve">*** Муниципальное бюджетное учреждение </w:t>
      </w:r>
      <w:r w:rsidR="007B7AA3">
        <w:rPr>
          <w:sz w:val="28"/>
          <w:szCs w:val="28"/>
        </w:rPr>
        <w:t>спортивной подготовки</w:t>
      </w:r>
      <w:r w:rsidRPr="004E7561">
        <w:rPr>
          <w:sz w:val="28"/>
          <w:szCs w:val="28"/>
        </w:rPr>
        <w:t xml:space="preserve"> спортивная школа олимпийского резерва «Ермак» в соответствии со своим уставом самостоятельно определяет и закрепляет в приказе об утверждении фиксированных тарифов на платные услуги соответствующее наименование спортивных залов.</w:t>
      </w:r>
    </w:p>
    <w:p w:rsidR="00E166C4" w:rsidRDefault="00E166C4" w:rsidP="00271E58">
      <w:pPr>
        <w:jc w:val="both"/>
        <w:rPr>
          <w:sz w:val="28"/>
          <w:szCs w:val="28"/>
        </w:rPr>
      </w:pPr>
    </w:p>
    <w:p w:rsidR="00E166C4" w:rsidRDefault="00E166C4" w:rsidP="00271E58">
      <w:pPr>
        <w:jc w:val="both"/>
        <w:rPr>
          <w:sz w:val="28"/>
          <w:szCs w:val="28"/>
        </w:rPr>
      </w:pPr>
    </w:p>
    <w:p w:rsidR="00713C80" w:rsidRDefault="00713C80" w:rsidP="00D96BF5"/>
    <w:p w:rsidR="007B7AA3" w:rsidRDefault="007B7AA3" w:rsidP="00D96BF5"/>
    <w:p w:rsidR="007B7AA3" w:rsidRDefault="007B7AA3" w:rsidP="00D96BF5"/>
    <w:p w:rsidR="007B7AA3" w:rsidRDefault="007B7AA3" w:rsidP="00D96BF5"/>
    <w:p w:rsidR="007B7AA3" w:rsidRDefault="007B7AA3" w:rsidP="00D96BF5"/>
    <w:p w:rsidR="007B7AA3" w:rsidRDefault="007B7AA3" w:rsidP="00D96BF5"/>
    <w:p w:rsidR="007B7AA3" w:rsidRDefault="007B7AA3" w:rsidP="00D96BF5"/>
    <w:p w:rsidR="007B7AA3" w:rsidRDefault="007B7AA3" w:rsidP="00D96BF5"/>
    <w:p w:rsidR="007B7AA3" w:rsidRDefault="007B7AA3" w:rsidP="00D96BF5"/>
    <w:p w:rsidR="007B7AA3" w:rsidRDefault="007B7AA3" w:rsidP="00D96BF5"/>
    <w:p w:rsidR="007B7AA3" w:rsidRDefault="007B7AA3" w:rsidP="00D96BF5"/>
    <w:p w:rsidR="007B7AA3" w:rsidRDefault="007B7AA3" w:rsidP="00D96BF5"/>
    <w:p w:rsidR="007B7AA3" w:rsidRDefault="007B7AA3" w:rsidP="00D96BF5"/>
    <w:p w:rsidR="007B7AA3" w:rsidRDefault="007B7AA3" w:rsidP="00D96BF5"/>
    <w:p w:rsidR="007B7AA3" w:rsidRDefault="007B7AA3" w:rsidP="00D96BF5"/>
    <w:p w:rsidR="007B7AA3" w:rsidRDefault="007B7AA3" w:rsidP="00D96BF5"/>
    <w:p w:rsidR="007B7AA3" w:rsidRDefault="007B7AA3" w:rsidP="00D96BF5"/>
    <w:p w:rsidR="007B7AA3" w:rsidRDefault="007B7AA3" w:rsidP="00D96BF5"/>
    <w:p w:rsidR="00713C80" w:rsidRDefault="00713C80" w:rsidP="00D96BF5"/>
    <w:p w:rsidR="00713C80" w:rsidRDefault="00713C80" w:rsidP="00D96BF5"/>
    <w:p w:rsidR="00713C80" w:rsidRDefault="00713C80" w:rsidP="00D96BF5"/>
    <w:p w:rsidR="00713C80" w:rsidRDefault="00713C80" w:rsidP="00D96BF5"/>
    <w:p w:rsidR="00713C80" w:rsidRDefault="00713C80" w:rsidP="00D96BF5"/>
    <w:p w:rsidR="00713C80" w:rsidRDefault="00713C80" w:rsidP="00D96BF5"/>
    <w:p w:rsidR="00713C80" w:rsidRDefault="00713C80" w:rsidP="00D96BF5"/>
    <w:p w:rsidR="00713C80" w:rsidRDefault="00713C80" w:rsidP="00D96BF5"/>
    <w:p w:rsidR="00713C80" w:rsidRDefault="00713C80" w:rsidP="00D96BF5"/>
    <w:p w:rsidR="00713C80" w:rsidRDefault="00713C80" w:rsidP="00D96BF5"/>
    <w:p w:rsidR="00713C80" w:rsidRDefault="00713C80" w:rsidP="00D96BF5"/>
    <w:p w:rsidR="00713C80" w:rsidRDefault="00713C80" w:rsidP="00D96BF5"/>
    <w:p w:rsidR="00713C80" w:rsidRDefault="00713C80" w:rsidP="00D96BF5"/>
    <w:p w:rsidR="00713C80" w:rsidRDefault="00713C80" w:rsidP="00D96BF5"/>
    <w:p w:rsidR="00713C80" w:rsidRDefault="00713C80" w:rsidP="00D96BF5"/>
    <w:p w:rsidR="00713C80" w:rsidRDefault="00713C80" w:rsidP="00D96BF5"/>
    <w:p w:rsidR="00681F53" w:rsidRDefault="00681F53" w:rsidP="00D96BF5"/>
    <w:p w:rsidR="00681F53" w:rsidRDefault="00681F53" w:rsidP="00D96BF5"/>
    <w:p w:rsidR="00681F53" w:rsidRDefault="00681F53" w:rsidP="00D96BF5"/>
    <w:p w:rsidR="00681F53" w:rsidRDefault="00681F53" w:rsidP="00D96BF5"/>
    <w:p w:rsidR="00681F53" w:rsidRDefault="00681F53" w:rsidP="00D96BF5">
      <w:bookmarkStart w:id="0" w:name="_GoBack"/>
      <w:bookmarkEnd w:id="0"/>
    </w:p>
    <w:p w:rsidR="00681F53" w:rsidRDefault="00681F53" w:rsidP="00D96BF5"/>
    <w:p w:rsidR="00713C80" w:rsidRDefault="00713C80" w:rsidP="00D96BF5"/>
    <w:p w:rsidR="00713C80" w:rsidRDefault="00713C80" w:rsidP="00D96BF5"/>
    <w:p w:rsidR="00713C80" w:rsidRDefault="00713C80" w:rsidP="00D96BF5"/>
    <w:p w:rsidR="00713C80" w:rsidRDefault="00713C80" w:rsidP="00D96BF5">
      <w:pPr>
        <w:rPr>
          <w:sz w:val="20"/>
          <w:szCs w:val="20"/>
        </w:rPr>
      </w:pPr>
      <w:r>
        <w:rPr>
          <w:sz w:val="20"/>
          <w:szCs w:val="20"/>
        </w:rPr>
        <w:t>Клименко Галина Анатольевна</w:t>
      </w:r>
    </w:p>
    <w:p w:rsidR="00713C80" w:rsidRPr="00713C80" w:rsidRDefault="00713C80" w:rsidP="00D96BF5">
      <w:pPr>
        <w:rPr>
          <w:sz w:val="20"/>
          <w:szCs w:val="20"/>
        </w:rPr>
      </w:pPr>
      <w:r>
        <w:rPr>
          <w:sz w:val="20"/>
          <w:szCs w:val="20"/>
        </w:rPr>
        <w:t>52-22-41</w:t>
      </w:r>
    </w:p>
    <w:sectPr w:rsidR="00713C80" w:rsidRPr="00713C80" w:rsidSect="00737A79">
      <w:headerReference w:type="default" r:id="rId8"/>
      <w:pgSz w:w="11906" w:h="16838" w:code="9"/>
      <w:pgMar w:top="1134" w:right="737" w:bottom="737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D1" w:rsidRDefault="00946BD1" w:rsidP="00737A79">
      <w:r>
        <w:separator/>
      </w:r>
    </w:p>
  </w:endnote>
  <w:endnote w:type="continuationSeparator" w:id="0">
    <w:p w:rsidR="00946BD1" w:rsidRDefault="00946BD1" w:rsidP="0073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D1" w:rsidRDefault="00946BD1" w:rsidP="00737A79">
      <w:r>
        <w:separator/>
      </w:r>
    </w:p>
  </w:footnote>
  <w:footnote w:type="continuationSeparator" w:id="0">
    <w:p w:rsidR="00946BD1" w:rsidRDefault="00946BD1" w:rsidP="00737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692356"/>
      <w:docPartObj>
        <w:docPartGallery w:val="Page Numbers (Top of Page)"/>
        <w:docPartUnique/>
      </w:docPartObj>
    </w:sdtPr>
    <w:sdtEndPr/>
    <w:sdtContent>
      <w:p w:rsidR="00737A79" w:rsidRDefault="00737A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C2E">
          <w:rPr>
            <w:noProof/>
          </w:rPr>
          <w:t>4</w:t>
        </w:r>
        <w:r>
          <w:fldChar w:fldCharType="end"/>
        </w:r>
      </w:p>
    </w:sdtContent>
  </w:sdt>
  <w:p w:rsidR="00737A79" w:rsidRDefault="00737A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72616"/>
    <w:multiLevelType w:val="multilevel"/>
    <w:tmpl w:val="D5604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76C5814"/>
    <w:multiLevelType w:val="hybridMultilevel"/>
    <w:tmpl w:val="6A6E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6ADF"/>
    <w:multiLevelType w:val="multilevel"/>
    <w:tmpl w:val="096E1FF4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8" w:hanging="2160"/>
      </w:pPr>
      <w:rPr>
        <w:rFonts w:hint="default"/>
      </w:rPr>
    </w:lvl>
  </w:abstractNum>
  <w:abstractNum w:abstractNumId="3">
    <w:nsid w:val="4B5B29B4"/>
    <w:multiLevelType w:val="hybridMultilevel"/>
    <w:tmpl w:val="9EC6ADB4"/>
    <w:lvl w:ilvl="0" w:tplc="4470E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873A0"/>
    <w:multiLevelType w:val="multilevel"/>
    <w:tmpl w:val="364666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6BD1DC4"/>
    <w:multiLevelType w:val="multilevel"/>
    <w:tmpl w:val="4964D4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C973118"/>
    <w:multiLevelType w:val="hybridMultilevel"/>
    <w:tmpl w:val="763C4A7A"/>
    <w:lvl w:ilvl="0" w:tplc="EE7E111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F48447D"/>
    <w:multiLevelType w:val="multilevel"/>
    <w:tmpl w:val="69DA37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F9"/>
    <w:rsid w:val="00074DFF"/>
    <w:rsid w:val="000E0FF3"/>
    <w:rsid w:val="000F1DAE"/>
    <w:rsid w:val="0010545D"/>
    <w:rsid w:val="00120FBC"/>
    <w:rsid w:val="00122C1B"/>
    <w:rsid w:val="00131ABB"/>
    <w:rsid w:val="001449CB"/>
    <w:rsid w:val="00194722"/>
    <w:rsid w:val="001B686B"/>
    <w:rsid w:val="001D08F9"/>
    <w:rsid w:val="001E7B42"/>
    <w:rsid w:val="0022246D"/>
    <w:rsid w:val="00261E07"/>
    <w:rsid w:val="00262814"/>
    <w:rsid w:val="00271E58"/>
    <w:rsid w:val="002737ED"/>
    <w:rsid w:val="00297BC1"/>
    <w:rsid w:val="002F058E"/>
    <w:rsid w:val="003501DA"/>
    <w:rsid w:val="00382CAB"/>
    <w:rsid w:val="003F5B82"/>
    <w:rsid w:val="004C32ED"/>
    <w:rsid w:val="004E0609"/>
    <w:rsid w:val="004E7561"/>
    <w:rsid w:val="004E77F7"/>
    <w:rsid w:val="00511102"/>
    <w:rsid w:val="00511CC8"/>
    <w:rsid w:val="00513B41"/>
    <w:rsid w:val="005634E9"/>
    <w:rsid w:val="00592405"/>
    <w:rsid w:val="00681F53"/>
    <w:rsid w:val="00682E5A"/>
    <w:rsid w:val="006A6F91"/>
    <w:rsid w:val="006B4874"/>
    <w:rsid w:val="006E33C3"/>
    <w:rsid w:val="00713C80"/>
    <w:rsid w:val="00736D42"/>
    <w:rsid w:val="00737A79"/>
    <w:rsid w:val="007B7AA3"/>
    <w:rsid w:val="00811DD5"/>
    <w:rsid w:val="00893BF9"/>
    <w:rsid w:val="008A6DAF"/>
    <w:rsid w:val="008B1512"/>
    <w:rsid w:val="008E2BB5"/>
    <w:rsid w:val="008E3196"/>
    <w:rsid w:val="009159FC"/>
    <w:rsid w:val="00946BD1"/>
    <w:rsid w:val="00960C2E"/>
    <w:rsid w:val="00982698"/>
    <w:rsid w:val="009A6FB2"/>
    <w:rsid w:val="00A44F16"/>
    <w:rsid w:val="00AC0028"/>
    <w:rsid w:val="00B151CA"/>
    <w:rsid w:val="00B26F5F"/>
    <w:rsid w:val="00B67B01"/>
    <w:rsid w:val="00B8491C"/>
    <w:rsid w:val="00BC0B60"/>
    <w:rsid w:val="00C1052E"/>
    <w:rsid w:val="00C11041"/>
    <w:rsid w:val="00C1597B"/>
    <w:rsid w:val="00C16BA9"/>
    <w:rsid w:val="00CB2001"/>
    <w:rsid w:val="00CB477F"/>
    <w:rsid w:val="00CE1FBB"/>
    <w:rsid w:val="00CF1F1C"/>
    <w:rsid w:val="00D41728"/>
    <w:rsid w:val="00D417FC"/>
    <w:rsid w:val="00D51E30"/>
    <w:rsid w:val="00D527B3"/>
    <w:rsid w:val="00D569B4"/>
    <w:rsid w:val="00D96BF5"/>
    <w:rsid w:val="00DC02D1"/>
    <w:rsid w:val="00DF1170"/>
    <w:rsid w:val="00E166C4"/>
    <w:rsid w:val="00E2547D"/>
    <w:rsid w:val="00E41336"/>
    <w:rsid w:val="00E44DBE"/>
    <w:rsid w:val="00E46241"/>
    <w:rsid w:val="00EE52F6"/>
    <w:rsid w:val="00EF6B6C"/>
    <w:rsid w:val="00F733B8"/>
    <w:rsid w:val="00F73D55"/>
    <w:rsid w:val="00FC3961"/>
    <w:rsid w:val="00FE5576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AD912-96A9-4D32-9CC7-9D4AD5A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6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6B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E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E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AC0028"/>
    <w:pPr>
      <w:jc w:val="both"/>
    </w:pPr>
    <w:rPr>
      <w:rFonts w:ascii="Arial" w:hAnsi="Arial"/>
      <w:sz w:val="23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AC0028"/>
    <w:rPr>
      <w:rFonts w:ascii="Arial" w:eastAsia="Times New Roman" w:hAnsi="Arial" w:cs="Times New Roman"/>
      <w:sz w:val="23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37A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7A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67B01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8DA6F-A347-4C03-812E-C03A55B0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Галина Анатольевна</dc:creator>
  <cp:keywords/>
  <dc:description/>
  <cp:lastModifiedBy>Мельничану Лилия Николаевна</cp:lastModifiedBy>
  <cp:revision>66</cp:revision>
  <cp:lastPrinted>2018-12-29T10:29:00Z</cp:lastPrinted>
  <dcterms:created xsi:type="dcterms:W3CDTF">2018-11-21T11:27:00Z</dcterms:created>
  <dcterms:modified xsi:type="dcterms:W3CDTF">2019-01-24T09:44:00Z</dcterms:modified>
</cp:coreProperties>
</file>