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E67A89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2568E" w:rsidRPr="0002568E">
        <w:rPr>
          <w:sz w:val="24"/>
          <w:szCs w:val="24"/>
          <w:u w:val="single"/>
        </w:rPr>
        <w:t>Многопрофильный ветеринарный центр ВетЭксперт доверие бесценно! 228-000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EF75" w14:textId="77777777" w:rsidR="00E97E7D" w:rsidRDefault="00E97E7D">
      <w:r>
        <w:separator/>
      </w:r>
    </w:p>
  </w:endnote>
  <w:endnote w:type="continuationSeparator" w:id="0">
    <w:p w14:paraId="24C4A105" w14:textId="77777777" w:rsidR="00E97E7D" w:rsidRDefault="00E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8933" w14:textId="77777777" w:rsidR="00E97E7D" w:rsidRDefault="00E97E7D">
      <w:r>
        <w:separator/>
      </w:r>
    </w:p>
  </w:footnote>
  <w:footnote w:type="continuationSeparator" w:id="0">
    <w:p w14:paraId="4B6B4719" w14:textId="77777777" w:rsidR="00E97E7D" w:rsidRDefault="00E9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68E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97E7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2022-02-24T10:00:00Z</dcterms:modified>
</cp:coreProperties>
</file>