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D45375" w:rsidRDefault="00233AC1" w:rsidP="008967C8">
      <w:pPr>
        <w:autoSpaceDE w:val="0"/>
        <w:autoSpaceDN w:val="0"/>
        <w:adjustRightInd w:val="0"/>
        <w:jc w:val="both"/>
        <w:rPr>
          <w:bCs/>
          <w:i/>
        </w:rPr>
      </w:pPr>
      <w:r w:rsidRPr="00397000">
        <w:t>извещает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D45375" w:rsidRPr="00D45375">
        <w:rPr>
          <w:i/>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с «</w:t>
      </w:r>
      <w:r w:rsidR="00584BA8">
        <w:rPr>
          <w:i/>
        </w:rPr>
        <w:t>1</w:t>
      </w:r>
      <w:r w:rsidR="002A484C">
        <w:rPr>
          <w:i/>
        </w:rPr>
        <w:t>6</w:t>
      </w:r>
      <w:r w:rsidRPr="00BA322F">
        <w:rPr>
          <w:i/>
        </w:rPr>
        <w:t>»</w:t>
      </w:r>
      <w:r w:rsidR="000203D5" w:rsidRPr="00BA322F">
        <w:rPr>
          <w:i/>
        </w:rPr>
        <w:t xml:space="preserve"> </w:t>
      </w:r>
      <w:r w:rsidR="00A26264" w:rsidRPr="00BA322F">
        <w:rPr>
          <w:i/>
        </w:rPr>
        <w:t>окт</w:t>
      </w:r>
      <w:r w:rsidR="000203D5" w:rsidRPr="00BA322F">
        <w:rPr>
          <w:i/>
        </w:rPr>
        <w:t>ября</w:t>
      </w:r>
      <w:r w:rsidRPr="00BA322F">
        <w:rPr>
          <w:i/>
        </w:rPr>
        <w:t xml:space="preserve"> 20</w:t>
      </w:r>
      <w:r w:rsidR="000203D5" w:rsidRPr="00BA322F">
        <w:rPr>
          <w:i/>
        </w:rPr>
        <w:t xml:space="preserve">17 </w:t>
      </w:r>
      <w:r w:rsidRPr="00BA322F">
        <w:rPr>
          <w:i/>
        </w:rPr>
        <w:t>г. по «</w:t>
      </w:r>
      <w:r w:rsidR="000203D5" w:rsidRPr="00BA322F">
        <w:rPr>
          <w:i/>
        </w:rPr>
        <w:t>2</w:t>
      </w:r>
      <w:r w:rsidR="002A484C">
        <w:rPr>
          <w:i/>
        </w:rPr>
        <w:t>7</w:t>
      </w:r>
      <w:r w:rsidRPr="00BA322F">
        <w:rPr>
          <w:i/>
        </w:rPr>
        <w:t>»</w:t>
      </w:r>
      <w:r w:rsidR="000203D5" w:rsidRPr="00BA322F">
        <w:rPr>
          <w:i/>
        </w:rPr>
        <w:t xml:space="preserve"> </w:t>
      </w:r>
      <w:r w:rsidR="00A26264" w:rsidRPr="00BA322F">
        <w:rPr>
          <w:i/>
        </w:rPr>
        <w:t>ок</w:t>
      </w:r>
      <w:r w:rsidR="000203D5" w:rsidRPr="00BA322F">
        <w:rPr>
          <w:i/>
        </w:rPr>
        <w:t>тября</w:t>
      </w:r>
      <w:r w:rsidRPr="00BA322F">
        <w:rPr>
          <w:i/>
        </w:rPr>
        <w:t xml:space="preserve"> 20</w:t>
      </w:r>
      <w:r w:rsidR="000203D5" w:rsidRPr="00BA322F">
        <w:rPr>
          <w:i/>
        </w:rPr>
        <w:t>17</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 (</w:t>
      </w:r>
      <w:hyperlink r:id="rId8" w:history="1">
        <w:r w:rsidR="00A3563D" w:rsidRPr="00752F58">
          <w:rPr>
            <w:rStyle w:val="a9"/>
          </w:rPr>
          <w:t>http://admsurgut.ru/rubric</w:t>
        </w:r>
      </w:hyperlink>
      <w:r w:rsidR="00A3563D">
        <w:t xml:space="preserve"> </w:t>
      </w:r>
      <w:r w:rsidR="00233AC1" w:rsidRPr="00397000">
        <w:t>/21312/</w:t>
      </w:r>
      <w:proofErr w:type="spellStart"/>
      <w:r w:rsidR="00233AC1" w:rsidRPr="00397000">
        <w:t>Proekty</w:t>
      </w:r>
      <w:proofErr w:type="spellEnd"/>
      <w:r w:rsidR="00233AC1" w:rsidRPr="00397000">
        <w:t>-</w:t>
      </w:r>
      <w:proofErr w:type="spellStart"/>
      <w:r w:rsidR="00233AC1" w:rsidRPr="00397000">
        <w:t>municipalnyh</w:t>
      </w:r>
      <w:proofErr w:type="spellEnd"/>
      <w:r w:rsidR="00233AC1" w:rsidRPr="00397000">
        <w:t>-NPA-</w:t>
      </w:r>
      <w:proofErr w:type="spellStart"/>
      <w:r w:rsidR="00233AC1" w:rsidRPr="00397000">
        <w:t>dlya</w:t>
      </w:r>
      <w:proofErr w:type="spellEnd"/>
      <w:r w:rsidR="00233AC1" w:rsidRPr="00397000">
        <w:t>-</w:t>
      </w:r>
      <w:proofErr w:type="spellStart"/>
      <w:r w:rsidR="00233AC1" w:rsidRPr="00397000">
        <w:t>provedeniya-ocenki</w:t>
      </w:r>
      <w:proofErr w:type="spellEnd"/>
      <w:r w:rsidR="00233AC1" w:rsidRPr="00397000">
        <w:t>).</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3B5034" w:rsidRDefault="00D534E1" w:rsidP="003B503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584BA8">
        <w:rPr>
          <w:rFonts w:ascii="Times New Roman" w:hAnsi="Times New Roman" w:cs="Times New Roman"/>
          <w:i/>
          <w:sz w:val="28"/>
          <w:szCs w:val="28"/>
        </w:rPr>
        <w:t>Бюджетный кодекс РФ (в редакции от 18.07.2017 № 178-ФЗ)</w:t>
      </w:r>
    </w:p>
    <w:p w:rsidR="00D534E1" w:rsidRPr="00BA322F" w:rsidRDefault="00D534E1" w:rsidP="003B503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П</w:t>
      </w:r>
      <w:r w:rsidRPr="00D927B8">
        <w:rPr>
          <w:rFonts w:ascii="Times New Roman" w:hAnsi="Times New Roman" w:cs="Times New Roman"/>
          <w:i/>
          <w:sz w:val="27"/>
          <w:szCs w:val="27"/>
        </w:rPr>
        <w:t>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w:t>
      </w:r>
      <w:r w:rsidRPr="00D927B8">
        <w:rPr>
          <w:rFonts w:ascii="Times New Roman" w:hAnsi="Times New Roman" w:cs="Times New Roman"/>
          <w:i/>
          <w:sz w:val="27"/>
          <w:szCs w:val="27"/>
        </w:rPr>
        <w:lastRenderedPageBreak/>
        <w:t>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 № 887 от 06.09.2016)</w:t>
      </w:r>
    </w:p>
    <w:p w:rsidR="00233AC1" w:rsidRDefault="00233AC1" w:rsidP="00233AC1">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D534E1" w:rsidRPr="00D534E1" w:rsidRDefault="00D534E1" w:rsidP="00586E8D">
      <w:pPr>
        <w:pStyle w:val="ConsPlusNormal"/>
        <w:numPr>
          <w:ilvl w:val="0"/>
          <w:numId w:val="2"/>
        </w:numPr>
        <w:ind w:left="0" w:firstLine="567"/>
        <w:jc w:val="both"/>
        <w:rPr>
          <w:rFonts w:ascii="Times New Roman" w:hAnsi="Times New Roman"/>
          <w:i/>
          <w:sz w:val="28"/>
          <w:szCs w:val="28"/>
        </w:rPr>
      </w:pPr>
      <w:r w:rsidRPr="00D534E1">
        <w:rPr>
          <w:rFonts w:ascii="Times New Roman" w:hAnsi="Times New Roman" w:cs="Times New Roman"/>
          <w:i/>
          <w:sz w:val="27"/>
          <w:szCs w:val="27"/>
        </w:rPr>
        <w:t>Порядком (в редакции от 01.08.2017 № 68</w:t>
      </w:r>
      <w:r w:rsidR="00D45375">
        <w:rPr>
          <w:rFonts w:ascii="Times New Roman" w:hAnsi="Times New Roman" w:cs="Times New Roman"/>
          <w:i/>
          <w:sz w:val="27"/>
          <w:szCs w:val="27"/>
        </w:rPr>
        <w:t>51</w:t>
      </w:r>
      <w:r w:rsidRPr="00D534E1">
        <w:rPr>
          <w:rFonts w:ascii="Times New Roman" w:hAnsi="Times New Roman" w:cs="Times New Roman"/>
          <w:i/>
          <w:sz w:val="27"/>
          <w:szCs w:val="27"/>
        </w:rPr>
        <w:t xml:space="preserve">) определена дата, </w:t>
      </w:r>
      <w:r w:rsidRPr="00D534E1">
        <w:rPr>
          <w:rFonts w:ascii="Times New Roman" w:hAnsi="Times New Roman" w:cs="Times New Roman"/>
          <w:i/>
          <w:sz w:val="27"/>
          <w:szCs w:val="27"/>
        </w:rPr>
        <w:br/>
        <w:t>на которую получатели субсидии должны соответствовать требованиям, установленным Общими требованиями № 887 от 06.09.2016 – на дату представления документов при первичном обращении получателя субсидии за предоставлением субсидии.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 департамент архитектуры и градостроительства. Аналогичные изменения внесены во все Порядки департамента городского хозяйства. Дата первичного обращения получателей субсидии, определенная Порядками и фактическая, как в рамках одного Порядка, так и по всем Порядкам, различная (например: 20.05, 29.05, 30.05, 01.06, 30.06, 07.07, 17.08).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 С целью сокращения трудозатрат проектом определяется иная дата – «</w:t>
      </w:r>
      <w:r w:rsidRPr="00D534E1">
        <w:rPr>
          <w:rFonts w:ascii="Times New Roman" w:hAnsi="Times New Roman"/>
          <w:i/>
          <w:sz w:val="28"/>
          <w:szCs w:val="28"/>
        </w:rPr>
        <w:t>на первое число месяца, в котором представлены документы» (</w:t>
      </w:r>
      <w:r w:rsidR="00D45375">
        <w:rPr>
          <w:rFonts w:ascii="Times New Roman" w:hAnsi="Times New Roman"/>
          <w:i/>
          <w:sz w:val="28"/>
          <w:szCs w:val="28"/>
        </w:rPr>
        <w:t xml:space="preserve">абзац первый </w:t>
      </w:r>
      <w:r w:rsidRPr="00D534E1">
        <w:rPr>
          <w:rFonts w:ascii="Times New Roman" w:hAnsi="Times New Roman"/>
          <w:i/>
          <w:sz w:val="28"/>
          <w:szCs w:val="28"/>
        </w:rPr>
        <w:t>пункт 1.1 проекта).</w:t>
      </w:r>
    </w:p>
    <w:p w:rsidR="00D45375" w:rsidRPr="00D45375" w:rsidRDefault="00D45375" w:rsidP="00D45375">
      <w:pPr>
        <w:pStyle w:val="ConsPlusNormal"/>
        <w:numPr>
          <w:ilvl w:val="0"/>
          <w:numId w:val="2"/>
        </w:numPr>
        <w:ind w:left="0" w:firstLine="567"/>
        <w:jc w:val="both"/>
        <w:rPr>
          <w:rFonts w:ascii="Times New Roman" w:hAnsi="Times New Roman" w:cs="Times New Roman"/>
          <w:i/>
          <w:sz w:val="28"/>
          <w:szCs w:val="28"/>
        </w:rPr>
      </w:pPr>
      <w:r w:rsidRPr="00D45375">
        <w:rPr>
          <w:rFonts w:ascii="Times New Roman" w:hAnsi="Times New Roman" w:cs="Times New Roman"/>
          <w:i/>
          <w:sz w:val="28"/>
          <w:szCs w:val="28"/>
        </w:rPr>
        <w:t>При первичном обращении получатели субсидии к предварительному расчету размера субсидии прикладывают копии кредитных договоров, заверенных кредитной организацией (абзац третий пункта 5 Порядка). У получателя субсидии СГМУП «</w:t>
      </w:r>
      <w:proofErr w:type="spellStart"/>
      <w:r w:rsidRPr="00D45375">
        <w:rPr>
          <w:rFonts w:ascii="Times New Roman" w:hAnsi="Times New Roman" w:cs="Times New Roman"/>
          <w:i/>
          <w:sz w:val="28"/>
          <w:szCs w:val="28"/>
        </w:rPr>
        <w:t>Горводоканал</w:t>
      </w:r>
      <w:proofErr w:type="spellEnd"/>
      <w:r w:rsidRPr="00D45375">
        <w:rPr>
          <w:rFonts w:ascii="Times New Roman" w:hAnsi="Times New Roman" w:cs="Times New Roman"/>
          <w:i/>
          <w:sz w:val="28"/>
          <w:szCs w:val="28"/>
        </w:rPr>
        <w:t>» кредитные договоры заключены с ОАО «Сбербанк России» и Европейским банком реконструкции и развития. ЕБРР является международной кредитной организацией, штаб-квартира банка расположена в г. Лондон, в связи с чем погашение кредитной задолженности и уплата процентов за пользование заемными средствами СГМУП «ГВК» осуществляется через счет, открытый в филиале ПАО Банка «ФК Открытие» г. Когалыма. Банк счета осуществляет все операции, связанные с движением средств на открытом счете, но не имеет полномочий по заверению копии кредитного договора, заключенного с ЕБРР. Заверение копии договора самой кредитной организацией объективно затруднено, так как требует от получателя субсидии существенных временных и финансовых затрат, в связи с чем вводится возможность заверить копию договора самому получателю субсидии (пункт 1.2 проекта).</w:t>
      </w:r>
    </w:p>
    <w:p w:rsidR="00D534E1" w:rsidRPr="00841743" w:rsidRDefault="00D534E1" w:rsidP="00D534E1">
      <w:pPr>
        <w:pStyle w:val="ConsPlusNormal"/>
        <w:numPr>
          <w:ilvl w:val="0"/>
          <w:numId w:val="2"/>
        </w:numPr>
        <w:ind w:left="0" w:firstLine="567"/>
        <w:jc w:val="both"/>
        <w:rPr>
          <w:rFonts w:ascii="Times New Roman" w:hAnsi="Times New Roman" w:cs="Times New Roman"/>
          <w:i/>
          <w:sz w:val="27"/>
          <w:szCs w:val="27"/>
        </w:rPr>
      </w:pPr>
      <w:r w:rsidRPr="00841743">
        <w:rPr>
          <w:rFonts w:ascii="Times New Roman" w:hAnsi="Times New Roman" w:cs="Times New Roman"/>
          <w:i/>
          <w:sz w:val="27"/>
          <w:szCs w:val="27"/>
        </w:rPr>
        <w:t>Порядком (в редакции от 01.08.2017 № 68</w:t>
      </w:r>
      <w:r w:rsidR="00D45375">
        <w:rPr>
          <w:rFonts w:ascii="Times New Roman" w:hAnsi="Times New Roman" w:cs="Times New Roman"/>
          <w:i/>
          <w:sz w:val="27"/>
          <w:szCs w:val="27"/>
        </w:rPr>
        <w:t>51</w:t>
      </w:r>
      <w:r w:rsidRPr="00841743">
        <w:rPr>
          <w:rFonts w:ascii="Times New Roman" w:hAnsi="Times New Roman" w:cs="Times New Roman"/>
          <w:i/>
          <w:sz w:val="27"/>
          <w:szCs w:val="27"/>
        </w:rPr>
        <w:t xml:space="preserve">) </w:t>
      </w:r>
      <w:r w:rsidRPr="00841743">
        <w:rPr>
          <w:rFonts w:ascii="Times New Roman" w:hAnsi="Times New Roman" w:cs="Times New Roman"/>
          <w:i/>
          <w:sz w:val="28"/>
          <w:szCs w:val="28"/>
        </w:rPr>
        <w:t xml:space="preserve">дается право </w:t>
      </w:r>
      <w:r w:rsidRPr="00841743">
        <w:rPr>
          <w:rFonts w:ascii="Times New Roman" w:hAnsi="Times New Roman" w:cs="Times New Roman"/>
          <w:i/>
          <w:sz w:val="28"/>
          <w:szCs w:val="28"/>
        </w:rPr>
        <w:br/>
      </w:r>
      <w:r w:rsidR="00F90F04">
        <w:rPr>
          <w:rFonts w:ascii="Times New Roman" w:hAnsi="Times New Roman" w:cs="Times New Roman"/>
          <w:i/>
          <w:sz w:val="28"/>
          <w:szCs w:val="28"/>
        </w:rPr>
        <w:t xml:space="preserve">получателю субсидии </w:t>
      </w:r>
      <w:r w:rsidRPr="00841743">
        <w:rPr>
          <w:rFonts w:ascii="Times New Roman" w:hAnsi="Times New Roman" w:cs="Times New Roman"/>
          <w:i/>
          <w:sz w:val="28"/>
          <w:szCs w:val="28"/>
        </w:rPr>
        <w:t>на п</w:t>
      </w:r>
      <w:r w:rsidR="00F90F04">
        <w:rPr>
          <w:rFonts w:ascii="Times New Roman" w:hAnsi="Times New Roman" w:cs="Times New Roman"/>
          <w:i/>
          <w:sz w:val="28"/>
          <w:szCs w:val="28"/>
        </w:rPr>
        <w:t>олучени</w:t>
      </w:r>
      <w:r w:rsidRPr="00841743">
        <w:rPr>
          <w:rFonts w:ascii="Times New Roman" w:hAnsi="Times New Roman" w:cs="Times New Roman"/>
          <w:i/>
          <w:sz w:val="28"/>
          <w:szCs w:val="28"/>
        </w:rPr>
        <w:t>е субсидии при условии наличия</w:t>
      </w:r>
      <w:r w:rsidR="00F90F04">
        <w:rPr>
          <w:rFonts w:ascii="Times New Roman" w:hAnsi="Times New Roman" w:cs="Times New Roman"/>
          <w:i/>
          <w:sz w:val="28"/>
          <w:szCs w:val="28"/>
        </w:rPr>
        <w:t xml:space="preserve"> у него</w:t>
      </w:r>
      <w:r w:rsidRPr="00841743">
        <w:rPr>
          <w:rFonts w:ascii="Times New Roman" w:hAnsi="Times New Roman" w:cs="Times New Roman"/>
          <w:i/>
          <w:sz w:val="28"/>
          <w:szCs w:val="28"/>
        </w:rPr>
        <w:t xml:space="preserve"> графика погашения просроченной задолженности перед местным бюджетом, согласованного Администрацией города (абзац второй пункта </w:t>
      </w:r>
      <w:r w:rsidR="00D45375">
        <w:rPr>
          <w:rFonts w:ascii="Times New Roman" w:hAnsi="Times New Roman" w:cs="Times New Roman"/>
          <w:i/>
          <w:sz w:val="28"/>
          <w:szCs w:val="28"/>
        </w:rPr>
        <w:t>4</w:t>
      </w:r>
      <w:r w:rsidRPr="00841743">
        <w:rPr>
          <w:rFonts w:ascii="Times New Roman" w:hAnsi="Times New Roman" w:cs="Times New Roman"/>
          <w:i/>
          <w:sz w:val="28"/>
          <w:szCs w:val="28"/>
        </w:rPr>
        <w:t xml:space="preserve"> Порядка). Проектом уточняется ответственное лицо Администрации города – главный администратор доходов бюджета </w:t>
      </w:r>
      <w:r w:rsidR="00F90F04">
        <w:rPr>
          <w:rFonts w:ascii="Times New Roman" w:hAnsi="Times New Roman" w:cs="Times New Roman"/>
          <w:i/>
          <w:sz w:val="28"/>
          <w:szCs w:val="28"/>
        </w:rPr>
        <w:t xml:space="preserve">с целью приведения в соответствие БК РФ </w:t>
      </w:r>
      <w:r w:rsidRPr="00841743">
        <w:rPr>
          <w:rFonts w:ascii="Times New Roman" w:hAnsi="Times New Roman" w:cs="Times New Roman"/>
          <w:i/>
          <w:sz w:val="28"/>
          <w:szCs w:val="28"/>
        </w:rPr>
        <w:t>(</w:t>
      </w:r>
      <w:r w:rsidR="00D45375">
        <w:rPr>
          <w:rFonts w:ascii="Times New Roman" w:hAnsi="Times New Roman" w:cs="Times New Roman"/>
          <w:i/>
          <w:sz w:val="28"/>
          <w:szCs w:val="28"/>
        </w:rPr>
        <w:t xml:space="preserve">абзац второй </w:t>
      </w:r>
      <w:r w:rsidRPr="00841743">
        <w:rPr>
          <w:rFonts w:ascii="Times New Roman" w:hAnsi="Times New Roman" w:cs="Times New Roman"/>
          <w:i/>
          <w:sz w:val="28"/>
          <w:szCs w:val="28"/>
        </w:rPr>
        <w:t>п</w:t>
      </w:r>
      <w:r>
        <w:rPr>
          <w:rFonts w:ascii="Times New Roman" w:hAnsi="Times New Roman" w:cs="Times New Roman"/>
          <w:i/>
          <w:sz w:val="28"/>
          <w:szCs w:val="28"/>
        </w:rPr>
        <w:t>ункта 1.</w:t>
      </w:r>
      <w:r w:rsidR="00D45375">
        <w:rPr>
          <w:rFonts w:ascii="Times New Roman" w:hAnsi="Times New Roman" w:cs="Times New Roman"/>
          <w:i/>
          <w:sz w:val="28"/>
          <w:szCs w:val="28"/>
        </w:rPr>
        <w:t>1</w:t>
      </w:r>
      <w:r w:rsidRPr="00841743">
        <w:rPr>
          <w:rFonts w:ascii="Times New Roman" w:hAnsi="Times New Roman" w:cs="Times New Roman"/>
          <w:i/>
          <w:sz w:val="28"/>
          <w:szCs w:val="28"/>
        </w:rPr>
        <w:t xml:space="preserve"> проекта).</w:t>
      </w:r>
    </w:p>
    <w:p w:rsidR="00D534E1" w:rsidRPr="00841743" w:rsidRDefault="00D534E1" w:rsidP="00D45375">
      <w:pPr>
        <w:pStyle w:val="ConsPlusNormal"/>
        <w:numPr>
          <w:ilvl w:val="0"/>
          <w:numId w:val="2"/>
        </w:numPr>
        <w:ind w:left="0" w:firstLine="567"/>
        <w:jc w:val="both"/>
        <w:rPr>
          <w:rFonts w:ascii="Times New Roman" w:hAnsi="Times New Roman" w:cs="Times New Roman"/>
          <w:i/>
          <w:sz w:val="28"/>
          <w:szCs w:val="28"/>
        </w:rPr>
      </w:pPr>
      <w:r w:rsidRPr="00841743">
        <w:rPr>
          <w:rFonts w:ascii="Times New Roman" w:hAnsi="Times New Roman" w:cs="Times New Roman"/>
          <w:i/>
          <w:sz w:val="28"/>
          <w:szCs w:val="28"/>
        </w:rPr>
        <w:lastRenderedPageBreak/>
        <w:t xml:space="preserve">В связи с введением в Порядке наличия графика погашения просроченной задолженности перед местным бюджетом, с целью осуществления контроля за погашением задолженности и </w:t>
      </w:r>
      <w:r w:rsidR="00CE72BE">
        <w:rPr>
          <w:rFonts w:ascii="Times New Roman" w:hAnsi="Times New Roman" w:cs="Times New Roman"/>
          <w:i/>
          <w:sz w:val="28"/>
          <w:szCs w:val="28"/>
        </w:rPr>
        <w:t>повышением</w:t>
      </w:r>
      <w:r w:rsidRPr="00841743">
        <w:rPr>
          <w:rFonts w:ascii="Times New Roman" w:hAnsi="Times New Roman" w:cs="Times New Roman"/>
          <w:i/>
          <w:sz w:val="28"/>
          <w:szCs w:val="28"/>
        </w:rPr>
        <w:t xml:space="preserve"> ответственности получателя субсидии пункт об основаниях в отказе предоставления субсидии по факту оказания услуги (пункт </w:t>
      </w:r>
      <w:r>
        <w:rPr>
          <w:rFonts w:ascii="Times New Roman" w:hAnsi="Times New Roman" w:cs="Times New Roman"/>
          <w:i/>
          <w:sz w:val="28"/>
          <w:szCs w:val="28"/>
        </w:rPr>
        <w:t>1</w:t>
      </w:r>
      <w:r w:rsidR="00D45375">
        <w:rPr>
          <w:rFonts w:ascii="Times New Roman" w:hAnsi="Times New Roman" w:cs="Times New Roman"/>
          <w:i/>
          <w:sz w:val="28"/>
          <w:szCs w:val="28"/>
        </w:rPr>
        <w:t>8</w:t>
      </w:r>
      <w:r w:rsidRPr="00841743">
        <w:rPr>
          <w:rFonts w:ascii="Times New Roman" w:hAnsi="Times New Roman" w:cs="Times New Roman"/>
          <w:i/>
          <w:sz w:val="28"/>
          <w:szCs w:val="28"/>
        </w:rPr>
        <w:t xml:space="preserve"> раздела </w:t>
      </w:r>
      <w:r w:rsidRPr="00841743">
        <w:rPr>
          <w:rFonts w:ascii="Times New Roman" w:hAnsi="Times New Roman" w:cs="Times New Roman"/>
          <w:i/>
          <w:sz w:val="28"/>
          <w:szCs w:val="28"/>
          <w:lang w:val="en-US"/>
        </w:rPr>
        <w:t>II</w:t>
      </w:r>
      <w:r w:rsidRPr="00841743">
        <w:rPr>
          <w:rFonts w:ascii="Times New Roman" w:hAnsi="Times New Roman" w:cs="Times New Roman"/>
          <w:i/>
          <w:sz w:val="28"/>
          <w:szCs w:val="28"/>
        </w:rPr>
        <w:t>) дополнен основанием – отсутствие оплаты по графику погашения просроченной задолженности перед местным бюджетом (пункт 1.</w:t>
      </w:r>
      <w:r w:rsidR="00D45375">
        <w:rPr>
          <w:rFonts w:ascii="Times New Roman" w:hAnsi="Times New Roman" w:cs="Times New Roman"/>
          <w:i/>
          <w:sz w:val="28"/>
          <w:szCs w:val="28"/>
        </w:rPr>
        <w:t>3</w:t>
      </w:r>
      <w:r w:rsidRPr="00841743">
        <w:rPr>
          <w:rFonts w:ascii="Times New Roman" w:hAnsi="Times New Roman" w:cs="Times New Roman"/>
          <w:i/>
          <w:sz w:val="28"/>
          <w:szCs w:val="28"/>
        </w:rPr>
        <w:t xml:space="preserve"> проекта).</w:t>
      </w:r>
    </w:p>
    <w:p w:rsidR="00D534E1" w:rsidRPr="00D927B8" w:rsidRDefault="00425F0B" w:rsidP="00D534E1">
      <w:pPr>
        <w:pStyle w:val="ConsPlusNormal"/>
        <w:numPr>
          <w:ilvl w:val="0"/>
          <w:numId w:val="2"/>
        </w:numPr>
        <w:ind w:left="0" w:firstLine="500"/>
        <w:jc w:val="both"/>
        <w:rPr>
          <w:rFonts w:ascii="Times New Roman" w:hAnsi="Times New Roman" w:cs="Times New Roman"/>
          <w:i/>
          <w:sz w:val="27"/>
          <w:szCs w:val="27"/>
        </w:rPr>
      </w:pPr>
      <w:r>
        <w:rPr>
          <w:rFonts w:ascii="Times New Roman" w:hAnsi="Times New Roman" w:cs="Times New Roman"/>
          <w:i/>
          <w:sz w:val="27"/>
          <w:szCs w:val="27"/>
        </w:rPr>
        <w:t xml:space="preserve"> </w:t>
      </w:r>
      <w:r w:rsidR="00D534E1" w:rsidRPr="00D927B8">
        <w:rPr>
          <w:rFonts w:ascii="Times New Roman" w:hAnsi="Times New Roman" w:cs="Times New Roman"/>
          <w:i/>
          <w:sz w:val="27"/>
          <w:szCs w:val="27"/>
        </w:rPr>
        <w:t xml:space="preserve">По результатам правового мониторинга установлено, что Порядок предоставления субсидии не соответствуют требованиям БК РФ (в редакции </w:t>
      </w:r>
      <w:r w:rsidR="00D534E1" w:rsidRPr="00D927B8">
        <w:rPr>
          <w:rFonts w:ascii="Times New Roman" w:hAnsi="Times New Roman" w:cs="Times New Roman"/>
          <w:i/>
          <w:sz w:val="27"/>
          <w:szCs w:val="27"/>
        </w:rPr>
        <w:br/>
        <w:t>от 18.07.2017 № 178-ФЗ).</w:t>
      </w:r>
    </w:p>
    <w:p w:rsidR="001604C9" w:rsidRPr="001604C9" w:rsidRDefault="001604C9" w:rsidP="001604C9">
      <w:pPr>
        <w:pStyle w:val="ConsPlusNormal"/>
        <w:ind w:firstLine="500"/>
        <w:jc w:val="both"/>
        <w:rPr>
          <w:rFonts w:ascii="Times New Roman" w:hAnsi="Times New Roman" w:cs="Times New Roman"/>
          <w:i/>
          <w:sz w:val="28"/>
          <w:szCs w:val="28"/>
        </w:rPr>
      </w:pPr>
      <w:r w:rsidRPr="001604C9">
        <w:rPr>
          <w:rFonts w:ascii="Times New Roman" w:hAnsi="Times New Roman" w:cs="Times New Roman"/>
          <w:i/>
          <w:sz w:val="28"/>
          <w:szCs w:val="28"/>
        </w:rPr>
        <w:t>Федеральным законом от 18.07.2017 № 178-ФЗ в подпункт</w:t>
      </w:r>
      <w:r>
        <w:rPr>
          <w:rFonts w:ascii="Times New Roman" w:hAnsi="Times New Roman" w:cs="Times New Roman"/>
          <w:i/>
          <w:sz w:val="28"/>
          <w:szCs w:val="28"/>
        </w:rPr>
        <w:t xml:space="preserve"> 4) пункта 3 статьи 78 БК РФ</w:t>
      </w:r>
      <w:r w:rsidRPr="001604C9">
        <w:rPr>
          <w:rFonts w:ascii="Times New Roman" w:hAnsi="Times New Roman" w:cs="Times New Roman"/>
          <w:i/>
          <w:sz w:val="28"/>
          <w:szCs w:val="28"/>
        </w:rPr>
        <w:t xml:space="preserve"> внесены изменения: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 </w:t>
      </w:r>
      <w:r>
        <w:rPr>
          <w:rFonts w:ascii="Times New Roman" w:hAnsi="Times New Roman" w:cs="Times New Roman"/>
          <w:i/>
          <w:sz w:val="28"/>
          <w:szCs w:val="28"/>
        </w:rPr>
        <w:t>Общими требованиями</w:t>
      </w:r>
      <w:r w:rsidRPr="001604C9">
        <w:rPr>
          <w:rFonts w:ascii="Times New Roman" w:hAnsi="Times New Roman" w:cs="Times New Roman"/>
          <w:i/>
          <w:sz w:val="28"/>
          <w:szCs w:val="28"/>
        </w:rPr>
        <w:t xml:space="preserve"> от 06.09.2017 № 887 для правовых актов, регулирующих предоставление субсидии на возмещение затрат, случай возврата остатков субсидий </w:t>
      </w:r>
      <w:r w:rsidR="000C0765">
        <w:rPr>
          <w:rFonts w:ascii="Times New Roman" w:hAnsi="Times New Roman" w:cs="Times New Roman"/>
          <w:i/>
          <w:sz w:val="28"/>
          <w:szCs w:val="28"/>
        </w:rPr>
        <w:br/>
      </w:r>
      <w:r w:rsidRPr="001604C9">
        <w:rPr>
          <w:rFonts w:ascii="Times New Roman" w:hAnsi="Times New Roman" w:cs="Times New Roman"/>
          <w:i/>
          <w:sz w:val="28"/>
          <w:szCs w:val="28"/>
        </w:rPr>
        <w:t>не установлен. Данное требование так же не предусмотрено типовой формой соглашения.</w:t>
      </w:r>
    </w:p>
    <w:p w:rsidR="001604C9" w:rsidRPr="001604C9" w:rsidRDefault="001604C9" w:rsidP="001604C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Подпункт 1.1 раздела </w:t>
      </w:r>
      <w:r>
        <w:rPr>
          <w:rFonts w:ascii="Times New Roman" w:hAnsi="Times New Roman" w:cs="Times New Roman"/>
          <w:i/>
          <w:sz w:val="28"/>
          <w:szCs w:val="28"/>
          <w:lang w:val="en-US"/>
        </w:rPr>
        <w:t>IV</w:t>
      </w:r>
      <w:r>
        <w:rPr>
          <w:rFonts w:ascii="Times New Roman" w:hAnsi="Times New Roman" w:cs="Times New Roman"/>
          <w:i/>
          <w:sz w:val="28"/>
          <w:szCs w:val="28"/>
        </w:rPr>
        <w:t xml:space="preserve"> Порядка </w:t>
      </w:r>
      <w:r w:rsidRPr="001604C9">
        <w:rPr>
          <w:rFonts w:ascii="Times New Roman" w:hAnsi="Times New Roman" w:cs="Times New Roman"/>
          <w:i/>
          <w:sz w:val="28"/>
          <w:szCs w:val="28"/>
        </w:rPr>
        <w:t>исключается с целью 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 № 08-ПО-15/17-0 (пункт 1.7 проекта).</w:t>
      </w:r>
    </w:p>
    <w:p w:rsidR="00233AC1" w:rsidRDefault="00233AC1" w:rsidP="00233AC1">
      <w:pPr>
        <w:widowControl w:val="0"/>
        <w:autoSpaceDE w:val="0"/>
        <w:autoSpaceDN w:val="0"/>
        <w:adjustRightInd w:val="0"/>
        <w:ind w:firstLine="567"/>
        <w:jc w:val="both"/>
      </w:pPr>
      <w:r w:rsidRPr="00397000">
        <w:t>3. Цели предлагаемого правового регулирования:</w:t>
      </w:r>
    </w:p>
    <w:p w:rsidR="00BA322F" w:rsidRDefault="00BA322F" w:rsidP="00233AC1">
      <w:pPr>
        <w:widowControl w:val="0"/>
        <w:autoSpaceDE w:val="0"/>
        <w:autoSpaceDN w:val="0"/>
        <w:adjustRightInd w:val="0"/>
        <w:ind w:firstLine="567"/>
        <w:jc w:val="both"/>
      </w:pPr>
      <w:r>
        <w:rPr>
          <w:i/>
        </w:rPr>
        <w:t xml:space="preserve">Приведение нормативного правового акта, регулирующего предоставление субсидии (Порядка предоставления субсидии), в соответствие </w:t>
      </w:r>
      <w:r w:rsidR="00425F0B">
        <w:rPr>
          <w:i/>
        </w:rPr>
        <w:t>бюджетному законодательству</w:t>
      </w:r>
      <w:r>
        <w:rPr>
          <w:i/>
        </w:rPr>
        <w:t>.</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Pr="00BA322F" w:rsidRDefault="006514DC" w:rsidP="00233AC1">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sidR="00425F0B">
        <w:rPr>
          <w:i/>
        </w:rPr>
        <w:t>,</w:t>
      </w:r>
      <w:r w:rsidRPr="00BA322F">
        <w:rPr>
          <w:i/>
        </w:rPr>
        <w:t xml:space="preserve"> индивидуальные предприниматели,</w:t>
      </w:r>
      <w:r w:rsidR="00943675" w:rsidRPr="00943675">
        <w:rPr>
          <w:i/>
        </w:rPr>
        <w:t xml:space="preserve"> </w:t>
      </w:r>
      <w:r w:rsidR="00D45375">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w:t>
      </w:r>
    </w:p>
    <w:p w:rsidR="00233AC1" w:rsidRPr="004D0BC9" w:rsidRDefault="00233AC1" w:rsidP="00233AC1">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425F0B" w:rsidRDefault="00425F0B" w:rsidP="00425F0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18.07.2017 № 178-ФЗ)</w:t>
      </w:r>
    </w:p>
    <w:p w:rsidR="004D0BC9" w:rsidRPr="00BA322F" w:rsidRDefault="004D0BC9" w:rsidP="004D0BC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8340E0">
        <w:rPr>
          <w:rFonts w:ascii="Times New Roman" w:hAnsi="Times New Roman" w:cs="Times New Roman"/>
          <w:i/>
          <w:sz w:val="27"/>
          <w:szCs w:val="27"/>
        </w:rPr>
        <w:t>в редакции от 18.05.2017 № 592)</w:t>
      </w:r>
    </w:p>
    <w:p w:rsidR="00233AC1" w:rsidRPr="004D0BC9" w:rsidRDefault="00233AC1" w:rsidP="00233AC1">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rsidR="004D0BC9">
        <w:t xml:space="preserve"> </w:t>
      </w:r>
      <w:r w:rsidR="008340E0">
        <w:rPr>
          <w:i/>
        </w:rPr>
        <w:t xml:space="preserve">после официального опубликования постановления Администрации города </w:t>
      </w:r>
      <w:r w:rsidR="008340E0" w:rsidRPr="00BA322F">
        <w:rPr>
          <w:i/>
        </w:rPr>
        <w:t>«</w:t>
      </w:r>
      <w:r w:rsidR="008340E0" w:rsidRPr="00BA322F">
        <w:rPr>
          <w:bCs/>
          <w:i/>
        </w:rPr>
        <w:t>О внесении изменений в постановление Администрации города от</w:t>
      </w:r>
      <w:r w:rsidR="00D45375">
        <w:rPr>
          <w:bCs/>
          <w:i/>
        </w:rPr>
        <w:t xml:space="preserve"> </w:t>
      </w:r>
      <w:r w:rsidR="00F843D7" w:rsidRPr="00D45375">
        <w:rPr>
          <w:i/>
        </w:rPr>
        <w:lastRenderedPageBreak/>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007B5660">
        <w:rPr>
          <w:i/>
        </w:rPr>
        <w:t>.</w:t>
      </w:r>
    </w:p>
    <w:p w:rsidR="00233AC1" w:rsidRPr="004D0BC9" w:rsidRDefault="00233AC1" w:rsidP="004D0BC9">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rsidR="004D0BC9">
        <w:t xml:space="preserve"> </w:t>
      </w:r>
      <w:r w:rsidR="004D0BC9" w:rsidRPr="004D0BC9">
        <w:rPr>
          <w:i/>
        </w:rPr>
        <w:t>необходимость в установлении переходного периода отсутствует</w:t>
      </w:r>
      <w:r w:rsidR="004D0BC9">
        <w:rPr>
          <w:i/>
        </w:rPr>
        <w:t>.</w:t>
      </w:r>
    </w:p>
    <w:p w:rsidR="00233AC1" w:rsidRDefault="00233AC1" w:rsidP="00233AC1">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662DB8" w:rsidTr="004D0BC9">
        <w:tc>
          <w:tcPr>
            <w:tcW w:w="2329" w:type="dxa"/>
          </w:tcPr>
          <w:p w:rsidR="00233AC1" w:rsidRDefault="00233AC1" w:rsidP="00BD7902">
            <w:pPr>
              <w:widowControl w:val="0"/>
              <w:autoSpaceDE w:val="0"/>
              <w:autoSpaceDN w:val="0"/>
              <w:adjustRightInd w:val="0"/>
              <w:jc w:val="center"/>
            </w:pPr>
            <w:r w:rsidRPr="00A37C70">
              <w:t>Наименование</w:t>
            </w:r>
          </w:p>
        </w:tc>
        <w:tc>
          <w:tcPr>
            <w:tcW w:w="2111" w:type="dxa"/>
            <w:gridSpan w:val="2"/>
          </w:tcPr>
          <w:p w:rsidR="00233AC1" w:rsidRDefault="00233AC1" w:rsidP="00BD7902">
            <w:pPr>
              <w:widowControl w:val="0"/>
              <w:autoSpaceDE w:val="0"/>
              <w:autoSpaceDN w:val="0"/>
              <w:adjustRightInd w:val="0"/>
              <w:jc w:val="center"/>
            </w:pPr>
            <w:r w:rsidRPr="00A37C70">
              <w:t>Вариант</w:t>
            </w:r>
          </w:p>
          <w:p w:rsidR="00233AC1" w:rsidRDefault="00233AC1" w:rsidP="00BD7902">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233AC1" w:rsidRDefault="00233AC1" w:rsidP="00BD7902">
            <w:pPr>
              <w:widowControl w:val="0"/>
              <w:autoSpaceDE w:val="0"/>
              <w:autoSpaceDN w:val="0"/>
              <w:adjustRightInd w:val="0"/>
              <w:jc w:val="center"/>
            </w:pPr>
            <w:r w:rsidRPr="00A37C70">
              <w:t>Вариант 2</w:t>
            </w:r>
          </w:p>
          <w:p w:rsidR="00233AC1" w:rsidRDefault="00233AC1" w:rsidP="00BD7902">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233AC1" w:rsidRDefault="00233AC1" w:rsidP="00BD7902">
            <w:pPr>
              <w:widowControl w:val="0"/>
              <w:autoSpaceDE w:val="0"/>
              <w:autoSpaceDN w:val="0"/>
              <w:adjustRightInd w:val="0"/>
              <w:jc w:val="center"/>
            </w:pPr>
            <w:r w:rsidRPr="00A37C70">
              <w:t xml:space="preserve">Вариант </w:t>
            </w:r>
            <w:r w:rsidR="00462105">
              <w:t>3</w:t>
            </w:r>
          </w:p>
          <w:p w:rsidR="00233AC1" w:rsidRDefault="00233AC1" w:rsidP="00BD7902">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233AC1" w:rsidRDefault="00233AC1" w:rsidP="00BD7902">
            <w:pPr>
              <w:widowControl w:val="0"/>
              <w:autoSpaceDE w:val="0"/>
              <w:autoSpaceDN w:val="0"/>
              <w:adjustRightInd w:val="0"/>
              <w:jc w:val="center"/>
            </w:pPr>
            <w:proofErr w:type="gramStart"/>
            <w:r w:rsidRPr="00A37C70">
              <w:t>регулирования</w:t>
            </w:r>
            <w:proofErr w:type="gramEnd"/>
            <w:r w:rsidRPr="00A37C70">
              <w:t>)</w:t>
            </w:r>
          </w:p>
        </w:tc>
      </w:tr>
      <w:tr w:rsidR="00662DB8" w:rsidTr="004D0BC9">
        <w:tc>
          <w:tcPr>
            <w:tcW w:w="2329" w:type="dxa"/>
          </w:tcPr>
          <w:p w:rsidR="00233AC1" w:rsidRDefault="00233AC1" w:rsidP="00231B1A">
            <w:pPr>
              <w:widowControl w:val="0"/>
              <w:autoSpaceDE w:val="0"/>
              <w:autoSpaceDN w:val="0"/>
              <w:adjustRightInd w:val="0"/>
            </w:pPr>
            <w:r w:rsidRPr="00A37C70">
              <w:t xml:space="preserve">8.1. Содержание </w:t>
            </w:r>
          </w:p>
          <w:p w:rsidR="00233AC1" w:rsidRDefault="00233AC1" w:rsidP="00231B1A">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233AC1" w:rsidRDefault="00233AC1" w:rsidP="00231B1A">
            <w:pPr>
              <w:widowControl w:val="0"/>
              <w:autoSpaceDE w:val="0"/>
              <w:autoSpaceDN w:val="0"/>
              <w:adjustRightInd w:val="0"/>
              <w:jc w:val="center"/>
            </w:pPr>
          </w:p>
        </w:tc>
        <w:tc>
          <w:tcPr>
            <w:tcW w:w="3000" w:type="dxa"/>
            <w:gridSpan w:val="2"/>
          </w:tcPr>
          <w:p w:rsidR="00233AC1" w:rsidRPr="00B30120" w:rsidRDefault="00B30120" w:rsidP="00231B1A">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233AC1" w:rsidRDefault="00233AC1" w:rsidP="00231B1A">
            <w:pPr>
              <w:widowControl w:val="0"/>
              <w:autoSpaceDE w:val="0"/>
              <w:autoSpaceDN w:val="0"/>
              <w:adjustRightInd w:val="0"/>
            </w:pPr>
          </w:p>
        </w:tc>
      </w:tr>
      <w:tr w:rsidR="00662DB8" w:rsidTr="004D0BC9">
        <w:tc>
          <w:tcPr>
            <w:tcW w:w="2329" w:type="dxa"/>
          </w:tcPr>
          <w:p w:rsidR="00233AC1" w:rsidRDefault="00233AC1" w:rsidP="00231B1A">
            <w:pPr>
              <w:widowControl w:val="0"/>
              <w:autoSpaceDE w:val="0"/>
              <w:autoSpaceDN w:val="0"/>
              <w:adjustRightInd w:val="0"/>
            </w:pPr>
            <w:r w:rsidRPr="00A37C70">
              <w:t xml:space="preserve">8.2. Качественная характеристика и оценка динамики численности </w:t>
            </w:r>
          </w:p>
          <w:p w:rsidR="00233AC1" w:rsidRDefault="00233AC1" w:rsidP="00231B1A">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233AC1" w:rsidRDefault="00233AC1" w:rsidP="00231B1A">
            <w:pPr>
              <w:widowControl w:val="0"/>
              <w:autoSpaceDE w:val="0"/>
              <w:autoSpaceDN w:val="0"/>
              <w:adjustRightInd w:val="0"/>
              <w:jc w:val="center"/>
            </w:pPr>
          </w:p>
        </w:tc>
        <w:tc>
          <w:tcPr>
            <w:tcW w:w="3000" w:type="dxa"/>
            <w:gridSpan w:val="2"/>
          </w:tcPr>
          <w:p w:rsidR="00233AC1" w:rsidRPr="00B30120" w:rsidRDefault="00F843D7" w:rsidP="007B5660">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sidRPr="00943675">
              <w:rPr>
                <w:i/>
              </w:rPr>
              <w:t xml:space="preserve"> </w:t>
            </w:r>
            <w:r>
              <w:rPr>
                <w:i/>
              </w:rPr>
              <w:t>являющиеся организацией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w:t>
            </w:r>
            <w:r>
              <w:rPr>
                <w:i/>
              </w:rPr>
              <w:t xml:space="preserve"> (2017-2019г.г. -1)</w:t>
            </w:r>
          </w:p>
        </w:tc>
        <w:tc>
          <w:tcPr>
            <w:tcW w:w="2353" w:type="dxa"/>
          </w:tcPr>
          <w:p w:rsidR="00233AC1" w:rsidRDefault="00233AC1" w:rsidP="00231B1A">
            <w:pPr>
              <w:widowControl w:val="0"/>
              <w:autoSpaceDE w:val="0"/>
              <w:autoSpaceDN w:val="0"/>
              <w:adjustRightInd w:val="0"/>
              <w:jc w:val="center"/>
            </w:pPr>
          </w:p>
        </w:tc>
      </w:tr>
      <w:tr w:rsidR="00662DB8" w:rsidTr="004D0BC9">
        <w:tc>
          <w:tcPr>
            <w:tcW w:w="2329" w:type="dxa"/>
          </w:tcPr>
          <w:p w:rsidR="00233AC1" w:rsidRDefault="00233AC1" w:rsidP="00231B1A">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233AC1" w:rsidRDefault="00662DB8" w:rsidP="00231B1A">
            <w:pPr>
              <w:widowControl w:val="0"/>
              <w:autoSpaceDE w:val="0"/>
              <w:autoSpaceDN w:val="0"/>
              <w:adjustRightInd w:val="0"/>
              <w:jc w:val="center"/>
            </w:pPr>
            <w:r>
              <w:t>-</w:t>
            </w:r>
          </w:p>
        </w:tc>
        <w:tc>
          <w:tcPr>
            <w:tcW w:w="3000" w:type="dxa"/>
            <w:gridSpan w:val="2"/>
          </w:tcPr>
          <w:p w:rsidR="00233AC1" w:rsidRPr="0063180D" w:rsidRDefault="00F843D7" w:rsidP="00F843D7">
            <w:pPr>
              <w:widowControl w:val="0"/>
              <w:autoSpaceDE w:val="0"/>
              <w:autoSpaceDN w:val="0"/>
              <w:adjustRightInd w:val="0"/>
              <w:rPr>
                <w:i/>
              </w:rPr>
            </w:pPr>
            <w:r>
              <w:rPr>
                <w:i/>
              </w:rPr>
              <w:t>Внесение изменений в Порядок предоставления субсидии не устанавливает дополнительных расходов</w:t>
            </w:r>
            <w:bookmarkStart w:id="0" w:name="_GoBack"/>
            <w:bookmarkEnd w:id="0"/>
            <w:r>
              <w:rPr>
                <w:i/>
              </w:rPr>
              <w:t xml:space="preserve"> получателей субсидии</w:t>
            </w:r>
          </w:p>
        </w:tc>
        <w:tc>
          <w:tcPr>
            <w:tcW w:w="2353" w:type="dxa"/>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lastRenderedPageBreak/>
              <w:t xml:space="preserve">8.4. Оценка расходов (доходов) бюджета </w:t>
            </w:r>
          </w:p>
          <w:p w:rsidR="00233AC1" w:rsidRDefault="00233AC1" w:rsidP="00231B1A">
            <w:pPr>
              <w:widowControl w:val="0"/>
              <w:autoSpaceDE w:val="0"/>
              <w:autoSpaceDN w:val="0"/>
              <w:adjustRightInd w:val="0"/>
            </w:pPr>
            <w:proofErr w:type="gramStart"/>
            <w:r w:rsidRPr="00A37C70">
              <w:t>города</w:t>
            </w:r>
            <w:proofErr w:type="gramEnd"/>
            <w:r w:rsidRPr="00A37C70">
              <w:t xml:space="preserve">,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63180D" w:rsidRDefault="0063180D" w:rsidP="00D822AD">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233AC1" w:rsidRDefault="00233AC1" w:rsidP="0096108F">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804CB2" w:rsidRDefault="00804CB2" w:rsidP="00804CB2">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w:t>
            </w:r>
            <w:r w:rsidR="00462105" w:rsidRPr="00804CB2">
              <w:rPr>
                <w:i/>
              </w:rPr>
              <w:t xml:space="preserve">обеспечит достижение </w:t>
            </w:r>
            <w:r w:rsidRPr="00804CB2">
              <w:rPr>
                <w:i/>
              </w:rPr>
              <w:t>заявленной цели</w:t>
            </w:r>
          </w:p>
        </w:tc>
        <w:tc>
          <w:tcPr>
            <w:tcW w:w="2384" w:type="dxa"/>
            <w:gridSpan w:val="2"/>
          </w:tcPr>
          <w:p w:rsidR="00233AC1" w:rsidRDefault="00462105" w:rsidP="00231B1A">
            <w:pPr>
              <w:widowControl w:val="0"/>
              <w:autoSpaceDE w:val="0"/>
              <w:autoSpaceDN w:val="0"/>
              <w:adjustRightInd w:val="0"/>
              <w:jc w:val="center"/>
            </w:pPr>
            <w:r>
              <w:t>-</w:t>
            </w:r>
          </w:p>
        </w:tc>
      </w:tr>
      <w:tr w:rsidR="00462105" w:rsidTr="004D0BC9">
        <w:tc>
          <w:tcPr>
            <w:tcW w:w="2329" w:type="dxa"/>
          </w:tcPr>
          <w:p w:rsidR="00462105" w:rsidRDefault="00462105" w:rsidP="00BD7902">
            <w:pPr>
              <w:widowControl w:val="0"/>
              <w:autoSpaceDE w:val="0"/>
              <w:autoSpaceDN w:val="0"/>
              <w:adjustRightInd w:val="0"/>
            </w:pPr>
            <w:r w:rsidRPr="00A37C70">
              <w:t xml:space="preserve">8.6. Оценка рисков </w:t>
            </w:r>
          </w:p>
          <w:p w:rsidR="00462105" w:rsidRDefault="00462105" w:rsidP="00BD7902">
            <w:pPr>
              <w:widowControl w:val="0"/>
              <w:autoSpaceDE w:val="0"/>
              <w:autoSpaceDN w:val="0"/>
              <w:adjustRightInd w:val="0"/>
            </w:pPr>
            <w:proofErr w:type="gramStart"/>
            <w:r w:rsidRPr="00A37C70">
              <w:t>неблагоприятных</w:t>
            </w:r>
            <w:proofErr w:type="gramEnd"/>
            <w:r w:rsidRPr="00A37C70">
              <w:t xml:space="preserve"> </w:t>
            </w:r>
          </w:p>
          <w:p w:rsidR="00462105" w:rsidRDefault="00462105" w:rsidP="00BD7902">
            <w:pPr>
              <w:widowControl w:val="0"/>
              <w:autoSpaceDE w:val="0"/>
              <w:autoSpaceDN w:val="0"/>
              <w:adjustRightInd w:val="0"/>
            </w:pPr>
            <w:proofErr w:type="gramStart"/>
            <w:r w:rsidRPr="00A37C70">
              <w:t>последствий</w:t>
            </w:r>
            <w:proofErr w:type="gramEnd"/>
          </w:p>
        </w:tc>
        <w:tc>
          <w:tcPr>
            <w:tcW w:w="2097" w:type="dxa"/>
          </w:tcPr>
          <w:p w:rsidR="00462105" w:rsidRDefault="00462105" w:rsidP="00231B1A">
            <w:pPr>
              <w:widowControl w:val="0"/>
              <w:autoSpaceDE w:val="0"/>
              <w:autoSpaceDN w:val="0"/>
              <w:adjustRightInd w:val="0"/>
              <w:jc w:val="center"/>
            </w:pPr>
            <w:r>
              <w:t>-</w:t>
            </w:r>
          </w:p>
        </w:tc>
        <w:tc>
          <w:tcPr>
            <w:tcW w:w="2983" w:type="dxa"/>
            <w:gridSpan w:val="2"/>
          </w:tcPr>
          <w:p w:rsidR="00462105" w:rsidRPr="00CF275C" w:rsidRDefault="00804CB2" w:rsidP="00804CB2">
            <w:r>
              <w:rPr>
                <w:i/>
              </w:rPr>
              <w:t>Нарушение законодательства по результатам правового мониторинга, антикоррупционных экспертиз и др.</w:t>
            </w:r>
          </w:p>
        </w:tc>
        <w:tc>
          <w:tcPr>
            <w:tcW w:w="2384" w:type="dxa"/>
            <w:gridSpan w:val="2"/>
          </w:tcPr>
          <w:p w:rsidR="00462105" w:rsidRPr="00CF275C" w:rsidRDefault="00462105" w:rsidP="00231B1A">
            <w:pPr>
              <w:jc w:val="center"/>
            </w:pPr>
            <w:r>
              <w:t>-</w:t>
            </w:r>
          </w:p>
        </w:tc>
      </w:tr>
    </w:tbl>
    <w:p w:rsidR="00233AC1" w:rsidRPr="00397000" w:rsidRDefault="00233AC1" w:rsidP="00233AC1">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233AC1" w:rsidRPr="00804CB2" w:rsidRDefault="00CE72BE" w:rsidP="00233AC1">
      <w:pPr>
        <w:widowControl w:val="0"/>
        <w:autoSpaceDE w:val="0"/>
        <w:autoSpaceDN w:val="0"/>
        <w:adjustRightInd w:val="0"/>
        <w:jc w:val="both"/>
        <w:rPr>
          <w:i/>
        </w:rPr>
      </w:pPr>
      <w:proofErr w:type="gramStart"/>
      <w:r>
        <w:rPr>
          <w:i/>
        </w:rPr>
        <w:t>предлагаемый</w:t>
      </w:r>
      <w:proofErr w:type="gramEnd"/>
      <w:r>
        <w:rPr>
          <w:i/>
        </w:rPr>
        <w:t xml:space="preserve"> вариант</w:t>
      </w:r>
      <w:r w:rsidR="00462105" w:rsidRPr="00804CB2">
        <w:rPr>
          <w:i/>
        </w:rPr>
        <w:t xml:space="preserve"> решения проблемы отвечает положениям </w:t>
      </w:r>
      <w:r w:rsidR="004C1471">
        <w:rPr>
          <w:i/>
        </w:rPr>
        <w:t>действующего</w:t>
      </w:r>
      <w:r w:rsidR="00462105" w:rsidRPr="00804CB2">
        <w:rPr>
          <w:i/>
        </w:rPr>
        <w:t xml:space="preserve"> законодательства и полностью обеспечивают достижение за</w:t>
      </w:r>
      <w:r w:rsidR="00804CB2">
        <w:rPr>
          <w:i/>
        </w:rPr>
        <w:t>явленной цели регулирования.</w:t>
      </w:r>
    </w:p>
    <w:p w:rsidR="00233AC1" w:rsidRDefault="00233AC1" w:rsidP="00EB295D">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rsidR="00EB295D">
        <w:t xml:space="preserve"> </w:t>
      </w:r>
      <w:r w:rsidRPr="00397000">
        <w:t>о подготовке проекта муниципального нормативного правового акта:</w:t>
      </w:r>
      <w:r w:rsidR="00EB295D">
        <w:t xml:space="preserve"> </w:t>
      </w:r>
      <w:r w:rsidR="00EB295D" w:rsidRPr="00804CB2">
        <w:rPr>
          <w:i/>
        </w:rPr>
        <w:t>отсутствует</w:t>
      </w:r>
    </w:p>
    <w:p w:rsidR="00804CB2" w:rsidRPr="00804CB2" w:rsidRDefault="00804CB2" w:rsidP="00EB295D">
      <w:pPr>
        <w:widowControl w:val="0"/>
        <w:autoSpaceDE w:val="0"/>
        <w:autoSpaceDN w:val="0"/>
        <w:adjustRightInd w:val="0"/>
        <w:ind w:firstLine="567"/>
        <w:jc w:val="both"/>
        <w:rPr>
          <w:i/>
        </w:rPr>
      </w:pPr>
    </w:p>
    <w:p w:rsidR="00233AC1" w:rsidRPr="00397000" w:rsidRDefault="00233AC1" w:rsidP="00233AC1">
      <w:pPr>
        <w:widowControl w:val="0"/>
        <w:autoSpaceDE w:val="0"/>
        <w:autoSpaceDN w:val="0"/>
        <w:adjustRightInd w:val="0"/>
        <w:ind w:firstLine="567"/>
        <w:jc w:val="both"/>
      </w:pPr>
      <w:r w:rsidRPr="00397000">
        <w:t>К уведомлению прилагаются:</w:t>
      </w:r>
    </w:p>
    <w:p w:rsidR="00233AC1" w:rsidRPr="00397000" w:rsidRDefault="00233AC1" w:rsidP="00233AC1">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233AC1" w:rsidRPr="00397000" w:rsidRDefault="00233AC1" w:rsidP="00233AC1">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rsidR="00CE72BE">
        <w:t xml:space="preserve"> с приложениями</w:t>
      </w:r>
      <w:r>
        <w:t>.</w:t>
      </w:r>
    </w:p>
    <w:p w:rsidR="00233AC1" w:rsidRPr="00397000" w:rsidRDefault="00233AC1" w:rsidP="00233AC1">
      <w:pPr>
        <w:widowControl w:val="0"/>
        <w:autoSpaceDE w:val="0"/>
        <w:autoSpaceDN w:val="0"/>
        <w:adjustRightInd w:val="0"/>
        <w:jc w:val="both"/>
      </w:pPr>
    </w:p>
    <w:p w:rsidR="003B3D04" w:rsidRPr="00233AC1" w:rsidRDefault="003B3D04" w:rsidP="00233AC1"/>
    <w:sectPr w:rsidR="003B3D04" w:rsidRPr="00233AC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23" w:rsidRDefault="00E72323">
      <w:r>
        <w:separator/>
      </w:r>
    </w:p>
  </w:endnote>
  <w:endnote w:type="continuationSeparator" w:id="0">
    <w:p w:rsidR="00E72323" w:rsidRDefault="00E7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23" w:rsidRDefault="00E72323">
      <w:r>
        <w:separator/>
      </w:r>
    </w:p>
  </w:footnote>
  <w:footnote w:type="continuationSeparator" w:id="0">
    <w:p w:rsidR="00E72323" w:rsidRDefault="00E7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F843D7">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E723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F07D96"/>
    <w:multiLevelType w:val="hybridMultilevel"/>
    <w:tmpl w:val="5B02CBCE"/>
    <w:lvl w:ilvl="0" w:tplc="BF768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6D251F"/>
    <w:multiLevelType w:val="multilevel"/>
    <w:tmpl w:val="7D9059A4"/>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93713"/>
    <w:rsid w:val="000A6523"/>
    <w:rsid w:val="000C0765"/>
    <w:rsid w:val="001354EC"/>
    <w:rsid w:val="001604C9"/>
    <w:rsid w:val="00161FC8"/>
    <w:rsid w:val="0018032A"/>
    <w:rsid w:val="0018129D"/>
    <w:rsid w:val="00183F41"/>
    <w:rsid w:val="001B3A69"/>
    <w:rsid w:val="002275A6"/>
    <w:rsid w:val="00231B1A"/>
    <w:rsid w:val="00233AC1"/>
    <w:rsid w:val="002938AB"/>
    <w:rsid w:val="002A484C"/>
    <w:rsid w:val="002B7C26"/>
    <w:rsid w:val="002E1F16"/>
    <w:rsid w:val="00364C27"/>
    <w:rsid w:val="003B3D04"/>
    <w:rsid w:val="003B5034"/>
    <w:rsid w:val="003B6894"/>
    <w:rsid w:val="00415AF7"/>
    <w:rsid w:val="00425F0B"/>
    <w:rsid w:val="00462105"/>
    <w:rsid w:val="004C1471"/>
    <w:rsid w:val="004C3AC6"/>
    <w:rsid w:val="004D0BC9"/>
    <w:rsid w:val="0053173B"/>
    <w:rsid w:val="00584BA8"/>
    <w:rsid w:val="00617315"/>
    <w:rsid w:val="0063180D"/>
    <w:rsid w:val="006514DC"/>
    <w:rsid w:val="00662DB8"/>
    <w:rsid w:val="006A5960"/>
    <w:rsid w:val="00734215"/>
    <w:rsid w:val="007A350B"/>
    <w:rsid w:val="007B5660"/>
    <w:rsid w:val="00804CB2"/>
    <w:rsid w:val="00816DBB"/>
    <w:rsid w:val="008340E0"/>
    <w:rsid w:val="00864260"/>
    <w:rsid w:val="00875C5A"/>
    <w:rsid w:val="008967C8"/>
    <w:rsid w:val="008C5191"/>
    <w:rsid w:val="008C7AB3"/>
    <w:rsid w:val="00910DD8"/>
    <w:rsid w:val="00917CA7"/>
    <w:rsid w:val="00943675"/>
    <w:rsid w:val="0096108F"/>
    <w:rsid w:val="009A73DA"/>
    <w:rsid w:val="00A01936"/>
    <w:rsid w:val="00A11554"/>
    <w:rsid w:val="00A26264"/>
    <w:rsid w:val="00A3563D"/>
    <w:rsid w:val="00A544D5"/>
    <w:rsid w:val="00A56981"/>
    <w:rsid w:val="00A577AA"/>
    <w:rsid w:val="00A67A6E"/>
    <w:rsid w:val="00B25EFC"/>
    <w:rsid w:val="00B30120"/>
    <w:rsid w:val="00BA322F"/>
    <w:rsid w:val="00BA7CBA"/>
    <w:rsid w:val="00BC2220"/>
    <w:rsid w:val="00BD1E34"/>
    <w:rsid w:val="00C266E3"/>
    <w:rsid w:val="00C712AA"/>
    <w:rsid w:val="00CE72BE"/>
    <w:rsid w:val="00D0592A"/>
    <w:rsid w:val="00D45375"/>
    <w:rsid w:val="00D534E1"/>
    <w:rsid w:val="00D72F37"/>
    <w:rsid w:val="00D822AD"/>
    <w:rsid w:val="00DD3269"/>
    <w:rsid w:val="00DE6FBD"/>
    <w:rsid w:val="00DF5C5C"/>
    <w:rsid w:val="00E13E3F"/>
    <w:rsid w:val="00E34A66"/>
    <w:rsid w:val="00E40025"/>
    <w:rsid w:val="00E72323"/>
    <w:rsid w:val="00EB295D"/>
    <w:rsid w:val="00F6570C"/>
    <w:rsid w:val="00F843D7"/>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A3563D"/>
    <w:rPr>
      <w:color w:val="0563C1" w:themeColor="hyperlink"/>
      <w:u w:val="single"/>
    </w:rPr>
  </w:style>
  <w:style w:type="character" w:customStyle="1" w:styleId="aa">
    <w:name w:val="Гипертекстовая ссылка"/>
    <w:uiPriority w:val="99"/>
    <w:rsid w:val="00E13E3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rubr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548D-98EB-437C-BA01-6910FA1E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13</cp:revision>
  <cp:lastPrinted>2017-10-11T08:11:00Z</cp:lastPrinted>
  <dcterms:created xsi:type="dcterms:W3CDTF">2017-10-05T04:28:00Z</dcterms:created>
  <dcterms:modified xsi:type="dcterms:W3CDTF">2017-10-13T10:32:00Z</dcterms:modified>
</cp:coreProperties>
</file>