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066CDD" w:rsidRDefault="00233AC1" w:rsidP="008967C8">
      <w:pPr>
        <w:autoSpaceDE w:val="0"/>
        <w:autoSpaceDN w:val="0"/>
        <w:adjustRightInd w:val="0"/>
        <w:jc w:val="both"/>
        <w:rPr>
          <w:bCs/>
          <w:i/>
        </w:rPr>
      </w:pPr>
      <w:r w:rsidRPr="00397000">
        <w:t>извещает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>постановления Администрации города «</w:t>
      </w:r>
      <w:r w:rsidR="008967C8" w:rsidRPr="00BA322F">
        <w:rPr>
          <w:bCs/>
          <w:i/>
        </w:rPr>
        <w:t>О внесении изменений в постановление Администрации города от</w:t>
      </w:r>
      <w:r w:rsidR="00066CDD">
        <w:rPr>
          <w:bCs/>
          <w:i/>
        </w:rPr>
        <w:t xml:space="preserve"> </w:t>
      </w:r>
      <w:r w:rsidR="00066CDD" w:rsidRPr="00066CDD">
        <w:rPr>
          <w:i/>
          <w:sz w:val="26"/>
          <w:szCs w:val="26"/>
        </w:rPr>
        <w:t xml:space="preserve">12.07.2017 № 6042 </w:t>
      </w:r>
      <w:r w:rsidR="00066CDD" w:rsidRPr="00066CDD">
        <w:rPr>
          <w:i/>
          <w:sz w:val="26"/>
          <w:szCs w:val="26"/>
        </w:rPr>
        <w:br/>
        <w:t>«О порядке предоставления субсидии на возмещение части затрат на уплату процентов по привлекаемым заемным средствам для реализации инвестиционных проектов, направленных на энергосбережение и повышение энергетической эффективности в системах коммунальной инфраструктуры и в жилищном фонде»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7000">
        <w:t xml:space="preserve">а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1A7654">
        <w:rPr>
          <w:i/>
        </w:rPr>
        <w:t>31</w:t>
      </w:r>
      <w:r w:rsidRPr="00BA322F">
        <w:rPr>
          <w:i/>
        </w:rPr>
        <w:t>»</w:t>
      </w:r>
      <w:r w:rsidR="001A7654">
        <w:rPr>
          <w:i/>
        </w:rPr>
        <w:t xml:space="preserve"> октября 2</w:t>
      </w:r>
      <w:r w:rsidRPr="00BA322F">
        <w:rPr>
          <w:i/>
        </w:rPr>
        <w:t>0</w:t>
      </w:r>
      <w:r w:rsidR="000203D5" w:rsidRPr="00BA322F">
        <w:rPr>
          <w:i/>
        </w:rPr>
        <w:t xml:space="preserve">17 </w:t>
      </w:r>
      <w:r w:rsidRPr="00BA322F">
        <w:rPr>
          <w:i/>
        </w:rPr>
        <w:t xml:space="preserve">г. </w:t>
      </w:r>
      <w:bookmarkStart w:id="0" w:name="_GoBack"/>
      <w:bookmarkEnd w:id="0"/>
      <w:r w:rsidRPr="00BA322F">
        <w:rPr>
          <w:i/>
        </w:rPr>
        <w:t>по «</w:t>
      </w:r>
      <w:proofErr w:type="gramStart"/>
      <w:r w:rsidR="001A7654">
        <w:rPr>
          <w:i/>
        </w:rPr>
        <w:t>14</w:t>
      </w:r>
      <w:r w:rsidRPr="00BA322F">
        <w:rPr>
          <w:i/>
        </w:rPr>
        <w:t>»</w:t>
      </w:r>
      <w:r w:rsidR="001A7654">
        <w:rPr>
          <w:i/>
        </w:rPr>
        <w:t>ноября</w:t>
      </w:r>
      <w:proofErr w:type="gramEnd"/>
      <w:r w:rsidR="001A7654">
        <w:rPr>
          <w:i/>
        </w:rPr>
        <w:t xml:space="preserve"> </w:t>
      </w:r>
      <w:r w:rsidRPr="00BA322F">
        <w:rPr>
          <w:i/>
        </w:rPr>
        <w:t>20</w:t>
      </w:r>
      <w:r w:rsidR="000203D5" w:rsidRPr="00BA322F">
        <w:rPr>
          <w:i/>
        </w:rPr>
        <w:t>17</w:t>
      </w:r>
      <w:r w:rsidRPr="00BA322F">
        <w:rPr>
          <w:i/>
        </w:rPr>
        <w:t>г</w:t>
      </w:r>
      <w:r w:rsidRPr="00BA322F">
        <w:t xml:space="preserve">. </w:t>
      </w:r>
    </w:p>
    <w:p w:rsidR="00233AC1" w:rsidRPr="00397000" w:rsidRDefault="00A5698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="00233AC1" w:rsidRPr="00397000">
        <w:t xml:space="preserve">ещения уведомления о проведении публичных консультаций </w:t>
      </w:r>
      <w:r w:rsidR="00233AC1">
        <w:t xml:space="preserve">                 </w:t>
      </w:r>
      <w:r w:rsidR="00233AC1" w:rsidRPr="00397000">
        <w:t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="00A3563D" w:rsidRPr="00752F58">
          <w:rPr>
            <w:rStyle w:val="a9"/>
          </w:rPr>
          <w:t>http://admsurgut.ru/rubric</w:t>
        </w:r>
      </w:hyperlink>
      <w:r w:rsidR="00A3563D">
        <w:t xml:space="preserve"> </w:t>
      </w:r>
      <w:r w:rsidR="00233AC1" w:rsidRPr="00397000">
        <w:t>/21312/</w:t>
      </w:r>
      <w:proofErr w:type="spellStart"/>
      <w:r w:rsidR="00233AC1" w:rsidRPr="00397000">
        <w:t>Proekty</w:t>
      </w:r>
      <w:proofErr w:type="spellEnd"/>
      <w:r w:rsidR="00233AC1" w:rsidRPr="00397000">
        <w:t>-</w:t>
      </w:r>
      <w:proofErr w:type="spellStart"/>
      <w:r w:rsidR="00233AC1" w:rsidRPr="00397000">
        <w:t>municipalnyh</w:t>
      </w:r>
      <w:proofErr w:type="spellEnd"/>
      <w:r w:rsidR="00233AC1" w:rsidRPr="00397000">
        <w:t>-NPA-</w:t>
      </w:r>
      <w:proofErr w:type="spellStart"/>
      <w:r w:rsidR="00233AC1" w:rsidRPr="00397000">
        <w:t>dlya</w:t>
      </w:r>
      <w:proofErr w:type="spellEnd"/>
      <w:r w:rsidR="00233AC1" w:rsidRPr="00397000">
        <w:t>-</w:t>
      </w:r>
      <w:proofErr w:type="spellStart"/>
      <w:r w:rsidR="00233AC1" w:rsidRPr="00397000">
        <w:t>provedeniya-ocenki</w:t>
      </w:r>
      <w:proofErr w:type="spellEnd"/>
      <w:r w:rsidR="00233AC1" w:rsidRPr="00397000">
        <w:t>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рассмотрены. Свод предложений будет</w:t>
      </w:r>
      <w:r w:rsidRPr="00397000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</w:t>
      </w:r>
      <w:r w:rsidR="000203D5">
        <w:t xml:space="preserve"> </w:t>
      </w:r>
      <w:r w:rsidRPr="00397000">
        <w:t>а участники публичных консультаций проинформированы о результатах</w:t>
      </w:r>
      <w:r w:rsidR="000203D5">
        <w:t xml:space="preserve"> </w:t>
      </w:r>
      <w:r w:rsidRPr="00397000">
        <w:t>рассмотрения их мнений.</w:t>
      </w:r>
    </w:p>
    <w:p w:rsidR="00233AC1" w:rsidRPr="00B07A22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33AC1" w:rsidRDefault="00233AC1" w:rsidP="000203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97000">
        <w:t>Основания для разработки проекта муниципального правового акта:</w:t>
      </w:r>
      <w:r>
        <w:t xml:space="preserve"> </w:t>
      </w:r>
    </w:p>
    <w:p w:rsidR="003B5034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84BA8">
        <w:rPr>
          <w:rFonts w:ascii="Times New Roman" w:hAnsi="Times New Roman" w:cs="Times New Roman"/>
          <w:i/>
          <w:sz w:val="28"/>
          <w:szCs w:val="28"/>
        </w:rPr>
        <w:t>Бюджетный кодекс РФ (в редакции от 18.07.2017 № 178-ФЗ)</w:t>
      </w:r>
    </w:p>
    <w:p w:rsidR="00D534E1" w:rsidRPr="00BA322F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П</w:t>
      </w:r>
      <w:r w:rsidRPr="00D927B8">
        <w:rPr>
          <w:rFonts w:ascii="Times New Roman" w:hAnsi="Times New Roman" w:cs="Times New Roman"/>
          <w:i/>
          <w:sz w:val="27"/>
          <w:szCs w:val="27"/>
        </w:rPr>
        <w:t>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 № 887 от 06.09.2016)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534E1" w:rsidRPr="00D534E1" w:rsidRDefault="00D534E1" w:rsidP="00586E8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34E1">
        <w:rPr>
          <w:rFonts w:ascii="Times New Roman" w:hAnsi="Times New Roman" w:cs="Times New Roman"/>
          <w:i/>
          <w:sz w:val="27"/>
          <w:szCs w:val="27"/>
        </w:rPr>
        <w:t xml:space="preserve">Порядком определена дата, на которую получатели субсидии </w:t>
      </w:r>
      <w:r w:rsidRPr="00D534E1">
        <w:rPr>
          <w:rFonts w:ascii="Times New Roman" w:hAnsi="Times New Roman" w:cs="Times New Roman"/>
          <w:i/>
          <w:sz w:val="27"/>
          <w:szCs w:val="27"/>
        </w:rPr>
        <w:lastRenderedPageBreak/>
        <w:t>должны соответствовать требованиям, установленным Общими требованиями № 887 от 06.09.2016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>на первое число месяца, в котором представлены документы» (пункт 1.1 проекта).</w:t>
      </w:r>
    </w:p>
    <w:p w:rsidR="00066CDD" w:rsidRPr="00F502F8" w:rsidRDefault="00066CDD" w:rsidP="00066CD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502F8">
        <w:rPr>
          <w:rFonts w:ascii="Times New Roman" w:hAnsi="Times New Roman"/>
          <w:i/>
          <w:sz w:val="28"/>
          <w:szCs w:val="28"/>
        </w:rPr>
        <w:t xml:space="preserve">В связи с введением конкретной даты, на которую получатели субсидии должны соответствовать требованиям, пункт </w:t>
      </w:r>
      <w:r>
        <w:rPr>
          <w:rFonts w:ascii="Times New Roman" w:hAnsi="Times New Roman"/>
          <w:i/>
          <w:sz w:val="28"/>
          <w:szCs w:val="28"/>
        </w:rPr>
        <w:t>5</w:t>
      </w:r>
      <w:r w:rsidRPr="00F502F8">
        <w:rPr>
          <w:rFonts w:ascii="Times New Roman" w:hAnsi="Times New Roman"/>
          <w:i/>
          <w:sz w:val="28"/>
          <w:szCs w:val="28"/>
        </w:rPr>
        <w:t xml:space="preserve"> Порядка </w:t>
      </w:r>
      <w:r w:rsidRPr="00F502F8">
        <w:rPr>
          <w:rFonts w:ascii="Times New Roman" w:hAnsi="Times New Roman"/>
          <w:i/>
          <w:sz w:val="28"/>
          <w:szCs w:val="28"/>
        </w:rPr>
        <w:br/>
        <w:t xml:space="preserve">о рассмотрении документов, представленных получателем, дополняется осуществлением запросов и получением ответов об отсутствии задолженности получателей субсидии, рассмотрением документов на соответствие </w:t>
      </w:r>
      <w:r w:rsidRPr="00F502F8">
        <w:rPr>
          <w:rFonts w:ascii="Times New Roman" w:hAnsi="Times New Roman"/>
          <w:i/>
          <w:sz w:val="28"/>
          <w:szCs w:val="28"/>
        </w:rPr>
        <w:br/>
        <w:t>их требованиям (пункт 1.</w:t>
      </w:r>
      <w:r>
        <w:rPr>
          <w:rFonts w:ascii="Times New Roman" w:hAnsi="Times New Roman"/>
          <w:i/>
          <w:sz w:val="28"/>
          <w:szCs w:val="28"/>
        </w:rPr>
        <w:t>2</w:t>
      </w:r>
      <w:r w:rsidRPr="00F502F8">
        <w:rPr>
          <w:rFonts w:ascii="Times New Roman" w:hAnsi="Times New Roman"/>
          <w:i/>
          <w:sz w:val="28"/>
          <w:szCs w:val="28"/>
        </w:rPr>
        <w:t xml:space="preserve"> проекта). Введение дополнительных действий департамента обусловлено также приведением в соответствие основанию для отказа в получении субсидии (</w:t>
      </w:r>
      <w:r>
        <w:rPr>
          <w:rFonts w:ascii="Times New Roman" w:hAnsi="Times New Roman"/>
          <w:i/>
          <w:sz w:val="28"/>
          <w:szCs w:val="28"/>
        </w:rPr>
        <w:t>абзац 4</w:t>
      </w:r>
      <w:r w:rsidRPr="00F502F8">
        <w:rPr>
          <w:rFonts w:ascii="Times New Roman" w:hAnsi="Times New Roman"/>
          <w:i/>
          <w:sz w:val="28"/>
          <w:szCs w:val="28"/>
        </w:rPr>
        <w:t xml:space="preserve"> пункта </w:t>
      </w:r>
      <w:r>
        <w:rPr>
          <w:rFonts w:ascii="Times New Roman" w:hAnsi="Times New Roman"/>
          <w:i/>
          <w:sz w:val="28"/>
          <w:szCs w:val="28"/>
        </w:rPr>
        <w:t>6</w:t>
      </w:r>
      <w:r w:rsidRPr="00F502F8">
        <w:rPr>
          <w:rFonts w:ascii="Times New Roman" w:hAnsi="Times New Roman"/>
          <w:i/>
          <w:sz w:val="28"/>
          <w:szCs w:val="28"/>
        </w:rPr>
        <w:t xml:space="preserve"> Порядка) – несоответствие требованиям.</w:t>
      </w:r>
    </w:p>
    <w:p w:rsidR="00066CDD" w:rsidRPr="00F502F8" w:rsidRDefault="00066CDD" w:rsidP="00066CD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502F8">
        <w:rPr>
          <w:rFonts w:ascii="Times New Roman" w:hAnsi="Times New Roman"/>
          <w:i/>
          <w:sz w:val="28"/>
          <w:szCs w:val="28"/>
        </w:rPr>
        <w:t xml:space="preserve">Осуществление запросов соответственно исключается </w:t>
      </w:r>
      <w:r w:rsidRPr="00F502F8">
        <w:rPr>
          <w:rFonts w:ascii="Times New Roman" w:hAnsi="Times New Roman"/>
          <w:i/>
          <w:sz w:val="28"/>
          <w:szCs w:val="28"/>
        </w:rPr>
        <w:br/>
        <w:t xml:space="preserve">из пунктов 9, 10 Порядка в связи с переносом этих действий в пункт </w:t>
      </w:r>
      <w:r>
        <w:rPr>
          <w:rFonts w:ascii="Times New Roman" w:hAnsi="Times New Roman"/>
          <w:i/>
          <w:sz w:val="28"/>
          <w:szCs w:val="28"/>
        </w:rPr>
        <w:t>5</w:t>
      </w:r>
      <w:r w:rsidRPr="00F502F8">
        <w:rPr>
          <w:rFonts w:ascii="Times New Roman" w:hAnsi="Times New Roman"/>
          <w:i/>
          <w:sz w:val="28"/>
          <w:szCs w:val="28"/>
        </w:rPr>
        <w:t xml:space="preserve"> Порядка (пункты 1.</w:t>
      </w:r>
      <w:r>
        <w:rPr>
          <w:rFonts w:ascii="Times New Roman" w:hAnsi="Times New Roman"/>
          <w:i/>
          <w:sz w:val="28"/>
          <w:szCs w:val="28"/>
        </w:rPr>
        <w:t>3</w:t>
      </w:r>
      <w:r w:rsidRPr="00F502F8">
        <w:rPr>
          <w:rFonts w:ascii="Times New Roman" w:hAnsi="Times New Roman"/>
          <w:i/>
          <w:sz w:val="28"/>
          <w:szCs w:val="28"/>
        </w:rPr>
        <w:t>, 1.</w:t>
      </w:r>
      <w:r>
        <w:rPr>
          <w:rFonts w:ascii="Times New Roman" w:hAnsi="Times New Roman"/>
          <w:i/>
          <w:sz w:val="28"/>
          <w:szCs w:val="28"/>
        </w:rPr>
        <w:t>4</w:t>
      </w:r>
      <w:r w:rsidRPr="00F502F8">
        <w:rPr>
          <w:rFonts w:ascii="Times New Roman" w:hAnsi="Times New Roman"/>
          <w:i/>
          <w:sz w:val="28"/>
          <w:szCs w:val="28"/>
        </w:rPr>
        <w:t xml:space="preserve"> проекта).</w:t>
      </w:r>
    </w:p>
    <w:p w:rsidR="00D534E1" w:rsidRPr="00D927B8" w:rsidRDefault="00066CDD" w:rsidP="00D534E1">
      <w:pPr>
        <w:pStyle w:val="ConsPlusNormal"/>
        <w:numPr>
          <w:ilvl w:val="0"/>
          <w:numId w:val="2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D534E1"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</w:t>
      </w:r>
      <w:r w:rsidR="00D534E1" w:rsidRPr="00D927B8">
        <w:rPr>
          <w:rFonts w:ascii="Times New Roman" w:hAnsi="Times New Roman" w:cs="Times New Roman"/>
          <w:i/>
          <w:sz w:val="27"/>
          <w:szCs w:val="27"/>
        </w:rPr>
        <w:br/>
        <w:t>от 18.07.2017 № 178-ФЗ).</w:t>
      </w:r>
    </w:p>
    <w:p w:rsidR="001604C9" w:rsidRPr="001604C9" w:rsidRDefault="001604C9" w:rsidP="001604C9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4C9">
        <w:rPr>
          <w:rFonts w:ascii="Times New Roman" w:hAnsi="Times New Roman" w:cs="Times New Roman"/>
          <w:i/>
          <w:sz w:val="28"/>
          <w:szCs w:val="28"/>
        </w:rPr>
        <w:t>Федеральным законом от 18.07.2017 № 178-ФЗ в подпункт</w:t>
      </w:r>
      <w:r>
        <w:rPr>
          <w:rFonts w:ascii="Times New Roman" w:hAnsi="Times New Roman" w:cs="Times New Roman"/>
          <w:i/>
          <w:sz w:val="28"/>
          <w:szCs w:val="28"/>
        </w:rPr>
        <w:t xml:space="preserve"> 4) пункта 3 статьи 78 БК РФ</w:t>
      </w:r>
      <w:r w:rsidRPr="001604C9">
        <w:rPr>
          <w:rFonts w:ascii="Times New Roman" w:hAnsi="Times New Roman" w:cs="Times New Roman"/>
          <w:i/>
          <w:sz w:val="28"/>
          <w:szCs w:val="28"/>
        </w:rPr>
        <w:t xml:space="preserve"> внесены изменения: случаи и порядок возврата неиспользованных остатков субсидий предусматриваются только в Порядках предоставления субсидий на финансовое обеспечение затрат. </w:t>
      </w:r>
      <w:r>
        <w:rPr>
          <w:rFonts w:ascii="Times New Roman" w:hAnsi="Times New Roman" w:cs="Times New Roman"/>
          <w:i/>
          <w:sz w:val="28"/>
          <w:szCs w:val="28"/>
        </w:rPr>
        <w:t>Общими требованиями</w:t>
      </w:r>
      <w:r w:rsidRPr="001604C9">
        <w:rPr>
          <w:rFonts w:ascii="Times New Roman" w:hAnsi="Times New Roman" w:cs="Times New Roman"/>
          <w:i/>
          <w:sz w:val="28"/>
          <w:szCs w:val="28"/>
        </w:rPr>
        <w:t xml:space="preserve"> от 06.09.2017 № 887 для правовых актов, регулирующих предоставление субсидии на возмещение затрат, случай возврата остатков субсидий </w:t>
      </w:r>
      <w:r w:rsidR="000C0765">
        <w:rPr>
          <w:rFonts w:ascii="Times New Roman" w:hAnsi="Times New Roman" w:cs="Times New Roman"/>
          <w:i/>
          <w:sz w:val="28"/>
          <w:szCs w:val="28"/>
        </w:rPr>
        <w:br/>
      </w:r>
      <w:r w:rsidRPr="001604C9">
        <w:rPr>
          <w:rFonts w:ascii="Times New Roman" w:hAnsi="Times New Roman" w:cs="Times New Roman"/>
          <w:i/>
          <w:sz w:val="28"/>
          <w:szCs w:val="28"/>
        </w:rPr>
        <w:t>не установлен. Данное требование так же не предусмотрено типовой формой соглашения.</w:t>
      </w:r>
    </w:p>
    <w:p w:rsidR="001604C9" w:rsidRPr="001604C9" w:rsidRDefault="001604C9" w:rsidP="001604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Подпункт 1.1 раздела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 xml:space="preserve"> Порядка </w:t>
      </w:r>
      <w:r w:rsidRPr="001604C9">
        <w:rPr>
          <w:rFonts w:ascii="Times New Roman" w:hAnsi="Times New Roman" w:cs="Times New Roman"/>
          <w:i/>
          <w:sz w:val="28"/>
          <w:szCs w:val="28"/>
        </w:rPr>
        <w:t>исключается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№ 08-ПО-15/17-0 (пункт 1.7 проекта).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3. Цели предлагаемого правового регулирования:</w:t>
      </w:r>
    </w:p>
    <w:p w:rsidR="00BA322F" w:rsidRDefault="00BA322F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i/>
        </w:rPr>
        <w:t>Приведение нормативного правового акта, регулирующего предоставле</w:t>
      </w:r>
      <w:r>
        <w:rPr>
          <w:i/>
        </w:rPr>
        <w:lastRenderedPageBreak/>
        <w:t xml:space="preserve">ние субсидии (Порядка предоставления субсидии), в соответствие </w:t>
      </w:r>
      <w:r w:rsidR="00425F0B">
        <w:rPr>
          <w:i/>
        </w:rPr>
        <w:t>бюджетному законодательству</w:t>
      </w:r>
      <w:r>
        <w:rPr>
          <w:i/>
        </w:rP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4. Потенциальные адресаты предлагаемого правового регулирования                       </w:t>
      </w:r>
      <w:proofErr w:type="gramStart"/>
      <w:r w:rsidRPr="00397000">
        <w:t xml:space="preserve">   (</w:t>
      </w:r>
      <w:proofErr w:type="gramEnd"/>
      <w:r w:rsidRPr="00397000">
        <w:t>их группы, количественный состав):</w:t>
      </w:r>
    </w:p>
    <w:p w:rsidR="00233AC1" w:rsidRPr="00BA322F" w:rsidRDefault="006514DC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A322F">
        <w:rPr>
          <w:i/>
        </w:rPr>
        <w:t>юридические лица</w:t>
      </w:r>
      <w:r w:rsidR="00425F0B">
        <w:rPr>
          <w:i/>
        </w:rPr>
        <w:t>,</w:t>
      </w:r>
      <w:r w:rsidRPr="00BA322F">
        <w:rPr>
          <w:i/>
        </w:rPr>
        <w:t xml:space="preserve"> индивидуальные предприниматели,</w:t>
      </w:r>
      <w:r w:rsidR="00943675" w:rsidRPr="00943675">
        <w:rPr>
          <w:i/>
        </w:rPr>
        <w:t xml:space="preserve"> </w:t>
      </w:r>
      <w:r w:rsidR="009949F8">
        <w:rPr>
          <w:i/>
        </w:rPr>
        <w:t>осуществляющие деятельность в системах коммунальной инфраструктуры и в жилищном фонде на территории горда Сургута, имеющие инвестиционный проект, соответствующий критериям, и кредитный договор и (или) соглашения, заключенные с кредитной организацией в размере, необходимом для реализации инвестиционного проекта по энергосбережению и повышению энергетической эффективности в системах коммунальной инфраструктуры и в жилищном фонде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5. Действующие нормативные правовые акты, другие решения, из которых </w:t>
      </w:r>
      <w:r w:rsidRPr="004D0BC9">
        <w:t>вытекает необходимость разработки предлагаемого правового регулирования:</w:t>
      </w:r>
    </w:p>
    <w:p w:rsidR="00425F0B" w:rsidRDefault="00425F0B" w:rsidP="00425F0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Бюджетный кодекс РФ (в редакции от 18.07.2017 № 178-ФЗ)</w:t>
      </w:r>
    </w:p>
    <w:p w:rsidR="004D0BC9" w:rsidRPr="00BA322F" w:rsidRDefault="004D0BC9" w:rsidP="004D0B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</w:t>
      </w:r>
      <w:r w:rsidR="008340E0">
        <w:rPr>
          <w:rFonts w:ascii="Times New Roman" w:hAnsi="Times New Roman" w:cs="Times New Roman"/>
          <w:i/>
          <w:sz w:val="27"/>
          <w:szCs w:val="27"/>
        </w:rPr>
        <w:t>в редакции от 18.05.2017 № 592)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6. Планируемый срок вступления в силу предлагаемого правового регулирования:</w:t>
      </w:r>
      <w:r w:rsidR="004D0BC9">
        <w:t xml:space="preserve"> </w:t>
      </w:r>
      <w:r w:rsidR="008340E0">
        <w:rPr>
          <w:i/>
        </w:rPr>
        <w:t xml:space="preserve">после официального опубликования постановления Администрации города </w:t>
      </w:r>
      <w:r w:rsidR="008340E0" w:rsidRPr="00BA322F">
        <w:rPr>
          <w:i/>
        </w:rPr>
        <w:t>«</w:t>
      </w:r>
      <w:r w:rsidR="008340E0" w:rsidRPr="00BA322F">
        <w:rPr>
          <w:bCs/>
          <w:i/>
        </w:rPr>
        <w:t>О внесении изменений в постановление Администрации города от</w:t>
      </w:r>
      <w:r w:rsidR="00D45375">
        <w:rPr>
          <w:bCs/>
          <w:i/>
        </w:rPr>
        <w:t xml:space="preserve"> </w:t>
      </w:r>
      <w:r w:rsidR="009949F8" w:rsidRPr="00066CDD">
        <w:rPr>
          <w:i/>
          <w:sz w:val="26"/>
          <w:szCs w:val="26"/>
        </w:rPr>
        <w:t>12.07.2017 № 6042 «О порядке предоставления субсидии на возмещение части затрат на уплату процентов по привлекаемым заемным средствам для реализации инвестиционных проектов, направленных на энергосбережение и повышение энергетической эффективности в системах коммунальной инфраструктуры и в жилищном фонде</w:t>
      </w:r>
      <w:r w:rsidR="009949F8">
        <w:rPr>
          <w:i/>
          <w:sz w:val="26"/>
          <w:szCs w:val="26"/>
        </w:rPr>
        <w:t>»</w:t>
      </w:r>
    </w:p>
    <w:p w:rsidR="00233AC1" w:rsidRPr="004D0BC9" w:rsidRDefault="00233AC1" w:rsidP="004D0BC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97000">
        <w:t>7. Сведения о необходимости или отсутствии необходимости установления переходного периода:</w:t>
      </w:r>
      <w:r w:rsidR="004D0BC9">
        <w:t xml:space="preserve"> </w:t>
      </w:r>
      <w:r w:rsidR="004D0BC9" w:rsidRPr="004D0BC9">
        <w:rPr>
          <w:i/>
        </w:rPr>
        <w:t>необходимость в установлении переходного периода отсутствует</w:t>
      </w:r>
      <w:r w:rsidR="004D0BC9">
        <w:rPr>
          <w:i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 Сравнение возможных вариантов решения проблемы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329"/>
        <w:gridCol w:w="2097"/>
        <w:gridCol w:w="14"/>
        <w:gridCol w:w="2969"/>
        <w:gridCol w:w="31"/>
        <w:gridCol w:w="2353"/>
      </w:tblGrid>
      <w:tr w:rsidR="00662DB8" w:rsidTr="004D0BC9">
        <w:tc>
          <w:tcPr>
            <w:tcW w:w="2329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2111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 xml:space="preserve">(существующее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регулирование)</w:t>
            </w:r>
          </w:p>
        </w:tc>
        <w:tc>
          <w:tcPr>
            <w:tcW w:w="3000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 xml:space="preserve">(предлагаемое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регулирование)</w:t>
            </w:r>
          </w:p>
        </w:tc>
        <w:tc>
          <w:tcPr>
            <w:tcW w:w="2353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 w:rsidR="00462105">
              <w:t>3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(иной вариант правового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регулирования)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8.1. Содержание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варианта решения выявленной проблемы</w:t>
            </w:r>
          </w:p>
        </w:tc>
        <w:tc>
          <w:tcPr>
            <w:tcW w:w="2111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233AC1" w:rsidRPr="00B30120" w:rsidRDefault="00B30120" w:rsidP="00231B1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0120">
              <w:rPr>
                <w:i/>
              </w:rPr>
              <w:t>Внесение изменений в действующий Порядок предоставления субсидии</w:t>
            </w:r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8.2. Качественная характеристика и оценка </w:t>
            </w:r>
            <w:r w:rsidRPr="00A37C70">
              <w:lastRenderedPageBreak/>
              <w:t xml:space="preserve">динамики численности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111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233AC1" w:rsidRPr="00B30120" w:rsidRDefault="009949F8" w:rsidP="007B566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A322F">
              <w:rPr>
                <w:i/>
              </w:rPr>
              <w:t>юридические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>
              <w:rPr>
                <w:i/>
              </w:rPr>
              <w:t xml:space="preserve">осуществляющие деятельность </w:t>
            </w:r>
            <w:r>
              <w:rPr>
                <w:i/>
              </w:rPr>
              <w:lastRenderedPageBreak/>
              <w:t>в системах коммунальной инфраструктуры и в жилищном фонде на территории горда Сургута, имеющие инвестиционный проект, соответствующий критериям, и кредитный договор и (или) соглашения, заключенные с кредитной организацией в размере, необходимом для реализации инвестиционного проекта по энергосбережению и повышению энергетической эффективности в системах коммунальной инфраструктуры и в жилищном фонде (2017г. – 1)</w:t>
            </w:r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8.3. Оценка расходов (доходов) потенциальных адресатов предлагаемого правового регулирования,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с его введением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233AC1" w:rsidRPr="0063180D" w:rsidRDefault="00F843D7" w:rsidP="00F843D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устанавливает дополнительных расходов получателей субсидии</w:t>
            </w:r>
          </w:p>
        </w:tc>
        <w:tc>
          <w:tcPr>
            <w:tcW w:w="2353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8.4. Оценка расходов (доходов) бюджета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города,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с введением предлагаемого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233AC1" w:rsidRPr="0063180D" w:rsidRDefault="0063180D" w:rsidP="00D822A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8.5. Оценка возможности достижения заявленных целей пред</w:t>
            </w:r>
            <w:r w:rsidRPr="00A37C70">
              <w:lastRenderedPageBreak/>
              <w:t xml:space="preserve">лагаемого правового регулирования посредством </w:t>
            </w:r>
          </w:p>
          <w:p w:rsidR="00233AC1" w:rsidRDefault="00233AC1" w:rsidP="0096108F">
            <w:pPr>
              <w:widowControl w:val="0"/>
              <w:autoSpaceDE w:val="0"/>
              <w:autoSpaceDN w:val="0"/>
              <w:adjustRightInd w:val="0"/>
            </w:pPr>
            <w:r w:rsidRPr="00A37C70">
              <w:t>применения рассматриваемых вариантов предлагаемого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2983" w:type="dxa"/>
            <w:gridSpan w:val="2"/>
          </w:tcPr>
          <w:p w:rsidR="00233AC1" w:rsidRPr="00804CB2" w:rsidRDefault="00804CB2" w:rsidP="00804CB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Нормативное регулирование Порядка предоставления субсидии</w:t>
            </w:r>
            <w:r w:rsidRPr="00804CB2">
              <w:rPr>
                <w:i/>
              </w:rPr>
              <w:t xml:space="preserve"> </w:t>
            </w:r>
            <w:r w:rsidR="00462105" w:rsidRPr="00804CB2">
              <w:rPr>
                <w:i/>
              </w:rPr>
              <w:t xml:space="preserve">обеспечит достижение </w:t>
            </w:r>
            <w:r w:rsidRPr="00804CB2">
              <w:rPr>
                <w:i/>
              </w:rPr>
              <w:t>заявленной цели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2105" w:rsidTr="004D0BC9">
        <w:tc>
          <w:tcPr>
            <w:tcW w:w="2329" w:type="dxa"/>
          </w:tcPr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8.6. Оценка рисков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неблагоприятных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>последствий</w:t>
            </w:r>
          </w:p>
        </w:tc>
        <w:tc>
          <w:tcPr>
            <w:tcW w:w="2097" w:type="dxa"/>
          </w:tcPr>
          <w:p w:rsidR="00462105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462105" w:rsidRPr="00CF275C" w:rsidRDefault="00804CB2" w:rsidP="00804CB2">
            <w:r>
              <w:rPr>
                <w:i/>
              </w:rPr>
              <w:t>Нарушение законодательства по результатам правового мониторинга, антикоррупционных экспертиз и др.</w:t>
            </w:r>
          </w:p>
        </w:tc>
        <w:tc>
          <w:tcPr>
            <w:tcW w:w="2384" w:type="dxa"/>
            <w:gridSpan w:val="2"/>
          </w:tcPr>
          <w:p w:rsidR="00462105" w:rsidRPr="00CF275C" w:rsidRDefault="00462105" w:rsidP="00231B1A">
            <w:pPr>
              <w:jc w:val="center"/>
            </w:pPr>
            <w:r>
              <w:t>-</w:t>
            </w:r>
          </w:p>
        </w:tc>
      </w:tr>
    </w:tbl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8.7. Обоснование выбора предпочтительного варианта предлагаемого </w:t>
      </w:r>
      <w:r>
        <w:t xml:space="preserve">                 </w:t>
      </w:r>
      <w:r w:rsidRPr="00397000">
        <w:t>правового регулирования выявленной проблемы:</w:t>
      </w:r>
    </w:p>
    <w:p w:rsidR="00233AC1" w:rsidRPr="00804CB2" w:rsidRDefault="00CE72BE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предлагаемый вариант</w:t>
      </w:r>
      <w:r w:rsidR="00462105" w:rsidRPr="00804CB2">
        <w:rPr>
          <w:i/>
        </w:rPr>
        <w:t xml:space="preserve"> решения проблемы отвечает положениям </w:t>
      </w:r>
      <w:r w:rsidR="004C1471">
        <w:rPr>
          <w:i/>
        </w:rPr>
        <w:t>действующего</w:t>
      </w:r>
      <w:r w:rsidR="00462105" w:rsidRPr="00804CB2">
        <w:rPr>
          <w:i/>
        </w:rPr>
        <w:t xml:space="preserve"> законодательства и полностью обеспечивают достижение за</w:t>
      </w:r>
      <w:r w:rsidR="00804CB2">
        <w:rPr>
          <w:i/>
        </w:rPr>
        <w:t>явленной цели регулирования.</w:t>
      </w:r>
    </w:p>
    <w:p w:rsidR="00233AC1" w:rsidRDefault="00233AC1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9. Иная информация по решению разработчика, относящаяся к сведениям</w:t>
      </w:r>
      <w:r w:rsidR="00EB295D">
        <w:t xml:space="preserve"> </w:t>
      </w:r>
      <w:r w:rsidRPr="00397000">
        <w:t>о подготовке проекта муниципального нормативного правового акта:</w:t>
      </w:r>
      <w:r w:rsidR="00EB295D">
        <w:t xml:space="preserve"> </w:t>
      </w:r>
      <w:r w:rsidR="00EB295D" w:rsidRPr="00804CB2">
        <w:rPr>
          <w:i/>
        </w:rPr>
        <w:t>отсутствует</w:t>
      </w:r>
    </w:p>
    <w:p w:rsidR="00804CB2" w:rsidRPr="00804CB2" w:rsidRDefault="00804CB2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 w:rsidR="00CE72BE">
        <w:t xml:space="preserve"> с приложениями</w:t>
      </w:r>
      <w: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3B3D04" w:rsidRPr="00233AC1" w:rsidRDefault="003B3D04" w:rsidP="00233AC1"/>
    <w:sectPr w:rsidR="003B3D04" w:rsidRPr="00233AC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8A" w:rsidRDefault="0016228A">
      <w:r>
        <w:separator/>
      </w:r>
    </w:p>
  </w:endnote>
  <w:endnote w:type="continuationSeparator" w:id="0">
    <w:p w:rsidR="0016228A" w:rsidRDefault="0016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8A" w:rsidRDefault="0016228A">
      <w:r>
        <w:separator/>
      </w:r>
    </w:p>
  </w:footnote>
  <w:footnote w:type="continuationSeparator" w:id="0">
    <w:p w:rsidR="0016228A" w:rsidRDefault="0016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765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1622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F07D96"/>
    <w:multiLevelType w:val="hybridMultilevel"/>
    <w:tmpl w:val="5B02CBCE"/>
    <w:lvl w:ilvl="0" w:tplc="BF768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6D251F"/>
    <w:multiLevelType w:val="multilevel"/>
    <w:tmpl w:val="7D9059A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6CDD"/>
    <w:rsid w:val="00093713"/>
    <w:rsid w:val="000A6523"/>
    <w:rsid w:val="000C0765"/>
    <w:rsid w:val="001354EC"/>
    <w:rsid w:val="001604C9"/>
    <w:rsid w:val="00161FC8"/>
    <w:rsid w:val="0016228A"/>
    <w:rsid w:val="0018032A"/>
    <w:rsid w:val="0018129D"/>
    <w:rsid w:val="00183F41"/>
    <w:rsid w:val="001A7654"/>
    <w:rsid w:val="001B3A69"/>
    <w:rsid w:val="002275A6"/>
    <w:rsid w:val="00231B1A"/>
    <w:rsid w:val="00233AC1"/>
    <w:rsid w:val="002938AB"/>
    <w:rsid w:val="002A484C"/>
    <w:rsid w:val="002B7C26"/>
    <w:rsid w:val="002E1F16"/>
    <w:rsid w:val="00364C27"/>
    <w:rsid w:val="003B3D04"/>
    <w:rsid w:val="003B5034"/>
    <w:rsid w:val="003B6894"/>
    <w:rsid w:val="00415AF7"/>
    <w:rsid w:val="00425F0B"/>
    <w:rsid w:val="00462105"/>
    <w:rsid w:val="004C1471"/>
    <w:rsid w:val="004C3AC6"/>
    <w:rsid w:val="004D0BC9"/>
    <w:rsid w:val="0053173B"/>
    <w:rsid w:val="00584BA8"/>
    <w:rsid w:val="00617315"/>
    <w:rsid w:val="0063180D"/>
    <w:rsid w:val="006514DC"/>
    <w:rsid w:val="00662DB8"/>
    <w:rsid w:val="006A5960"/>
    <w:rsid w:val="00734215"/>
    <w:rsid w:val="007A350B"/>
    <w:rsid w:val="007B5660"/>
    <w:rsid w:val="00804CB2"/>
    <w:rsid w:val="00816DBB"/>
    <w:rsid w:val="008340E0"/>
    <w:rsid w:val="00864260"/>
    <w:rsid w:val="00875C5A"/>
    <w:rsid w:val="008967C8"/>
    <w:rsid w:val="008C5191"/>
    <w:rsid w:val="008C7AB3"/>
    <w:rsid w:val="00910DD8"/>
    <w:rsid w:val="00917CA7"/>
    <w:rsid w:val="00943675"/>
    <w:rsid w:val="0096108F"/>
    <w:rsid w:val="009949F8"/>
    <w:rsid w:val="009A73DA"/>
    <w:rsid w:val="00A01936"/>
    <w:rsid w:val="00A11554"/>
    <w:rsid w:val="00A26264"/>
    <w:rsid w:val="00A3563D"/>
    <w:rsid w:val="00A544D5"/>
    <w:rsid w:val="00A56981"/>
    <w:rsid w:val="00A577AA"/>
    <w:rsid w:val="00A67A6E"/>
    <w:rsid w:val="00B25EFC"/>
    <w:rsid w:val="00B30120"/>
    <w:rsid w:val="00BA322F"/>
    <w:rsid w:val="00BA7CBA"/>
    <w:rsid w:val="00BC2220"/>
    <w:rsid w:val="00BD1E34"/>
    <w:rsid w:val="00C266E3"/>
    <w:rsid w:val="00C712AA"/>
    <w:rsid w:val="00CE72BE"/>
    <w:rsid w:val="00D0592A"/>
    <w:rsid w:val="00D45375"/>
    <w:rsid w:val="00D534E1"/>
    <w:rsid w:val="00D72F37"/>
    <w:rsid w:val="00D822AD"/>
    <w:rsid w:val="00DD3269"/>
    <w:rsid w:val="00DE6FBD"/>
    <w:rsid w:val="00DF5C5C"/>
    <w:rsid w:val="00E066DE"/>
    <w:rsid w:val="00E13E3F"/>
    <w:rsid w:val="00E34A66"/>
    <w:rsid w:val="00E40025"/>
    <w:rsid w:val="00E72323"/>
    <w:rsid w:val="00EB295D"/>
    <w:rsid w:val="00F6570C"/>
    <w:rsid w:val="00F843D7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3563D"/>
    <w:rPr>
      <w:color w:val="0563C1" w:themeColor="hyperlink"/>
      <w:u w:val="single"/>
    </w:rPr>
  </w:style>
  <w:style w:type="character" w:customStyle="1" w:styleId="aa">
    <w:name w:val="Гипертекстовая ссылка"/>
    <w:uiPriority w:val="99"/>
    <w:rsid w:val="00E13E3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62B5-F1F6-4EEC-9C7A-F81454F4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Турчанова Ирина Николаевна</cp:lastModifiedBy>
  <cp:revision>15</cp:revision>
  <cp:lastPrinted>2017-10-11T08:11:00Z</cp:lastPrinted>
  <dcterms:created xsi:type="dcterms:W3CDTF">2017-10-05T04:28:00Z</dcterms:created>
  <dcterms:modified xsi:type="dcterms:W3CDTF">2017-10-26T08:31:00Z</dcterms:modified>
</cp:coreProperties>
</file>