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1D22F1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1D22F1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</w:t>
      </w:r>
      <w:r w:rsidR="002A484C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2A484C">
        <w:rPr>
          <w:i/>
        </w:rPr>
        <w:t>7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A3563D" w:rsidRPr="00752F58">
          <w:rPr>
            <w:rStyle w:val="a9"/>
          </w:rPr>
          <w:t>http://admsurgut.ru/rubric</w:t>
        </w:r>
      </w:hyperlink>
      <w:r w:rsidR="00A3563D">
        <w:t xml:space="preserve"> </w:t>
      </w:r>
      <w:r w:rsidR="00233AC1" w:rsidRPr="00397000">
        <w:t>/21312</w:t>
      </w:r>
      <w:r w:rsidR="001D22F1">
        <w:t xml:space="preserve"> </w:t>
      </w:r>
      <w:r w:rsidR="00233AC1" w:rsidRPr="00397000">
        <w:t>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A3563D">
        <w:rPr>
          <w:rFonts w:ascii="Times New Roman" w:hAnsi="Times New Roman" w:cs="Times New Roman"/>
          <w:i/>
          <w:sz w:val="27"/>
          <w:szCs w:val="27"/>
        </w:rPr>
        <w:t>4</w:t>
      </w:r>
      <w:r w:rsidR="001D22F1">
        <w:rPr>
          <w:rFonts w:ascii="Times New Roman" w:hAnsi="Times New Roman" w:cs="Times New Roman"/>
          <w:i/>
          <w:sz w:val="27"/>
          <w:szCs w:val="27"/>
        </w:rPr>
        <w:t>7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D534E1" w:rsidRPr="00A3563D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="001D22F1" w:rsidRPr="001D22F1">
        <w:rPr>
          <w:rFonts w:ascii="Times New Roman" w:hAnsi="Times New Roman" w:cs="Times New Roman"/>
          <w:i/>
          <w:sz w:val="28"/>
          <w:szCs w:val="28"/>
        </w:rPr>
        <w:t xml:space="preserve">до 15 мая и 01 сентября» (пункт 5 раздела </w:t>
      </w:r>
      <w:r w:rsidR="001D22F1" w:rsidRPr="001D22F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1D22F1" w:rsidRPr="001D22F1">
        <w:rPr>
          <w:rFonts w:ascii="Times New Roman" w:hAnsi="Times New Roman" w:cs="Times New Roman"/>
          <w:i/>
          <w:sz w:val="28"/>
          <w:szCs w:val="28"/>
        </w:rPr>
        <w:t xml:space="preserve"> Порядка). В связи с тем, что критериями отбора получателей субсидии является управление жилыми домами и предоставление услуги теплоснабжения населению пос.Кедровый-1 и Лесной, то срок обращения </w:t>
      </w:r>
      <w:r w:rsidR="001D22F1" w:rsidRPr="001D22F1">
        <w:rPr>
          <w:rFonts w:ascii="Times New Roman" w:hAnsi="Times New Roman" w:cs="Times New Roman"/>
          <w:i/>
          <w:sz w:val="28"/>
          <w:szCs w:val="28"/>
        </w:rPr>
        <w:br/>
        <w:t>не влияет на объем оказываемых услуг и размер субсидии в</w:t>
      </w:r>
      <w:r w:rsidR="001D22F1">
        <w:rPr>
          <w:rFonts w:ascii="Times New Roman" w:hAnsi="Times New Roman" w:cs="Times New Roman"/>
          <w:i/>
          <w:sz w:val="28"/>
          <w:szCs w:val="28"/>
        </w:rPr>
        <w:t xml:space="preserve"> текущем финансовом году</w:t>
      </w:r>
      <w:r w:rsidR="001D22F1" w:rsidRPr="001D2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2F1" w:rsidRPr="001D22F1">
        <w:rPr>
          <w:rFonts w:ascii="Times New Roman" w:hAnsi="Times New Roman" w:cs="Times New Roman"/>
          <w:i/>
          <w:sz w:val="28"/>
          <w:szCs w:val="28"/>
        </w:rPr>
        <w:t>(пункт 1.4 проекта)</w:t>
      </w:r>
      <w:r w:rsidRPr="00A3563D">
        <w:rPr>
          <w:rFonts w:ascii="Times New Roman" w:hAnsi="Times New Roman" w:cs="Times New Roman"/>
          <w:i/>
          <w:sz w:val="27"/>
          <w:szCs w:val="27"/>
        </w:rPr>
        <w:t>.</w:t>
      </w:r>
    </w:p>
    <w:p w:rsidR="00F90F04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В связи с исключением срока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случае получения отказа (абзац второй пункта </w:t>
      </w:r>
      <w:r w:rsidR="001D22F1"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</w:t>
      </w:r>
      <w:r w:rsidR="001D22F1"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F90F04" w:rsidRPr="00F90F04" w:rsidRDefault="00CE72BE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 w:rsidR="001D22F1">
        <w:rPr>
          <w:rFonts w:ascii="Times New Roman" w:hAnsi="Times New Roman"/>
          <w:i/>
          <w:sz w:val="28"/>
          <w:szCs w:val="28"/>
        </w:rPr>
        <w:t xml:space="preserve">«за второе полугодие отчетного года и (или) за первое </w:t>
      </w:r>
      <w:r w:rsidR="003E4309">
        <w:rPr>
          <w:rFonts w:ascii="Times New Roman" w:hAnsi="Times New Roman"/>
          <w:i/>
          <w:sz w:val="28"/>
          <w:szCs w:val="28"/>
        </w:rPr>
        <w:t>полугодие текущего года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» (абзац </w:t>
      </w:r>
      <w:r w:rsidR="003E4309">
        <w:rPr>
          <w:rFonts w:ascii="Times New Roman" w:hAnsi="Times New Roman"/>
          <w:i/>
          <w:sz w:val="28"/>
          <w:szCs w:val="28"/>
        </w:rPr>
        <w:t>второй</w:t>
      </w:r>
      <w:r w:rsidR="00A3563D">
        <w:rPr>
          <w:rFonts w:ascii="Times New Roman" w:hAnsi="Times New Roman"/>
          <w:i/>
          <w:sz w:val="28"/>
          <w:szCs w:val="28"/>
        </w:rPr>
        <w:t xml:space="preserve"> пункта 1.3 </w:t>
      </w:r>
      <w:r w:rsidR="00F90F04" w:rsidRPr="00D927B8">
        <w:rPr>
          <w:rFonts w:ascii="Times New Roman" w:hAnsi="Times New Roman"/>
          <w:i/>
          <w:sz w:val="28"/>
          <w:szCs w:val="28"/>
        </w:rPr>
        <w:t>проекта)</w:t>
      </w:r>
      <w:r w:rsidR="003E4309">
        <w:rPr>
          <w:rFonts w:ascii="Times New Roman" w:hAnsi="Times New Roman"/>
          <w:i/>
          <w:sz w:val="28"/>
          <w:szCs w:val="28"/>
        </w:rPr>
        <w:t xml:space="preserve"> с целью приведения в соответствие утвержденным лимитам бюджетных обязательств в текущем финансовом году и понятию «субсидии».</w:t>
      </w:r>
    </w:p>
    <w:p w:rsidR="00F90F04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 w:rsidR="003E4309"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</w:t>
      </w:r>
      <w:r w:rsidR="003E4309">
        <w:rPr>
          <w:rFonts w:ascii="Times New Roman" w:hAnsi="Times New Roman" w:cs="Times New Roman"/>
          <w:i/>
          <w:sz w:val="27"/>
          <w:szCs w:val="27"/>
        </w:rPr>
        <w:t>8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</w:t>
      </w:r>
      <w:r w:rsidR="00A3563D"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С целью устранения данной ситуации проектом исключается указанное основание для отказа в предоставлении субсидии (пункт 1.</w:t>
      </w:r>
      <w:r w:rsidR="003E4309"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</w:t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обязательств на текущий финансовый год» (пункт 1.</w:t>
      </w:r>
      <w:r w:rsidR="003E4309"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0C0765" w:rsidRDefault="00093713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Уточняется перечень документов, представляемых получателем субсидии при первичном обращении. Получатель субсидии представляет копии документов, а не оригиналы, как предусмотрено действующим Порядком (абзацы </w:t>
      </w:r>
      <w:r w:rsidR="003E4309">
        <w:rPr>
          <w:rFonts w:ascii="Times New Roman" w:hAnsi="Times New Roman" w:cs="Times New Roman"/>
          <w:i/>
          <w:sz w:val="27"/>
          <w:szCs w:val="27"/>
        </w:rPr>
        <w:t>пятый,</w:t>
      </w:r>
      <w:r>
        <w:rPr>
          <w:rFonts w:ascii="Times New Roman" w:hAnsi="Times New Roman" w:cs="Times New Roman"/>
          <w:i/>
          <w:sz w:val="27"/>
          <w:szCs w:val="27"/>
        </w:rPr>
        <w:t xml:space="preserve"> шестой, </w:t>
      </w:r>
      <w:r w:rsidR="003E4309">
        <w:rPr>
          <w:rFonts w:ascii="Times New Roman" w:hAnsi="Times New Roman" w:cs="Times New Roman"/>
          <w:i/>
          <w:sz w:val="27"/>
          <w:szCs w:val="27"/>
        </w:rPr>
        <w:t>седьмой, девяты</w:t>
      </w:r>
      <w:r>
        <w:rPr>
          <w:rFonts w:ascii="Times New Roman" w:hAnsi="Times New Roman" w:cs="Times New Roman"/>
          <w:i/>
          <w:sz w:val="27"/>
          <w:szCs w:val="27"/>
        </w:rPr>
        <w:t xml:space="preserve">й пункта 4 Порядка) (абзацы </w:t>
      </w:r>
      <w:r w:rsidR="003E4309">
        <w:rPr>
          <w:rFonts w:ascii="Times New Roman" w:hAnsi="Times New Roman" w:cs="Times New Roman"/>
          <w:i/>
          <w:sz w:val="27"/>
          <w:szCs w:val="27"/>
        </w:rPr>
        <w:t>третий, четвертый</w:t>
      </w:r>
      <w:r>
        <w:rPr>
          <w:rFonts w:ascii="Times New Roman" w:hAnsi="Times New Roman" w:cs="Times New Roman"/>
          <w:i/>
          <w:sz w:val="27"/>
          <w:szCs w:val="27"/>
        </w:rPr>
        <w:t>, пятый пункта 1.3</w:t>
      </w:r>
      <w:r w:rsidR="003E4309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</w:t>
      </w:r>
      <w:r w:rsidR="003E4309">
        <w:rPr>
          <w:rFonts w:ascii="Times New Roman" w:hAnsi="Times New Roman" w:cs="Times New Roman"/>
          <w:i/>
          <w:sz w:val="27"/>
          <w:szCs w:val="27"/>
        </w:rPr>
        <w:t>м (в редакции от 01.08.2017 № 6847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</w:t>
      </w:r>
      <w:r w:rsidR="001604C9">
        <w:rPr>
          <w:rFonts w:ascii="Times New Roman" w:hAnsi="Times New Roman" w:cs="Times New Roman"/>
          <w:i/>
          <w:sz w:val="28"/>
          <w:szCs w:val="28"/>
        </w:rPr>
        <w:t>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ункта 1.</w:t>
      </w:r>
      <w:r w:rsidR="001604C9">
        <w:rPr>
          <w:rFonts w:ascii="Times New Roman" w:hAnsi="Times New Roman" w:cs="Times New Roman"/>
          <w:i/>
          <w:sz w:val="28"/>
          <w:szCs w:val="28"/>
        </w:rPr>
        <w:t>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1604C9"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3E4309">
        <w:rPr>
          <w:rFonts w:ascii="Times New Roman" w:hAnsi="Times New Roman" w:cs="Times New Roman"/>
          <w:i/>
          <w:sz w:val="28"/>
          <w:szCs w:val="28"/>
        </w:rPr>
        <w:t>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1604C9" w:rsidRPr="001604C9" w:rsidRDefault="001604C9" w:rsidP="001604C9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</w:t>
      </w:r>
      <w:r w:rsidR="000C0765">
        <w:rPr>
          <w:rFonts w:ascii="Times New Roman" w:hAnsi="Times New Roman" w:cs="Times New Roman"/>
          <w:i/>
          <w:sz w:val="28"/>
          <w:szCs w:val="28"/>
        </w:rPr>
        <w:br/>
      </w:r>
      <w:r w:rsidRPr="001604C9">
        <w:rPr>
          <w:rFonts w:ascii="Times New Roman" w:hAnsi="Times New Roman" w:cs="Times New Roman"/>
          <w:i/>
          <w:sz w:val="28"/>
          <w:szCs w:val="28"/>
        </w:rPr>
        <w:t>не установлен. Данное требование так же не предусмотрено типовой формой соглашения.</w:t>
      </w:r>
    </w:p>
    <w:p w:rsidR="001604C9" w:rsidRPr="001604C9" w:rsidRDefault="001604C9" w:rsidP="001604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1.7 проекта).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322F">
        <w:rPr>
          <w:i/>
        </w:rPr>
        <w:t>юридические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943675" w:rsidRPr="00943675">
        <w:rPr>
          <w:i/>
        </w:rPr>
        <w:t xml:space="preserve"> </w:t>
      </w:r>
      <w:r w:rsidR="00943675" w:rsidRPr="00BA322F">
        <w:rPr>
          <w:i/>
        </w:rPr>
        <w:t xml:space="preserve">осуществляющие деятельность </w:t>
      </w:r>
      <w:r w:rsidR="00943675"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на </w:t>
      </w:r>
      <w:r w:rsidR="00943675">
        <w:rPr>
          <w:i/>
        </w:rPr>
        <w:lastRenderedPageBreak/>
        <w:t xml:space="preserve">основании открытого конкурса по отбору организаций для управления многоквартирными домами, проведенного в рамках ЖК РФ, </w:t>
      </w:r>
      <w:r w:rsidR="002275A6">
        <w:rPr>
          <w:i/>
        </w:rPr>
        <w:t xml:space="preserve">одноквартирными домами (строениями) на основании договоров управления, </w:t>
      </w:r>
      <w:r w:rsidR="003E4309">
        <w:rPr>
          <w:i/>
        </w:rPr>
        <w:t>предоставляющие услуги теплоснабжения населению, проживающему во временных поселках Кедровый-1 и Лесной</w:t>
      </w:r>
      <w:r w:rsidR="00425F0B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>О внесении изменений в постановление Администрации города от</w:t>
      </w:r>
      <w:r w:rsidR="003E4309">
        <w:rPr>
          <w:bCs/>
          <w:i/>
        </w:rPr>
        <w:t xml:space="preserve"> </w:t>
      </w:r>
      <w:r w:rsidR="003E4309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  <w:r w:rsidR="007B5660">
        <w:rPr>
          <w:i/>
        </w:rPr>
        <w:t>.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1D21DA" w:rsidP="007B56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</w:t>
            </w:r>
            <w:r>
              <w:rPr>
                <w:i/>
              </w:rPr>
              <w:lastRenderedPageBreak/>
              <w:t>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      </w:r>
            <w:r w:rsidR="006F1531">
              <w:rPr>
                <w:i/>
              </w:rPr>
              <w:t xml:space="preserve"> (2017-2020г.г. -1)</w:t>
            </w:r>
            <w:bookmarkStart w:id="0" w:name="_GoBack"/>
            <w:bookmarkEnd w:id="0"/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E13E3F" w:rsidP="00FF5B9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Расходы по изготовлению копий документов составят</w:t>
            </w:r>
            <w:r w:rsidR="00FF5B9E">
              <w:rPr>
                <w:i/>
              </w:rPr>
              <w:t xml:space="preserve"> 1137,58</w:t>
            </w:r>
            <w:r w:rsidR="00B25EFC">
              <w:rPr>
                <w:i/>
              </w:rPr>
              <w:t xml:space="preserve"> руб. </w:t>
            </w:r>
            <w:r w:rsidR="002A484C">
              <w:rPr>
                <w:i/>
              </w:rPr>
              <w:t>(расчет прилагается)</w:t>
            </w:r>
            <w:r>
              <w:rPr>
                <w:i/>
              </w:rPr>
              <w:t xml:space="preserve">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</w:t>
            </w:r>
            <w:r w:rsidRPr="00A37C70">
              <w:lastRenderedPageBreak/>
              <w:t>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E13E3F" w:rsidRDefault="00E13E3F">
      <w:pPr>
        <w:spacing w:after="160" w:line="259" w:lineRule="auto"/>
      </w:pPr>
      <w:r>
        <w:br w:type="page"/>
      </w:r>
    </w:p>
    <w:p w:rsidR="00E13E3F" w:rsidRDefault="00E13E3F" w:rsidP="00E13E3F">
      <w:pPr>
        <w:jc w:val="right"/>
      </w:pPr>
      <w:r>
        <w:lastRenderedPageBreak/>
        <w:t>Приложение</w:t>
      </w:r>
    </w:p>
    <w:p w:rsidR="00E13E3F" w:rsidRDefault="00E13E3F" w:rsidP="00E13E3F">
      <w:pPr>
        <w:jc w:val="right"/>
      </w:pPr>
      <w:proofErr w:type="gramStart"/>
      <w:r w:rsidRPr="009B109A">
        <w:t>к</w:t>
      </w:r>
      <w:proofErr w:type="gramEnd"/>
      <w:r w:rsidRPr="009B109A">
        <w:t xml:space="preserve"> </w:t>
      </w:r>
      <w:r>
        <w:t>уведомлению</w:t>
      </w:r>
    </w:p>
    <w:p w:rsidR="00E13E3F" w:rsidRDefault="00E13E3F" w:rsidP="00E13E3F">
      <w:pPr>
        <w:jc w:val="center"/>
      </w:pPr>
    </w:p>
    <w:p w:rsidR="00E13E3F" w:rsidRPr="009B109A" w:rsidRDefault="00E13E3F" w:rsidP="00E13E3F">
      <w:pPr>
        <w:jc w:val="center"/>
      </w:pPr>
      <w:r w:rsidRPr="009B109A"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</w:t>
      </w:r>
      <w:r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E13E3F" w:rsidRDefault="00E13E3F" w:rsidP="00E13E3F">
      <w:pPr>
        <w:ind w:firstLine="708"/>
        <w:jc w:val="both"/>
      </w:pPr>
      <w:r>
        <w:t>Пунктом 4 р</w:t>
      </w:r>
      <w:r w:rsidRPr="009B109A">
        <w:t>аздел</w:t>
      </w:r>
      <w:r>
        <w:t>а</w:t>
      </w:r>
      <w:r w:rsidRPr="009B109A">
        <w:t xml:space="preserve"> </w:t>
      </w:r>
      <w:r>
        <w:rPr>
          <w:lang w:val="en-US"/>
        </w:rPr>
        <w:t>II</w:t>
      </w:r>
      <w:r w:rsidRPr="009B109A">
        <w:t xml:space="preserve"> Порядка предоставления субсидии на возмещение</w:t>
      </w:r>
      <w:r w:rsidRPr="00E13E3F">
        <w:t xml:space="preserve"> </w:t>
      </w:r>
      <w:r w:rsidR="001D21DA" w:rsidRPr="001D21DA">
        <w:t>недополученных доходов в связи с оказанием услуг теплоснабжения населению, проживающему во временных поселках</w:t>
      </w:r>
      <w:r w:rsidR="001D21DA">
        <w:t xml:space="preserve">, </w:t>
      </w:r>
      <w:r>
        <w:t xml:space="preserve">определен перечень документов, представляемый получателем субсидии при первичном обращении </w:t>
      </w:r>
      <w:r w:rsidR="001D21DA">
        <w:br/>
      </w:r>
      <w:r>
        <w:t xml:space="preserve">за предоставлением субсидии: </w:t>
      </w:r>
    </w:p>
    <w:p w:rsidR="00E13E3F" w:rsidRDefault="00E13E3F" w:rsidP="00E13E3F">
      <w:pPr>
        <w:ind w:firstLine="708"/>
        <w:jc w:val="both"/>
      </w:pPr>
      <w:r>
        <w:t>- за</w:t>
      </w:r>
      <w:r w:rsidR="001D21DA">
        <w:t>явка на предоставление субсидии;</w:t>
      </w:r>
      <w:r>
        <w:t xml:space="preserve"> </w:t>
      </w:r>
    </w:p>
    <w:p w:rsidR="00E13E3F" w:rsidRDefault="00E13E3F" w:rsidP="00E13E3F">
      <w:pPr>
        <w:ind w:firstLine="708"/>
        <w:jc w:val="both"/>
      </w:pPr>
      <w:r>
        <w:t>- предвари</w:t>
      </w:r>
      <w:r w:rsidR="001D21DA">
        <w:t>тельный расчет размера субсидии;</w:t>
      </w:r>
    </w:p>
    <w:p w:rsidR="001D21DA" w:rsidRDefault="001D21DA" w:rsidP="00E13E3F">
      <w:pPr>
        <w:ind w:firstLine="708"/>
        <w:jc w:val="both"/>
      </w:pPr>
      <w:r>
        <w:t>- по адресный реестр, подтверждающий фактическое потребление объема тепловой энергии за отчетный период;</w:t>
      </w:r>
    </w:p>
    <w:p w:rsidR="001D21DA" w:rsidRDefault="001D21DA" w:rsidP="00E13E3F">
      <w:pPr>
        <w:ind w:firstLine="708"/>
        <w:jc w:val="both"/>
      </w:pPr>
      <w:r>
        <w:t xml:space="preserve">- договоры, заключенные с </w:t>
      </w:r>
      <w:proofErr w:type="spellStart"/>
      <w:r>
        <w:t>ресурсоснабжающими</w:t>
      </w:r>
      <w:proofErr w:type="spellEnd"/>
      <w:r>
        <w:t xml:space="preserve"> организациями, предоставившими услуги теплоснабжения;</w:t>
      </w:r>
    </w:p>
    <w:p w:rsidR="001D21DA" w:rsidRDefault="001D21DA" w:rsidP="00E13E3F">
      <w:pPr>
        <w:ind w:firstLine="708"/>
        <w:jc w:val="both"/>
      </w:pPr>
      <w:r>
        <w:t>- документы, подтверждающие фактически отпущенный объем услуги теплоснабжения населению за отчетный период;</w:t>
      </w:r>
    </w:p>
    <w:p w:rsidR="0018032A" w:rsidRDefault="00E13E3F" w:rsidP="00E13E3F">
      <w:pPr>
        <w:ind w:firstLine="708"/>
        <w:jc w:val="both"/>
      </w:pPr>
      <w:r>
        <w:t xml:space="preserve">- протоколы общих собраний собственников помещений в многоквартирных домах по выбору способа управления и управляющей организации, </w:t>
      </w:r>
    </w:p>
    <w:p w:rsidR="00E13E3F" w:rsidRDefault="0018032A" w:rsidP="00E13E3F">
      <w:pPr>
        <w:ind w:firstLine="708"/>
        <w:jc w:val="both"/>
      </w:pPr>
      <w:r>
        <w:t xml:space="preserve">- </w:t>
      </w:r>
      <w:r w:rsidR="00E13E3F">
        <w:t xml:space="preserve">перечень протоколов победителя открытого конкурса по отбору организаций для управления многоквартирными домами, проведенного в рамках ЖК РФ, </w:t>
      </w:r>
    </w:p>
    <w:p w:rsidR="00E13E3F" w:rsidRDefault="00E13E3F" w:rsidP="00E13E3F">
      <w:pPr>
        <w:ind w:firstLine="708"/>
        <w:jc w:val="both"/>
      </w:pPr>
      <w:r>
        <w:t>- договоры управления, подтверждающие правомерность управления одно</w:t>
      </w:r>
      <w:r w:rsidR="001D21DA">
        <w:t>квартирными домами (строениями)</w:t>
      </w:r>
    </w:p>
    <w:p w:rsidR="0018032A" w:rsidRPr="0018032A" w:rsidRDefault="0018032A" w:rsidP="00E13E3F">
      <w:pPr>
        <w:ind w:firstLine="708"/>
        <w:jc w:val="both"/>
      </w:pPr>
      <w:r>
        <w:t>Информационное требование – представление документов.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18032A" w:rsidRDefault="0018032A" w:rsidP="0018032A">
      <w:pPr>
        <w:ind w:firstLine="708"/>
        <w:jc w:val="both"/>
      </w:pPr>
      <w:r>
        <w:t xml:space="preserve">Проектом уточняется перечень документов: оригиналы </w:t>
      </w:r>
      <w:r w:rsidR="001D21DA">
        <w:t xml:space="preserve">договоров с </w:t>
      </w:r>
      <w:proofErr w:type="spellStart"/>
      <w:r w:rsidR="001D21DA">
        <w:t>ресурсоснабжающими</w:t>
      </w:r>
      <w:proofErr w:type="spellEnd"/>
      <w:r w:rsidR="001D21DA">
        <w:t xml:space="preserve"> организациями, документов, подтверждающих фактически отпущенный объем услуги теплоснабжения, </w:t>
      </w:r>
      <w:r>
        <w:t>протоколов собственников помещений в многоквартирных домах, договор</w:t>
      </w:r>
      <w:r w:rsidR="001D21DA">
        <w:t>ов</w:t>
      </w:r>
      <w:r>
        <w:t xml:space="preserve"> управления одноквартирными домами заменяются копиями.</w:t>
      </w:r>
    </w:p>
    <w:p w:rsidR="0018032A" w:rsidRPr="0018032A" w:rsidRDefault="0018032A" w:rsidP="0018032A">
      <w:pPr>
        <w:ind w:firstLine="708"/>
        <w:jc w:val="both"/>
      </w:pPr>
      <w:r>
        <w:t xml:space="preserve">Информационный элемент – </w:t>
      </w:r>
      <w:r w:rsidRPr="0018032A">
        <w:rPr>
          <w:i/>
        </w:rPr>
        <w:t>копи</w:t>
      </w:r>
      <w:r>
        <w:rPr>
          <w:i/>
        </w:rPr>
        <w:t xml:space="preserve">й </w:t>
      </w:r>
      <w:r>
        <w:t>документов.</w:t>
      </w:r>
    </w:p>
    <w:p w:rsidR="00E13E3F" w:rsidRPr="009B109A" w:rsidRDefault="00E13E3F" w:rsidP="00E13E3F">
      <w:pPr>
        <w:jc w:val="center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18032A" w:rsidP="0018032A">
      <w:pPr>
        <w:ind w:firstLine="708"/>
        <w:jc w:val="both"/>
      </w:pPr>
      <w:r>
        <w:t xml:space="preserve">Данные расчеты произведены для </w:t>
      </w:r>
      <w:r w:rsidR="00E13E3F" w:rsidRPr="009B109A">
        <w:t xml:space="preserve">1 </w:t>
      </w:r>
      <w:r w:rsidR="00E13E3F">
        <w:t xml:space="preserve">получателя </w:t>
      </w:r>
      <w:r w:rsidR="001354EC">
        <w:t>субсидии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0164D3">
        <w:t>2</w:t>
      </w:r>
      <w:r w:rsidRPr="009B109A">
        <w:t xml:space="preserve"> раз</w:t>
      </w:r>
      <w:r w:rsidR="000164D3">
        <w:t>а</w:t>
      </w:r>
      <w:r w:rsidRPr="009B109A">
        <w:t xml:space="preserve"> </w:t>
      </w:r>
      <w:r w:rsidR="0018032A">
        <w:t>при первичном обращении за предоставлением субсидии</w:t>
      </w:r>
      <w:r w:rsidR="000164D3">
        <w:t>: за второе полугодие отчетного года и за первое полугодие текущего года</w:t>
      </w:r>
      <w:r w:rsidRPr="009B109A">
        <w:t xml:space="preserve">. </w:t>
      </w:r>
    </w:p>
    <w:p w:rsidR="00E13E3F" w:rsidRPr="009B109A" w:rsidRDefault="00E13E3F" w:rsidP="00E13E3F">
      <w:pPr>
        <w:jc w:val="both"/>
      </w:pPr>
      <w:r w:rsidRPr="009B109A">
        <w:t xml:space="preserve">Частота выполнения – </w:t>
      </w:r>
      <w:r w:rsidR="000164D3">
        <w:t>2</w:t>
      </w:r>
      <w:r w:rsidRPr="009B109A">
        <w:t xml:space="preserve">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jc w:val="center"/>
      </w:pPr>
      <w:r w:rsidRPr="009B109A">
        <w:t xml:space="preserve"> 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E13E3F" w:rsidRPr="009B109A" w:rsidRDefault="00E13E3F" w:rsidP="00E13E3F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E13E3F" w:rsidRPr="009B109A" w:rsidRDefault="00E13E3F" w:rsidP="00E13E3F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1354EC">
        <w:t xml:space="preserve"> – изготовление копий документов</w:t>
      </w:r>
      <w:r w:rsidRPr="009B109A">
        <w:t>.</w:t>
      </w:r>
    </w:p>
    <w:p w:rsidR="00E13E3F" w:rsidRDefault="00E13E3F" w:rsidP="00E13E3F">
      <w:pPr>
        <w:jc w:val="center"/>
      </w:pPr>
    </w:p>
    <w:p w:rsidR="001354EC" w:rsidRPr="001354EC" w:rsidRDefault="001354EC" w:rsidP="001354EC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 w:rsidR="000164D3">
        <w:t>1</w:t>
      </w:r>
      <w:r w:rsidRPr="001354EC">
        <w:t xml:space="preserve"> час)/8=</w:t>
      </w:r>
      <w:r>
        <w:t xml:space="preserve"> </w:t>
      </w:r>
      <w:r w:rsidRPr="001354EC">
        <w:rPr>
          <w:b/>
        </w:rPr>
        <w:t>0,</w:t>
      </w:r>
      <w:r w:rsidR="000164D3">
        <w:rPr>
          <w:b/>
        </w:rPr>
        <w:t>125</w:t>
      </w:r>
      <w:r>
        <w:t xml:space="preserve"> человеко-</w:t>
      </w:r>
      <w:r w:rsidR="004C3AC6">
        <w:t>дн</w:t>
      </w:r>
      <w:r w:rsidR="000164D3">
        <w:t>я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2016г. по </w:t>
      </w:r>
      <w:r>
        <w:t>управляющим организациям</w:t>
      </w:r>
      <w:r w:rsidRPr="009B109A">
        <w:t xml:space="preserve"> и составляет </w:t>
      </w:r>
      <w:r>
        <w:t xml:space="preserve">39 387 </w:t>
      </w:r>
      <w:r w:rsidRPr="009B109A">
        <w:t>руб.</w:t>
      </w:r>
    </w:p>
    <w:p w:rsidR="00E13E3F" w:rsidRPr="009B109A" w:rsidRDefault="00E13E3F" w:rsidP="00E13E3F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 = 176 часов (8-часовой рабочий день). </w:t>
      </w:r>
    </w:p>
    <w:p w:rsidR="00E13E3F" w:rsidRPr="009B109A" w:rsidRDefault="00E13E3F" w:rsidP="00E13E3F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2016 году = </w:t>
      </w:r>
      <w:r>
        <w:t xml:space="preserve">39 387 </w:t>
      </w:r>
      <w:r w:rsidRPr="009B109A">
        <w:t xml:space="preserve">руб.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4C3AC6" w:rsidRDefault="00E13E3F" w:rsidP="00E13E3F">
      <w:pPr>
        <w:jc w:val="center"/>
      </w:pPr>
      <w:r w:rsidRPr="004C3AC6">
        <w:t>Средняя стоимость работы персонала</w:t>
      </w:r>
      <w:r w:rsidR="004C3AC6">
        <w:t xml:space="preserve"> в день при 8-часовой продолжительности рабочего дня</w:t>
      </w:r>
      <w:r w:rsidRPr="004C3AC6">
        <w:t xml:space="preserve"> = 39 387/</w:t>
      </w:r>
      <w:r w:rsidR="004C3AC6">
        <w:t>22</w:t>
      </w:r>
      <w:r w:rsidRPr="004C3AC6">
        <w:t>=</w:t>
      </w:r>
      <w:r w:rsidR="004C3AC6" w:rsidRPr="004C3AC6">
        <w:rPr>
          <w:b/>
        </w:rPr>
        <w:t>1790,32</w:t>
      </w:r>
      <w:r w:rsidRPr="004C3AC6">
        <w:t xml:space="preserve"> руб.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both"/>
      </w:pPr>
      <w:r w:rsidRPr="009B109A">
        <w:t xml:space="preserve">Картридж – </w:t>
      </w:r>
      <w:r w:rsidR="00BA7CBA">
        <w:t>5 069</w:t>
      </w:r>
      <w:r w:rsidRPr="009B109A">
        <w:t xml:space="preserve"> руб.</w:t>
      </w:r>
      <w:r w:rsidR="00BA7CBA">
        <w:t>/20000страниц</w:t>
      </w:r>
    </w:p>
    <w:p w:rsidR="00875C5A" w:rsidRPr="00875C5A" w:rsidRDefault="00875C5A" w:rsidP="00E13E3F">
      <w:pPr>
        <w:jc w:val="both"/>
        <w:rPr>
          <w:i/>
        </w:rPr>
      </w:pPr>
      <w:r w:rsidRPr="00875C5A">
        <w:rPr>
          <w:i/>
        </w:rPr>
        <w:t>Стоимость картриджа на 1 лист = 5069/20000=0,25</w:t>
      </w:r>
      <w:r w:rsidR="00E34A66">
        <w:rPr>
          <w:i/>
        </w:rPr>
        <w:t>4</w:t>
      </w:r>
      <w:r w:rsidRPr="00875C5A">
        <w:rPr>
          <w:i/>
        </w:rPr>
        <w:t>руб/л</w:t>
      </w:r>
    </w:p>
    <w:p w:rsidR="00E13E3F" w:rsidRDefault="00E13E3F" w:rsidP="00E13E3F">
      <w:pPr>
        <w:jc w:val="both"/>
      </w:pPr>
      <w:r w:rsidRPr="009B109A">
        <w:t xml:space="preserve">Пачка бумаги (А4) – </w:t>
      </w:r>
      <w:r w:rsidR="00875C5A">
        <w:t>218</w:t>
      </w:r>
      <w:r w:rsidRPr="009B109A">
        <w:t xml:space="preserve"> руб./</w:t>
      </w:r>
      <w:r w:rsidR="00875C5A">
        <w:t>500л</w:t>
      </w:r>
    </w:p>
    <w:p w:rsidR="00BD1E34" w:rsidRPr="009B109A" w:rsidRDefault="00BD1E34" w:rsidP="00BD1E34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875C5A" w:rsidRDefault="00875C5A" w:rsidP="00E13E3F">
      <w:pPr>
        <w:jc w:val="both"/>
        <w:rPr>
          <w:i/>
        </w:rPr>
      </w:pPr>
      <w:r>
        <w:rPr>
          <w:i/>
        </w:rPr>
        <w:t xml:space="preserve">Количество бумаги, необходимой для осуществления информационного требования – </w:t>
      </w:r>
      <w:r w:rsidR="000164D3">
        <w:rPr>
          <w:i/>
        </w:rPr>
        <w:t>5</w:t>
      </w:r>
      <w:r>
        <w:rPr>
          <w:i/>
        </w:rPr>
        <w:t>00 листов</w:t>
      </w:r>
    </w:p>
    <w:p w:rsidR="00E13E3F" w:rsidRPr="009B109A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Pr="009B109A">
        <w:rPr>
          <w:b/>
          <w:vertAlign w:val="subscript"/>
        </w:rPr>
        <w:t>И</w:t>
      </w:r>
      <w:r w:rsidR="001354EC">
        <w:rPr>
          <w:b/>
        </w:rPr>
        <w:t>т</w:t>
      </w:r>
      <w:proofErr w:type="spellEnd"/>
      <w:r w:rsidRPr="009B109A">
        <w:rPr>
          <w:b/>
        </w:rPr>
        <w:t>=МР/ (</w:t>
      </w:r>
      <w:r w:rsidRPr="009B109A">
        <w:rPr>
          <w:b/>
          <w:lang w:val="en-US"/>
        </w:rPr>
        <w:t>n</w:t>
      </w:r>
      <w:r w:rsidRPr="009B109A">
        <w:rPr>
          <w:b/>
        </w:rPr>
        <w:t>*</w:t>
      </w:r>
      <w:r w:rsidRPr="009B109A">
        <w:rPr>
          <w:b/>
          <w:lang w:val="en-US"/>
        </w:rPr>
        <w:t>q</w:t>
      </w:r>
      <w:r w:rsidRPr="009B109A">
        <w:rPr>
          <w:b/>
        </w:rPr>
        <w:t>), где: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both"/>
      </w:pPr>
      <w:r w:rsidRPr="009B109A">
        <w:t>МР – средняя рыночная цена на соответствующий товар;</w:t>
      </w:r>
    </w:p>
    <w:p w:rsidR="00E13E3F" w:rsidRPr="009B109A" w:rsidRDefault="00E13E3F" w:rsidP="00E13E3F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E13E3F" w:rsidRDefault="00E13E3F" w:rsidP="00E13E3F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BD1E34" w:rsidRPr="009B109A" w:rsidRDefault="00BD1E34" w:rsidP="00E13E3F">
      <w:pPr>
        <w:jc w:val="both"/>
      </w:pPr>
    </w:p>
    <w:p w:rsidR="00E13E3F" w:rsidRDefault="00BD1E34" w:rsidP="00E13E3F">
      <w:pPr>
        <w:jc w:val="both"/>
      </w:pPr>
      <w:r>
        <w:t>МР=0,254руб</w:t>
      </w:r>
      <w:r w:rsidR="000164D3">
        <w:t>*500л</w:t>
      </w:r>
      <w:r>
        <w:t>+</w:t>
      </w:r>
      <w:r w:rsidR="000164D3">
        <w:t>218</w:t>
      </w:r>
      <w:r>
        <w:t>руб=</w:t>
      </w:r>
      <w:r w:rsidR="000164D3">
        <w:t>345</w:t>
      </w:r>
      <w:r w:rsidR="00E34A66">
        <w:t>,00</w:t>
      </w:r>
      <w:r>
        <w:t xml:space="preserve"> руб.</w:t>
      </w:r>
    </w:p>
    <w:p w:rsidR="00BD1E34" w:rsidRPr="009B109A" w:rsidRDefault="00BD1E34" w:rsidP="00E13E3F">
      <w:pPr>
        <w:jc w:val="both"/>
      </w:pPr>
    </w:p>
    <w:p w:rsidR="00E13E3F" w:rsidRPr="009B109A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="001354EC">
        <w:rPr>
          <w:b/>
        </w:rPr>
        <w:t>ит</w:t>
      </w:r>
      <w:proofErr w:type="spellEnd"/>
      <w:r w:rsidR="00BD1E34">
        <w:rPr>
          <w:b/>
        </w:rPr>
        <w:t xml:space="preserve">= </w:t>
      </w:r>
      <w:r w:rsidR="000164D3">
        <w:rPr>
          <w:b/>
        </w:rPr>
        <w:t>345</w:t>
      </w:r>
      <w:r w:rsidR="00E34A66">
        <w:rPr>
          <w:b/>
        </w:rPr>
        <w:t>,00</w:t>
      </w:r>
      <w:r w:rsidRPr="009B109A">
        <w:rPr>
          <w:b/>
        </w:rPr>
        <w:t xml:space="preserve">/(1*1) = </w:t>
      </w:r>
      <w:r w:rsidR="000164D3">
        <w:rPr>
          <w:b/>
        </w:rPr>
        <w:t>345</w:t>
      </w:r>
      <w:r w:rsidR="00E34A66">
        <w:rPr>
          <w:b/>
        </w:rPr>
        <w:t>,00</w:t>
      </w:r>
      <w:r w:rsidRPr="009B109A">
        <w:rPr>
          <w:b/>
        </w:rPr>
        <w:t>руб.</w:t>
      </w: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lastRenderedPageBreak/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E13E3F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 w:rsidR="004C3AC6">
        <w:rPr>
          <w:b/>
        </w:rPr>
        <w:t>0,</w:t>
      </w:r>
      <w:r w:rsidR="000164D3">
        <w:rPr>
          <w:b/>
        </w:rPr>
        <w:t>1</w:t>
      </w:r>
      <w:r w:rsidR="004C3AC6">
        <w:rPr>
          <w:b/>
        </w:rPr>
        <w:t>25 *</w:t>
      </w:r>
      <w:r w:rsidR="000164D3">
        <w:rPr>
          <w:b/>
        </w:rPr>
        <w:t xml:space="preserve"> 1</w:t>
      </w:r>
      <w:r w:rsidR="004C3AC6">
        <w:rPr>
          <w:b/>
        </w:rPr>
        <w:t xml:space="preserve"> 790,32</w:t>
      </w:r>
      <w:r w:rsidRPr="009B109A">
        <w:rPr>
          <w:b/>
        </w:rPr>
        <w:t xml:space="preserve"> + </w:t>
      </w:r>
      <w:r w:rsidR="000164D3">
        <w:rPr>
          <w:b/>
        </w:rPr>
        <w:t>345</w:t>
      </w:r>
      <w:r w:rsidR="00E34A66">
        <w:rPr>
          <w:b/>
        </w:rPr>
        <w:t>,00</w:t>
      </w:r>
      <w:r w:rsidRPr="009B109A">
        <w:rPr>
          <w:b/>
        </w:rPr>
        <w:t xml:space="preserve"> = </w:t>
      </w:r>
      <w:r w:rsidR="000164D3">
        <w:rPr>
          <w:b/>
        </w:rPr>
        <w:t>568,79</w:t>
      </w:r>
      <w:r w:rsidRPr="009B109A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ind w:firstLine="708"/>
        <w:jc w:val="both"/>
      </w:pPr>
      <w:r w:rsidRPr="009B109A">
        <w:t xml:space="preserve">Таким образом, информационные издержки </w:t>
      </w:r>
      <w:r>
        <w:t xml:space="preserve">на выполнение работ </w:t>
      </w:r>
      <w:r>
        <w:br/>
        <w:t xml:space="preserve">по </w:t>
      </w:r>
      <w:r w:rsidR="004C3AC6">
        <w:t>изготовлению копий документов</w:t>
      </w:r>
      <w:r w:rsidRPr="009B109A">
        <w:t xml:space="preserve"> </w:t>
      </w:r>
      <w:r w:rsidR="000164D3">
        <w:t>для одной заявки</w:t>
      </w:r>
      <w:r w:rsidR="00BD1E34">
        <w:t xml:space="preserve"> получателя субсидии </w:t>
      </w:r>
      <w:r w:rsidRPr="009B109A">
        <w:t xml:space="preserve">составят </w:t>
      </w:r>
      <w:r w:rsidR="000164D3">
        <w:t>568,79</w:t>
      </w:r>
      <w:r w:rsidRPr="009B109A">
        <w:t xml:space="preserve"> руб.</w:t>
      </w:r>
      <w:r w:rsidR="000164D3">
        <w:t xml:space="preserve">, </w:t>
      </w:r>
      <w:r w:rsidR="000164D3" w:rsidRPr="000164D3">
        <w:rPr>
          <w:b/>
        </w:rPr>
        <w:t>для двух раз 1137,58 руб.</w:t>
      </w:r>
    </w:p>
    <w:p w:rsidR="00E13E3F" w:rsidRDefault="00E13E3F" w:rsidP="00E13E3F">
      <w:pPr>
        <w:ind w:firstLine="708"/>
        <w:jc w:val="both"/>
      </w:pPr>
    </w:p>
    <w:p w:rsidR="00E13E3F" w:rsidRPr="009B109A" w:rsidRDefault="00E13E3F" w:rsidP="00E13E3F">
      <w:pPr>
        <w:ind w:firstLine="708"/>
        <w:jc w:val="both"/>
      </w:pPr>
      <w:r>
        <w:t xml:space="preserve">Утвержденным бюджетом 2017 года предусмотрена субсидия </w:t>
      </w:r>
      <w:r>
        <w:br/>
        <w:t xml:space="preserve">на </w:t>
      </w:r>
      <w:r w:rsidRPr="000164D3">
        <w:t>возмещение</w:t>
      </w:r>
      <w:r w:rsidR="000164D3" w:rsidRPr="000164D3">
        <w:t xml:space="preserve"> </w:t>
      </w:r>
      <w:r w:rsidR="000164D3" w:rsidRPr="000164D3">
        <w:t>недополученных доходов в связи с оказанием услуг теплоснабжения населению, проживающему во временных поселках»</w:t>
      </w:r>
      <w:r w:rsidR="004C3AC6" w:rsidRPr="000164D3">
        <w:t>,</w:t>
      </w:r>
      <w:r w:rsidR="004C3AC6">
        <w:t xml:space="preserve"> в размере </w:t>
      </w:r>
      <w:r w:rsidR="00FF5B9E">
        <w:t>7 886 921,03</w:t>
      </w:r>
      <w:r w:rsidR="004C3AC6">
        <w:t xml:space="preserve"> руб.</w:t>
      </w:r>
      <w:r>
        <w:t xml:space="preserve"> Таким образом информационные издержки в 2017 году составят </w:t>
      </w:r>
      <w:r w:rsidR="00FF5B9E">
        <w:t>1137,58</w:t>
      </w:r>
      <w:r w:rsidR="00BD1E34">
        <w:t xml:space="preserve"> руб. для дву</w:t>
      </w:r>
      <w:r w:rsidR="00FF5B9E">
        <w:t>кратного обращения</w:t>
      </w:r>
      <w:r w:rsidR="00BD1E34">
        <w:t xml:space="preserve"> получател</w:t>
      </w:r>
      <w:r w:rsidR="00FF5B9E">
        <w:t>я</w:t>
      </w:r>
      <w:r w:rsidR="00BD1E34">
        <w:t xml:space="preserve"> субсидии</w:t>
      </w:r>
      <w:r w:rsidR="00FF5B9E">
        <w:t>.</w:t>
      </w: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C5" w:rsidRDefault="00251BC5">
      <w:r>
        <w:separator/>
      </w:r>
    </w:p>
  </w:endnote>
  <w:endnote w:type="continuationSeparator" w:id="0">
    <w:p w:rsidR="00251BC5" w:rsidRDefault="002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C5" w:rsidRDefault="00251BC5">
      <w:r>
        <w:separator/>
      </w:r>
    </w:p>
  </w:footnote>
  <w:footnote w:type="continuationSeparator" w:id="0">
    <w:p w:rsidR="00251BC5" w:rsidRDefault="0025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1531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251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164D3"/>
    <w:rsid w:val="000203D5"/>
    <w:rsid w:val="000220B2"/>
    <w:rsid w:val="00093713"/>
    <w:rsid w:val="000A6523"/>
    <w:rsid w:val="000C0765"/>
    <w:rsid w:val="001354EC"/>
    <w:rsid w:val="001604C9"/>
    <w:rsid w:val="00161FC8"/>
    <w:rsid w:val="0018032A"/>
    <w:rsid w:val="0018129D"/>
    <w:rsid w:val="001B3A69"/>
    <w:rsid w:val="001D21DA"/>
    <w:rsid w:val="001D22F1"/>
    <w:rsid w:val="002275A6"/>
    <w:rsid w:val="00231B1A"/>
    <w:rsid w:val="00233AC1"/>
    <w:rsid w:val="00251BC5"/>
    <w:rsid w:val="002922AB"/>
    <w:rsid w:val="002938AB"/>
    <w:rsid w:val="002A484C"/>
    <w:rsid w:val="002B7C26"/>
    <w:rsid w:val="002E1F16"/>
    <w:rsid w:val="00364C27"/>
    <w:rsid w:val="003B3D04"/>
    <w:rsid w:val="003B5034"/>
    <w:rsid w:val="003B6894"/>
    <w:rsid w:val="003E4309"/>
    <w:rsid w:val="00415AF7"/>
    <w:rsid w:val="00425F0B"/>
    <w:rsid w:val="00462105"/>
    <w:rsid w:val="004C1471"/>
    <w:rsid w:val="004C3AC6"/>
    <w:rsid w:val="004D0BC9"/>
    <w:rsid w:val="0053173B"/>
    <w:rsid w:val="00584BA8"/>
    <w:rsid w:val="00617315"/>
    <w:rsid w:val="0063180D"/>
    <w:rsid w:val="006514DC"/>
    <w:rsid w:val="00662DB8"/>
    <w:rsid w:val="006A5960"/>
    <w:rsid w:val="006F1531"/>
    <w:rsid w:val="00734215"/>
    <w:rsid w:val="007A350B"/>
    <w:rsid w:val="007B5660"/>
    <w:rsid w:val="00804CB2"/>
    <w:rsid w:val="00816DBB"/>
    <w:rsid w:val="008340E0"/>
    <w:rsid w:val="00864260"/>
    <w:rsid w:val="00875C5A"/>
    <w:rsid w:val="008967C8"/>
    <w:rsid w:val="008C7AB3"/>
    <w:rsid w:val="00910DD8"/>
    <w:rsid w:val="00917CA7"/>
    <w:rsid w:val="00943675"/>
    <w:rsid w:val="0096108F"/>
    <w:rsid w:val="009A73DA"/>
    <w:rsid w:val="00A01936"/>
    <w:rsid w:val="00A11554"/>
    <w:rsid w:val="00A26264"/>
    <w:rsid w:val="00A3563D"/>
    <w:rsid w:val="00A544D5"/>
    <w:rsid w:val="00A56981"/>
    <w:rsid w:val="00A67A6E"/>
    <w:rsid w:val="00B25EFC"/>
    <w:rsid w:val="00B30120"/>
    <w:rsid w:val="00BA322F"/>
    <w:rsid w:val="00BA7CBA"/>
    <w:rsid w:val="00BC2220"/>
    <w:rsid w:val="00BD1E34"/>
    <w:rsid w:val="00C266E3"/>
    <w:rsid w:val="00C712AA"/>
    <w:rsid w:val="00CE72BE"/>
    <w:rsid w:val="00D0592A"/>
    <w:rsid w:val="00D534E1"/>
    <w:rsid w:val="00D72F37"/>
    <w:rsid w:val="00D822AD"/>
    <w:rsid w:val="00DD3269"/>
    <w:rsid w:val="00DE6FBD"/>
    <w:rsid w:val="00DF5C5C"/>
    <w:rsid w:val="00E13E3F"/>
    <w:rsid w:val="00E34A66"/>
    <w:rsid w:val="00E40025"/>
    <w:rsid w:val="00EB295D"/>
    <w:rsid w:val="00F6570C"/>
    <w:rsid w:val="00F90F04"/>
    <w:rsid w:val="00FB177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AA66-7A54-4262-8F2C-A7E359D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13</cp:revision>
  <cp:lastPrinted>2017-10-13T09:40:00Z</cp:lastPrinted>
  <dcterms:created xsi:type="dcterms:W3CDTF">2017-10-05T04:28:00Z</dcterms:created>
  <dcterms:modified xsi:type="dcterms:W3CDTF">2017-10-13T09:43:00Z</dcterms:modified>
</cp:coreProperties>
</file>