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CC7542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CC7542" w:rsidRPr="00CC7542">
        <w:rPr>
          <w:i/>
        </w:rPr>
        <w:t>06.04.2017 № 2410 «О порядке предоставления субсидии на финансовое обеспечение (возмещение) затрат по содержанию объектов похоронного обслуживания</w:t>
      </w:r>
      <w:r w:rsidR="00CC7542">
        <w:rPr>
          <w:i/>
        </w:rPr>
        <w:t>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BE107C" w:rsidRPr="000F1E09">
          <w:rPr>
            <w:rStyle w:val="a9"/>
          </w:rPr>
          <w:t>http://admsurgut.ru</w:t>
        </w:r>
      </w:hyperlink>
      <w:r w:rsidR="00233AC1" w:rsidRPr="00397000">
        <w:t>/</w:t>
      </w:r>
      <w:r w:rsidR="00BE107C">
        <w:t xml:space="preserve"> </w:t>
      </w:r>
      <w:proofErr w:type="spellStart"/>
      <w:r w:rsidR="00233AC1" w:rsidRPr="00397000">
        <w:t>rubric</w:t>
      </w:r>
      <w:proofErr w:type="spellEnd"/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8A48E3">
        <w:rPr>
          <w:rFonts w:ascii="Times New Roman" w:hAnsi="Times New Roman" w:cs="Times New Roman"/>
          <w:i/>
          <w:sz w:val="27"/>
          <w:szCs w:val="27"/>
        </w:rPr>
        <w:t>4</w:t>
      </w:r>
      <w:r w:rsidR="00CC7542">
        <w:rPr>
          <w:rFonts w:ascii="Times New Roman" w:hAnsi="Times New Roman" w:cs="Times New Roman"/>
          <w:i/>
          <w:sz w:val="27"/>
          <w:szCs w:val="27"/>
        </w:rPr>
        <w:t>3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</w:t>
      </w:r>
      <w:r w:rsidR="00CC7542">
        <w:rPr>
          <w:rFonts w:ascii="Times New Roman" w:hAnsi="Times New Roman"/>
          <w:i/>
          <w:sz w:val="28"/>
          <w:szCs w:val="28"/>
        </w:rPr>
        <w:t xml:space="preserve">абзац второй </w:t>
      </w:r>
      <w:r w:rsidRPr="00D534E1">
        <w:rPr>
          <w:rFonts w:ascii="Times New Roman" w:hAnsi="Times New Roman"/>
          <w:i/>
          <w:sz w:val="28"/>
          <w:szCs w:val="28"/>
        </w:rPr>
        <w:t>пункт</w:t>
      </w:r>
      <w:r w:rsidR="00CC7542">
        <w:rPr>
          <w:rFonts w:ascii="Times New Roman" w:hAnsi="Times New Roman"/>
          <w:i/>
          <w:sz w:val="28"/>
          <w:szCs w:val="28"/>
        </w:rPr>
        <w:t>а</w:t>
      </w:r>
      <w:r w:rsidRPr="00D534E1">
        <w:rPr>
          <w:rFonts w:ascii="Times New Roman" w:hAnsi="Times New Roman"/>
          <w:i/>
          <w:sz w:val="28"/>
          <w:szCs w:val="28"/>
        </w:rPr>
        <w:t xml:space="preserve"> 1.1 проекта).</w:t>
      </w:r>
    </w:p>
    <w:p w:rsidR="00CC7542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</w:t>
      </w:r>
      <w:r w:rsidRPr="00D927B8">
        <w:rPr>
          <w:rFonts w:ascii="Times New Roman" w:hAnsi="Times New Roman"/>
          <w:i/>
          <w:sz w:val="28"/>
          <w:szCs w:val="28"/>
        </w:rPr>
        <w:br/>
        <w:t xml:space="preserve">до начала осуществления </w:t>
      </w:r>
      <w:r>
        <w:rPr>
          <w:rFonts w:ascii="Times New Roman" w:hAnsi="Times New Roman"/>
          <w:i/>
          <w:sz w:val="28"/>
          <w:szCs w:val="28"/>
        </w:rPr>
        <w:t>объектов похоронного обслуживания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» (абзац второй пункта 1.2 проекта). В связи с тем, что одним из основных критериев отбора получателей субсидии является </w:t>
      </w:r>
      <w:r w:rsidRPr="00CC7542">
        <w:rPr>
          <w:rFonts w:ascii="Times New Roman" w:hAnsi="Times New Roman" w:cs="Times New Roman"/>
          <w:i/>
          <w:sz w:val="27"/>
          <w:szCs w:val="27"/>
        </w:rPr>
        <w:t xml:space="preserve">наличие «установленных в соответствии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CC7542">
        <w:rPr>
          <w:rFonts w:ascii="Times New Roman" w:hAnsi="Times New Roman" w:cs="Times New Roman"/>
          <w:i/>
          <w:sz w:val="27"/>
          <w:szCs w:val="27"/>
        </w:rPr>
        <w:t xml:space="preserve">с законодательством РФ стоимостей услуг, предоставляемых согласно гарантированному перечню услуг по погребению умерших путем предания тела (останков) умершего огню» и «в уставе в качестве предмета (вида) деятельности указания на кремацию (огненное погребение) с последующей выдачей урны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CC7542">
        <w:rPr>
          <w:rFonts w:ascii="Times New Roman" w:hAnsi="Times New Roman" w:cs="Times New Roman"/>
          <w:i/>
          <w:sz w:val="27"/>
          <w:szCs w:val="27"/>
        </w:rPr>
        <w:t>с прахом и ее захоронение»,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то срок обращения не влияет на объем выполняемых работ (оказываемых услуг) и размер субсидии</w:t>
      </w:r>
      <w:r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CC7542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случае получения отказа (абзац второй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CC7542" w:rsidRPr="00F90F04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содержания </w:t>
      </w:r>
      <w:r>
        <w:rPr>
          <w:rFonts w:ascii="Times New Roman" w:hAnsi="Times New Roman"/>
          <w:i/>
          <w:sz w:val="28"/>
          <w:szCs w:val="28"/>
        </w:rPr>
        <w:t>объектов похоронного обслуживания</w:t>
      </w:r>
      <w:r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(абзац </w:t>
      </w:r>
      <w:r>
        <w:rPr>
          <w:rFonts w:ascii="Times New Roman" w:hAnsi="Times New Roman"/>
          <w:i/>
          <w:sz w:val="28"/>
          <w:szCs w:val="28"/>
        </w:rPr>
        <w:t>третий</w:t>
      </w:r>
      <w:r w:rsidRPr="00D927B8">
        <w:rPr>
          <w:rFonts w:ascii="Times New Roman" w:hAnsi="Times New Roman"/>
          <w:i/>
          <w:sz w:val="28"/>
          <w:szCs w:val="28"/>
        </w:rPr>
        <w:t xml:space="preserve">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CC7542" w:rsidRPr="00D927B8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>
        <w:rPr>
          <w:rFonts w:ascii="Times New Roman" w:hAnsi="Times New Roman" w:cs="Times New Roman"/>
          <w:i/>
          <w:sz w:val="27"/>
          <w:szCs w:val="27"/>
        </w:rPr>
        <w:lastRenderedPageBreak/>
        <w:t>8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CC7542" w:rsidRPr="00841743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>
        <w:rPr>
          <w:rFonts w:ascii="Times New Roman" w:hAnsi="Times New Roman" w:cs="Times New Roman"/>
          <w:i/>
          <w:sz w:val="27"/>
          <w:szCs w:val="27"/>
        </w:rPr>
        <w:t>3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CC7542" w:rsidRPr="00841743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CC7542" w:rsidRPr="00D927B8" w:rsidRDefault="00CC7542" w:rsidP="00CC7542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CC7542" w:rsidRPr="00D927B8" w:rsidRDefault="00CC7542" w:rsidP="00CC754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CC7542" w:rsidRPr="00D927B8" w:rsidRDefault="00CC7542" w:rsidP="00CC754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CC7542" w:rsidRPr="00BA322F" w:rsidRDefault="00CC7542" w:rsidP="00CC7542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Приведение нормативного правового акта, регулирующего предоставле</w:t>
      </w:r>
      <w:r>
        <w:rPr>
          <w:i/>
        </w:rPr>
        <w:lastRenderedPageBreak/>
        <w:t xml:space="preserve">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425F0B">
        <w:rPr>
          <w:i/>
        </w:rPr>
        <w:t xml:space="preserve"> </w:t>
      </w:r>
      <w:r w:rsidR="00BE107C">
        <w:rPr>
          <w:i/>
        </w:rPr>
        <w:t xml:space="preserve">зарегистрированные и </w:t>
      </w:r>
      <w:r w:rsidR="00425F0B">
        <w:rPr>
          <w:i/>
        </w:rPr>
        <w:t>осуществляющие свою деятельность на территории гор</w:t>
      </w:r>
      <w:r w:rsidR="00CE72BE">
        <w:rPr>
          <w:i/>
        </w:rPr>
        <w:t>о</w:t>
      </w:r>
      <w:r w:rsidR="00425F0B">
        <w:rPr>
          <w:i/>
        </w:rPr>
        <w:t>да</w:t>
      </w:r>
      <w:r w:rsidR="00BE107C">
        <w:rPr>
          <w:i/>
        </w:rPr>
        <w:t xml:space="preserve"> Сургута</w:t>
      </w:r>
      <w:r w:rsidR="00425F0B">
        <w:rPr>
          <w:i/>
        </w:rPr>
        <w:t xml:space="preserve">, </w:t>
      </w:r>
      <w:r w:rsidR="00BD6C69">
        <w:rPr>
          <w:i/>
        </w:rPr>
        <w:t xml:space="preserve">соответствующие критериям отбора получателей субсидии </w:t>
      </w:r>
      <w:r w:rsidR="00425F0B">
        <w:rPr>
          <w:i/>
        </w:rPr>
        <w:t>и выполняющие работы (оказывающие услуги</w:t>
      </w:r>
      <w:r w:rsidR="00BE107C">
        <w:rPr>
          <w:i/>
        </w:rPr>
        <w:t>)</w:t>
      </w:r>
      <w:r w:rsidR="00425F0B">
        <w:rPr>
          <w:i/>
        </w:rPr>
        <w:t xml:space="preserve"> по </w:t>
      </w:r>
      <w:r w:rsidR="00CC7542">
        <w:rPr>
          <w:i/>
        </w:rPr>
        <w:t>содержанию объектов похоронного обслуживания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CC7542">
        <w:rPr>
          <w:bCs/>
          <w:i/>
        </w:rPr>
        <w:t xml:space="preserve"> </w:t>
      </w:r>
      <w:r w:rsidR="00CC7542" w:rsidRPr="00CC7542">
        <w:rPr>
          <w:i/>
        </w:rPr>
        <w:t>06.04.2017 № 2410 «О порядке предоставления субсидии на финансовое обеспечение (возмещение) затрат по содержанию объектов похоронного обслуживания</w:t>
      </w:r>
      <w:r w:rsidR="00CC7542">
        <w:rPr>
          <w:i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547"/>
        <w:gridCol w:w="1879"/>
        <w:gridCol w:w="14"/>
        <w:gridCol w:w="3352"/>
        <w:gridCol w:w="2001"/>
      </w:tblGrid>
      <w:tr w:rsidR="00662DB8" w:rsidTr="00BE107C">
        <w:tc>
          <w:tcPr>
            <w:tcW w:w="2547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1893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352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001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</w:t>
            </w:r>
            <w:r w:rsidRPr="00A37C70">
              <w:lastRenderedPageBreak/>
              <w:t>мого правового регулирования в среднесрочном периоде (1 – 3 года)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CB423C" w:rsidP="00BE107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соответствующие </w:t>
            </w:r>
            <w:r>
              <w:rPr>
                <w:i/>
              </w:rPr>
              <w:lastRenderedPageBreak/>
              <w:t>критериям отбора получателей субсидии и выполняющие работы (оказывающие услуги) по содержанию объектов похоронного обслуживания</w:t>
            </w:r>
            <w:r>
              <w:rPr>
                <w:i/>
              </w:rPr>
              <w:t xml:space="preserve"> (2017-2020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 -1)</w:t>
            </w:r>
            <w:bookmarkStart w:id="0" w:name="_GoBack"/>
            <w:bookmarkEnd w:id="0"/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1893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52" w:type="dxa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BE107C">
        <w:tc>
          <w:tcPr>
            <w:tcW w:w="2547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1879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001" w:type="dxa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 xml:space="preserve">явленной </w:t>
      </w:r>
      <w:r w:rsidR="00804CB2">
        <w:rPr>
          <w:i/>
        </w:rPr>
        <w:lastRenderedPageBreak/>
        <w:t>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87" w:rsidRDefault="00B72887">
      <w:r>
        <w:separator/>
      </w:r>
    </w:p>
  </w:endnote>
  <w:endnote w:type="continuationSeparator" w:id="0">
    <w:p w:rsidR="00B72887" w:rsidRDefault="00B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87" w:rsidRDefault="00B72887">
      <w:r>
        <w:separator/>
      </w:r>
    </w:p>
  </w:footnote>
  <w:footnote w:type="continuationSeparator" w:id="0">
    <w:p w:rsidR="00B72887" w:rsidRDefault="00B7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23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B72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804CB2"/>
    <w:rsid w:val="00816DBB"/>
    <w:rsid w:val="008340E0"/>
    <w:rsid w:val="00864260"/>
    <w:rsid w:val="008967C8"/>
    <w:rsid w:val="008A48E3"/>
    <w:rsid w:val="008C7AB3"/>
    <w:rsid w:val="00910DD8"/>
    <w:rsid w:val="00917CA7"/>
    <w:rsid w:val="0096108F"/>
    <w:rsid w:val="00A01936"/>
    <w:rsid w:val="00A11554"/>
    <w:rsid w:val="00A26264"/>
    <w:rsid w:val="00A544D5"/>
    <w:rsid w:val="00A56981"/>
    <w:rsid w:val="00A67A6E"/>
    <w:rsid w:val="00B30120"/>
    <w:rsid w:val="00B72887"/>
    <w:rsid w:val="00BA322F"/>
    <w:rsid w:val="00BC2220"/>
    <w:rsid w:val="00BD6C69"/>
    <w:rsid w:val="00BE107C"/>
    <w:rsid w:val="00C266E3"/>
    <w:rsid w:val="00C413D5"/>
    <w:rsid w:val="00C712AA"/>
    <w:rsid w:val="00C90F3D"/>
    <w:rsid w:val="00CB423C"/>
    <w:rsid w:val="00CC7542"/>
    <w:rsid w:val="00CE72BE"/>
    <w:rsid w:val="00D0592A"/>
    <w:rsid w:val="00D534E1"/>
    <w:rsid w:val="00D72F37"/>
    <w:rsid w:val="00D822AD"/>
    <w:rsid w:val="00DD3269"/>
    <w:rsid w:val="00DE6FBD"/>
    <w:rsid w:val="00DF5C5C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E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2DD-7AE8-44B5-A0C0-E5EB1027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10</cp:revision>
  <cp:lastPrinted>2017-10-11T08:11:00Z</cp:lastPrinted>
  <dcterms:created xsi:type="dcterms:W3CDTF">2017-10-05T04:28:00Z</dcterms:created>
  <dcterms:modified xsi:type="dcterms:W3CDTF">2017-10-12T13:42:00Z</dcterms:modified>
</cp:coreProperties>
</file>