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CC0F6C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</w:t>
      </w:r>
      <w:r w:rsidR="008967C8" w:rsidRPr="00CC0F6C">
        <w:rPr>
          <w:bCs/>
          <w:i/>
        </w:rPr>
        <w:t xml:space="preserve">от </w:t>
      </w:r>
      <w:r w:rsidR="00CC0F6C" w:rsidRPr="00CC0F6C">
        <w:rPr>
          <w:i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proofErr w:type="gramStart"/>
      <w:r w:rsidR="00233AC1" w:rsidRPr="00397000">
        <w:t>http://admsurgut.ru/rubric/21312/Proekty-municipalnyh-NPA-dlya-provedeniya-ocenki</w:t>
      </w:r>
      <w:proofErr w:type="gram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  <w:r w:rsidR="00EF5354">
        <w:rPr>
          <w:rFonts w:ascii="Times New Roman" w:hAnsi="Times New Roman" w:cs="Times New Roman"/>
          <w:i/>
          <w:sz w:val="28"/>
          <w:szCs w:val="28"/>
        </w:rPr>
        <w:t>;</w:t>
      </w:r>
    </w:p>
    <w:p w:rsidR="00D534E1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  <w:r w:rsidR="00EF5354">
        <w:rPr>
          <w:rFonts w:ascii="Times New Roman" w:hAnsi="Times New Roman" w:cs="Times New Roman"/>
          <w:i/>
          <w:sz w:val="27"/>
          <w:szCs w:val="27"/>
        </w:rPr>
        <w:t>;</w:t>
      </w:r>
    </w:p>
    <w:p w:rsidR="00EF5354" w:rsidRPr="00EF5354" w:rsidRDefault="00EF5354" w:rsidP="00EF5354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EF5354">
        <w:rPr>
          <w:i/>
        </w:rPr>
        <w:t>постановлени</w:t>
      </w:r>
      <w:r w:rsidR="00A026EB">
        <w:rPr>
          <w:i/>
        </w:rPr>
        <w:t>е</w:t>
      </w:r>
      <w:r w:rsidRPr="00EF5354">
        <w:rPr>
          <w:i/>
        </w:rPr>
        <w:t xml:space="preserve"> Администрации города от 1</w:t>
      </w:r>
      <w:r w:rsidR="00CC0F6C">
        <w:rPr>
          <w:i/>
        </w:rPr>
        <w:t>3</w:t>
      </w:r>
      <w:r w:rsidRPr="00EF5354">
        <w:rPr>
          <w:i/>
        </w:rPr>
        <w:t>.0</w:t>
      </w:r>
      <w:r w:rsidR="00CC0F6C">
        <w:rPr>
          <w:i/>
        </w:rPr>
        <w:t>5</w:t>
      </w:r>
      <w:r w:rsidRPr="00EF5354">
        <w:rPr>
          <w:i/>
        </w:rPr>
        <w:t>.201</w:t>
      </w:r>
      <w:r w:rsidR="00CC0F6C">
        <w:rPr>
          <w:i/>
        </w:rPr>
        <w:t>3</w:t>
      </w:r>
      <w:r w:rsidRPr="00EF5354">
        <w:rPr>
          <w:i/>
        </w:rPr>
        <w:t xml:space="preserve"> № 30</w:t>
      </w:r>
      <w:r w:rsidR="00CC0F6C">
        <w:rPr>
          <w:i/>
        </w:rPr>
        <w:t>91</w:t>
      </w:r>
      <w:r w:rsidRPr="00EF5354">
        <w:rPr>
          <w:i/>
        </w:rPr>
        <w:t xml:space="preserve"> «Об утверждении положения по организации и проведению работ по </w:t>
      </w:r>
      <w:r w:rsidR="00CC0F6C">
        <w:rPr>
          <w:i/>
        </w:rPr>
        <w:t>приобретению и установке детских игровых площадок многоквартирных домов</w:t>
      </w:r>
      <w:r w:rsidRPr="00EF5354">
        <w:rPr>
          <w:i/>
        </w:rPr>
        <w:t>»</w:t>
      </w:r>
      <w:r>
        <w:rPr>
          <w:i/>
        </w:rPr>
        <w:t>;</w:t>
      </w:r>
    </w:p>
    <w:p w:rsidR="00EF5354" w:rsidRPr="00BA322F" w:rsidRDefault="00EF535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F5354">
        <w:rPr>
          <w:rFonts w:ascii="Times New Roman" w:hAnsi="Times New Roman" w:cs="Times New Roman"/>
          <w:i/>
          <w:sz w:val="27"/>
          <w:szCs w:val="27"/>
        </w:rPr>
        <w:lastRenderedPageBreak/>
        <w:t>- Отчет № 01-18-53/КСП о результатах контрольного мероприятия «Проверка законности и результативности использования средств на реализацию мероприятия «Устройство на входных группах многоквартирных домов оборудования для беспрепятственного доступа в жилые дома людей с ограниченными возможностями здоровья» муниципальной программы «Доступная среда города Сургута на 2014 – 2030 годы» за 2016 год – текущий период 2017 года»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F5354" w:rsidRPr="00B84C36" w:rsidRDefault="009D53D7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результатам контрольного мероприятия Контрольно-счетной палаты выявлено несоответствие Порядка предоставления субсидии </w:t>
      </w:r>
      <w:r w:rsidR="00B84C36">
        <w:rPr>
          <w:rFonts w:ascii="Times New Roman" w:hAnsi="Times New Roman"/>
          <w:i/>
          <w:sz w:val="28"/>
          <w:szCs w:val="28"/>
        </w:rPr>
        <w:t>По</w:t>
      </w:r>
      <w:r w:rsidR="00B84C36" w:rsidRPr="00B84C36">
        <w:rPr>
          <w:rFonts w:ascii="Times New Roman" w:hAnsi="Times New Roman" w:cs="Times New Roman"/>
          <w:i/>
          <w:sz w:val="28"/>
          <w:szCs w:val="28"/>
        </w:rPr>
        <w:t>ложению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 w:rsidR="002770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0F6C">
        <w:rPr>
          <w:rFonts w:ascii="Times New Roman" w:hAnsi="Times New Roman" w:cs="Times New Roman"/>
          <w:i/>
          <w:sz w:val="28"/>
          <w:szCs w:val="28"/>
        </w:rPr>
        <w:t xml:space="preserve">Аналогичные разночтения имеются </w:t>
      </w:r>
      <w:r w:rsidR="00CC0F6C">
        <w:rPr>
          <w:rFonts w:ascii="Times New Roman" w:hAnsi="Times New Roman" w:cs="Times New Roman"/>
          <w:i/>
          <w:sz w:val="28"/>
          <w:szCs w:val="28"/>
        </w:rPr>
        <w:br/>
        <w:t xml:space="preserve">в настоящем Порядке предоставления субсидии и </w:t>
      </w:r>
      <w:r w:rsidR="00CC0F6C" w:rsidRPr="00CC0F6C">
        <w:rPr>
          <w:rFonts w:ascii="Times New Roman" w:hAnsi="Times New Roman" w:cs="Times New Roman"/>
          <w:i/>
          <w:sz w:val="28"/>
          <w:szCs w:val="28"/>
        </w:rPr>
        <w:t xml:space="preserve">Положении </w:t>
      </w:r>
      <w:r w:rsidR="00CC0F6C" w:rsidRPr="00CC0F6C">
        <w:rPr>
          <w:rFonts w:ascii="Times New Roman" w:hAnsi="Times New Roman" w:cs="Times New Roman"/>
          <w:i/>
          <w:sz w:val="28"/>
          <w:szCs w:val="28"/>
        </w:rPr>
        <w:t>по организации и проведению работ по приобретению и установке детских игровых площадок многоквартирных домов</w:t>
      </w:r>
      <w:r w:rsidR="00585313">
        <w:rPr>
          <w:rFonts w:ascii="Times New Roman" w:hAnsi="Times New Roman" w:cs="Times New Roman"/>
          <w:i/>
          <w:sz w:val="28"/>
          <w:szCs w:val="28"/>
        </w:rPr>
        <w:t>.</w:t>
      </w:r>
      <w:r w:rsidR="00CC0F6C" w:rsidRPr="00CC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E6C" w:rsidRPr="00CC0F6C">
        <w:rPr>
          <w:rFonts w:ascii="Times New Roman" w:hAnsi="Times New Roman" w:cs="Times New Roman"/>
          <w:i/>
          <w:sz w:val="28"/>
          <w:szCs w:val="28"/>
        </w:rPr>
        <w:t>Изменения по пунктам 1.1</w:t>
      </w:r>
      <w:r w:rsidR="00CC0F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1E6C" w:rsidRPr="00CC0F6C">
        <w:rPr>
          <w:rFonts w:ascii="Times New Roman" w:hAnsi="Times New Roman" w:cs="Times New Roman"/>
          <w:i/>
          <w:sz w:val="28"/>
          <w:szCs w:val="28"/>
        </w:rPr>
        <w:t>1.</w:t>
      </w:r>
      <w:r w:rsidR="00CC0F6C">
        <w:rPr>
          <w:rFonts w:ascii="Times New Roman" w:hAnsi="Times New Roman" w:cs="Times New Roman"/>
          <w:i/>
          <w:sz w:val="28"/>
          <w:szCs w:val="28"/>
        </w:rPr>
        <w:t>2</w:t>
      </w:r>
      <w:r w:rsidR="00A21E6C" w:rsidRPr="00CC0F6C">
        <w:rPr>
          <w:rFonts w:ascii="Times New Roman" w:hAnsi="Times New Roman" w:cs="Times New Roman"/>
          <w:i/>
          <w:sz w:val="28"/>
          <w:szCs w:val="28"/>
        </w:rPr>
        <w:t xml:space="preserve"> проекта вносятся </w:t>
      </w:r>
      <w:r w:rsidR="00CC0F6C">
        <w:rPr>
          <w:rFonts w:ascii="Times New Roman" w:hAnsi="Times New Roman" w:cs="Times New Roman"/>
          <w:i/>
          <w:sz w:val="28"/>
          <w:szCs w:val="28"/>
        </w:rPr>
        <w:br/>
      </w:r>
      <w:r w:rsidR="00A21E6C" w:rsidRPr="00CC0F6C">
        <w:rPr>
          <w:rFonts w:ascii="Times New Roman" w:hAnsi="Times New Roman" w:cs="Times New Roman"/>
          <w:i/>
          <w:sz w:val="28"/>
          <w:szCs w:val="28"/>
        </w:rPr>
        <w:t>с целью устранения</w:t>
      </w:r>
      <w:r w:rsidR="00A21E6C">
        <w:rPr>
          <w:rFonts w:ascii="Times New Roman" w:hAnsi="Times New Roman" w:cs="Times New Roman"/>
          <w:i/>
          <w:sz w:val="28"/>
          <w:szCs w:val="28"/>
        </w:rPr>
        <w:t xml:space="preserve"> разночтений, выявленных КСП.</w:t>
      </w:r>
    </w:p>
    <w:p w:rsidR="00D534E1" w:rsidRPr="00CC0F6C" w:rsidRDefault="000762A3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Порядком 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 xml:space="preserve">определена дата, на которую получатели субсидии должны соответствовать требованиям, установленным Общими требованиями № 887 от 06.09.2016 – </w:t>
      </w:r>
      <w:r>
        <w:rPr>
          <w:rFonts w:ascii="Times New Roman" w:hAnsi="Times New Roman" w:cs="Times New Roman"/>
          <w:i/>
          <w:sz w:val="27"/>
          <w:szCs w:val="27"/>
        </w:rPr>
        <w:t>до 2</w:t>
      </w:r>
      <w:r w:rsidR="00CC0F6C">
        <w:rPr>
          <w:rFonts w:ascii="Times New Roman" w:hAnsi="Times New Roman" w:cs="Times New Roman"/>
          <w:i/>
          <w:sz w:val="27"/>
          <w:szCs w:val="27"/>
        </w:rPr>
        <w:t>5</w:t>
      </w:r>
      <w:r>
        <w:rPr>
          <w:rFonts w:ascii="Times New Roman" w:hAnsi="Times New Roman" w:cs="Times New Roman"/>
          <w:i/>
          <w:sz w:val="27"/>
          <w:szCs w:val="27"/>
        </w:rPr>
        <w:t xml:space="preserve"> ма</w:t>
      </w:r>
      <w:r w:rsidR="00CC0F6C">
        <w:rPr>
          <w:rFonts w:ascii="Times New Roman" w:hAnsi="Times New Roman" w:cs="Times New Roman"/>
          <w:i/>
          <w:sz w:val="27"/>
          <w:szCs w:val="27"/>
        </w:rPr>
        <w:t>рта</w:t>
      </w:r>
      <w:r>
        <w:rPr>
          <w:rFonts w:ascii="Times New Roman" w:hAnsi="Times New Roman" w:cs="Times New Roman"/>
          <w:i/>
          <w:sz w:val="27"/>
          <w:szCs w:val="27"/>
        </w:rPr>
        <w:t xml:space="preserve"> текущего года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>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="00D534E1" w:rsidRPr="00D534E1">
        <w:rPr>
          <w:rFonts w:ascii="Times New Roman" w:hAnsi="Times New Roman"/>
          <w:i/>
          <w:sz w:val="28"/>
          <w:szCs w:val="28"/>
        </w:rPr>
        <w:t xml:space="preserve">на первое число месяца, в котором представлены документы» </w:t>
      </w:r>
      <w:r w:rsidR="00D534E1" w:rsidRPr="00CC0F6C">
        <w:rPr>
          <w:rFonts w:ascii="Times New Roman" w:hAnsi="Times New Roman"/>
          <w:i/>
          <w:sz w:val="28"/>
          <w:szCs w:val="28"/>
        </w:rPr>
        <w:t>(абзац второй пункта 1.</w:t>
      </w:r>
      <w:r w:rsidR="00CC0F6C" w:rsidRPr="00CC0F6C">
        <w:rPr>
          <w:rFonts w:ascii="Times New Roman" w:hAnsi="Times New Roman"/>
          <w:i/>
          <w:sz w:val="28"/>
          <w:szCs w:val="28"/>
        </w:rPr>
        <w:t>3</w:t>
      </w:r>
      <w:r w:rsidR="00D534E1" w:rsidRPr="00CC0F6C">
        <w:rPr>
          <w:rFonts w:ascii="Times New Roman" w:hAnsi="Times New Roman"/>
          <w:i/>
          <w:sz w:val="28"/>
          <w:szCs w:val="28"/>
        </w:rPr>
        <w:t xml:space="preserve"> проекта).</w:t>
      </w:r>
    </w:p>
    <w:p w:rsidR="00CC0F6C" w:rsidRPr="00CC0F6C" w:rsidRDefault="00CC0F6C" w:rsidP="00CC0F6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6C">
        <w:rPr>
          <w:rFonts w:ascii="Times New Roman" w:hAnsi="Times New Roman"/>
          <w:i/>
          <w:sz w:val="28"/>
          <w:szCs w:val="28"/>
        </w:rPr>
        <w:t>Заявленный размер субсидии, определенный сметной документацией, может превысить объем субсидии, утвержденный адресным перечнем. З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аключить соглашение возможно только на сумму, предусмотренную бюджетом (адресным перечнем). Если отказывать по этой причине, то получатель субсидии в течение 5 рабочих дней устраняет замечания и повторно обращается за субсидией (пункт 8 раздела </w:t>
      </w:r>
      <w:r w:rsidRPr="00CC0F6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C0F6C">
        <w:rPr>
          <w:rFonts w:ascii="Times New Roman" w:hAnsi="Times New Roman" w:cs="Times New Roman"/>
          <w:i/>
          <w:sz w:val="28"/>
          <w:szCs w:val="28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1.5 проекта) </w:t>
      </w:r>
      <w:r w:rsidRPr="00CC0F6C">
        <w:rPr>
          <w:rFonts w:ascii="Times New Roman" w:hAnsi="Times New Roman" w:cs="Times New Roman"/>
          <w:i/>
          <w:sz w:val="27"/>
          <w:szCs w:val="27"/>
        </w:rPr>
        <w:t xml:space="preserve">и уведомление получателей субсидии о принятии положительного решения о предоставлении субсидии (пункт 6.2 раздела </w:t>
      </w:r>
      <w:r w:rsidRPr="00CC0F6C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CC0F6C">
        <w:rPr>
          <w:rFonts w:ascii="Times New Roman" w:hAnsi="Times New Roman" w:cs="Times New Roman"/>
          <w:i/>
          <w:sz w:val="27"/>
          <w:szCs w:val="27"/>
        </w:rPr>
        <w:t xml:space="preserve"> Порядка) дополняется словами «в пределах утвержденных лимитов бюджетных обязательств на текущий финансовый год» (пункт 1.5 проекта)</w:t>
      </w:r>
      <w:r w:rsidRPr="00CC0F6C">
        <w:rPr>
          <w:rFonts w:ascii="Times New Roman" w:hAnsi="Times New Roman" w:cs="Times New Roman"/>
          <w:i/>
          <w:sz w:val="28"/>
          <w:szCs w:val="28"/>
        </w:rPr>
        <w:t>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Порядком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(пункт 4</w:t>
      </w:r>
      <w:r w:rsidR="00E07DA7">
        <w:rPr>
          <w:rFonts w:ascii="Times New Roman" w:hAnsi="Times New Roman" w:cs="Times New Roman"/>
          <w:i/>
          <w:sz w:val="28"/>
          <w:szCs w:val="28"/>
        </w:rPr>
        <w:t>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1.</w:t>
      </w:r>
      <w:r w:rsidR="00CC0F6C"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E07DA7">
        <w:rPr>
          <w:rFonts w:ascii="Times New Roman" w:hAnsi="Times New Roman" w:cs="Times New Roman"/>
          <w:i/>
          <w:sz w:val="28"/>
          <w:szCs w:val="28"/>
        </w:rPr>
        <w:t>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585313">
        <w:rPr>
          <w:rFonts w:ascii="Times New Roman" w:hAnsi="Times New Roman" w:cs="Times New Roman"/>
          <w:i/>
          <w:sz w:val="28"/>
          <w:szCs w:val="28"/>
        </w:rPr>
        <w:t>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 w:rsidR="00CE72BE"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 w:rsidR="00CE72BE"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D534E1" w:rsidRPr="00BA322F" w:rsidRDefault="00D534E1" w:rsidP="00D534E1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 w:rsidR="00CE72BE">
        <w:rPr>
          <w:i/>
          <w:sz w:val="27"/>
          <w:szCs w:val="27"/>
        </w:rPr>
        <w:t xml:space="preserve">из раздела </w:t>
      </w:r>
      <w:r w:rsidR="00CE72BE">
        <w:rPr>
          <w:i/>
          <w:sz w:val="27"/>
          <w:szCs w:val="27"/>
          <w:lang w:val="en-US"/>
        </w:rPr>
        <w:t>IV</w:t>
      </w:r>
      <w:r w:rsidR="00CE72BE"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E07DA7" w:rsidRDefault="00E07DA7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>Устранение разночтений Порядка предоставления субсидии и По</w:t>
      </w:r>
      <w:r w:rsidRPr="00B84C36">
        <w:rPr>
          <w:i/>
        </w:rPr>
        <w:t>ложени</w:t>
      </w:r>
      <w:r>
        <w:rPr>
          <w:i/>
        </w:rPr>
        <w:t>я</w:t>
      </w:r>
      <w:r w:rsidRPr="00B84C36">
        <w:rPr>
          <w:i/>
        </w:rPr>
        <w:t xml:space="preserve"> по организации и проведению работ</w:t>
      </w:r>
      <w:r w:rsidR="00585313">
        <w:rPr>
          <w:i/>
        </w:rPr>
        <w:t xml:space="preserve"> </w:t>
      </w:r>
      <w:r w:rsidR="00585313" w:rsidRPr="00CC0F6C">
        <w:rPr>
          <w:i/>
        </w:rPr>
        <w:t>по приобретению и установке детских игровых площадок многоквартирных домов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A026EB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lastRenderedPageBreak/>
        <w:t>юридические</w:t>
      </w:r>
      <w:proofErr w:type="gramEnd"/>
      <w:r w:rsidRPr="00BA322F">
        <w:rPr>
          <w:i/>
        </w:rPr>
        <w:t xml:space="preserve"> лица</w:t>
      </w:r>
      <w:r>
        <w:rPr>
          <w:i/>
        </w:rPr>
        <w:t>,</w:t>
      </w:r>
      <w:r w:rsidRPr="00BA322F">
        <w:rPr>
          <w:i/>
        </w:rPr>
        <w:t xml:space="preserve"> индивидуальные предприниматели, осуществляющие деятельность </w:t>
      </w:r>
      <w:r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</w:t>
      </w:r>
      <w:r w:rsidR="000530DD">
        <w:rPr>
          <w:i/>
        </w:rPr>
        <w:t>приобретению и установке детских игровых площадок</w:t>
      </w:r>
      <w:r>
        <w:rPr>
          <w:i/>
        </w:rPr>
        <w:t xml:space="preserve"> на основании включения многоквартирного дома в утвержденный адресный перечень в </w:t>
      </w:r>
      <w:r w:rsidR="000530DD">
        <w:rPr>
          <w:i/>
        </w:rPr>
        <w:t>текущем году.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0530DD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</w:t>
      </w:r>
      <w:r w:rsidR="008340E0" w:rsidRPr="000530DD">
        <w:rPr>
          <w:rFonts w:ascii="Times New Roman" w:hAnsi="Times New Roman" w:cs="Times New Roman"/>
          <w:i/>
          <w:sz w:val="27"/>
          <w:szCs w:val="27"/>
        </w:rPr>
        <w:t>ции от 18.05.2017 № 592)</w:t>
      </w:r>
    </w:p>
    <w:p w:rsidR="00A026EB" w:rsidRPr="000530DD" w:rsidRDefault="00A026EB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30DD">
        <w:rPr>
          <w:rFonts w:ascii="Times New Roman" w:hAnsi="Times New Roman" w:cs="Times New Roman"/>
          <w:i/>
          <w:sz w:val="27"/>
          <w:szCs w:val="27"/>
        </w:rPr>
        <w:t>- постановление Администрации города</w:t>
      </w:r>
      <w:r w:rsidR="000530DD" w:rsidRPr="000530D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530DD" w:rsidRPr="000530DD">
        <w:rPr>
          <w:rFonts w:ascii="Times New Roman" w:hAnsi="Times New Roman" w:cs="Times New Roman"/>
          <w:i/>
          <w:sz w:val="27"/>
          <w:szCs w:val="27"/>
        </w:rPr>
        <w:t xml:space="preserve">от 13.05.2013 № 3091 «Об утверждении положения по организации и проведению работ по приобретению </w:t>
      </w:r>
      <w:r w:rsidR="000530DD">
        <w:rPr>
          <w:rFonts w:ascii="Times New Roman" w:hAnsi="Times New Roman" w:cs="Times New Roman"/>
          <w:i/>
          <w:sz w:val="27"/>
          <w:szCs w:val="27"/>
        </w:rPr>
        <w:br/>
      </w:r>
      <w:r w:rsidR="000530DD" w:rsidRPr="000530DD">
        <w:rPr>
          <w:rFonts w:ascii="Times New Roman" w:hAnsi="Times New Roman" w:cs="Times New Roman"/>
          <w:i/>
          <w:sz w:val="27"/>
          <w:szCs w:val="27"/>
        </w:rPr>
        <w:t>и установке детских игровых площадок многоквартирных домов»;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0530DD">
        <w:rPr>
          <w:sz w:val="27"/>
          <w:szCs w:val="27"/>
        </w:rPr>
        <w:t>6. Планируемый срок вступления в силу предлагаемого правового регу</w:t>
      </w:r>
      <w:r w:rsidRPr="00A026EB">
        <w:t>лирования:</w:t>
      </w:r>
      <w:r w:rsidR="004D0BC9" w:rsidRPr="00A026EB">
        <w:t xml:space="preserve"> </w:t>
      </w:r>
      <w:r w:rsidR="008340E0" w:rsidRPr="00A026EB">
        <w:rPr>
          <w:i/>
        </w:rPr>
        <w:t>после официального опубликования постановления Администрации города</w:t>
      </w:r>
      <w:r w:rsidR="008340E0">
        <w:rPr>
          <w:i/>
        </w:rPr>
        <w:t xml:space="preserve">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0530DD" w:rsidRPr="00CC0F6C">
        <w:rPr>
          <w:i/>
        </w:rPr>
        <w:t>17.08.2017 № 7263 «О порядке предоставления субсидии на финансовое обеспечение (возмещение) затрат на приобретение и установку детских игровых площадок»</w:t>
      </w:r>
      <w:r w:rsidR="000530DD">
        <w:rPr>
          <w:i/>
        </w:rPr>
        <w:t>.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</w:t>
            </w:r>
            <w:r w:rsidRPr="00A37C70">
              <w:lastRenderedPageBreak/>
              <w:t>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A026EB" w:rsidP="000530D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A322F">
              <w:rPr>
                <w:i/>
              </w:rPr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</w:t>
            </w:r>
            <w:r>
              <w:rPr>
                <w:i/>
              </w:rPr>
              <w:lastRenderedPageBreak/>
              <w:t xml:space="preserve">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</w:t>
            </w:r>
            <w:bookmarkStart w:id="0" w:name="_GoBack"/>
            <w:bookmarkEnd w:id="0"/>
            <w:r w:rsidR="000530DD">
              <w:rPr>
                <w:i/>
              </w:rPr>
              <w:t>приобретению и установке детских игровых площадок на основании включения многоквартирного дома в утвержденный адресный перечень в текущем году</w:t>
            </w:r>
            <w:r w:rsidR="000530DD">
              <w:rPr>
                <w:i/>
              </w:rPr>
              <w:t xml:space="preserve"> </w:t>
            </w:r>
            <w:r w:rsidR="008340E0">
              <w:rPr>
                <w:i/>
              </w:rPr>
              <w:t>(в 2017</w:t>
            </w:r>
            <w:r w:rsidR="00CE72BE">
              <w:rPr>
                <w:i/>
              </w:rPr>
              <w:t>-</w:t>
            </w:r>
            <w:r>
              <w:rPr>
                <w:i/>
              </w:rPr>
              <w:t>1</w:t>
            </w:r>
            <w:r w:rsidR="008340E0">
              <w:rPr>
                <w:i/>
              </w:rPr>
              <w:t>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8.5. Оценка возможности достижения заявленных целей предлагаемого право</w:t>
            </w:r>
            <w:r w:rsidRPr="00A37C70">
              <w:lastRenderedPageBreak/>
              <w:t xml:space="preserve">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E74F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</w:t>
            </w:r>
            <w:r w:rsidR="00E74F37">
              <w:rPr>
                <w:i/>
              </w:rPr>
              <w:t>ых</w:t>
            </w:r>
            <w:r w:rsidRPr="00804CB2">
              <w:rPr>
                <w:i/>
              </w:rPr>
              <w:t xml:space="preserve"> цел</w:t>
            </w:r>
            <w:r w:rsidR="00E74F37">
              <w:rPr>
                <w:i/>
              </w:rPr>
              <w:t>ей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0375D6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</w:t>
      </w:r>
      <w:r w:rsidR="00E74F37">
        <w:rPr>
          <w:i/>
        </w:rPr>
        <w:t>ых</w:t>
      </w:r>
      <w:r w:rsidR="00804CB2">
        <w:rPr>
          <w:i/>
        </w:rPr>
        <w:t xml:space="preserve"> цел</w:t>
      </w:r>
      <w:r w:rsidR="00E74F37">
        <w:rPr>
          <w:i/>
        </w:rPr>
        <w:t>ей</w:t>
      </w:r>
      <w:r w:rsidR="00804CB2">
        <w:rPr>
          <w:i/>
        </w:rPr>
        <w:t xml:space="preserve">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8B" w:rsidRDefault="001D788B">
      <w:r>
        <w:separator/>
      </w:r>
    </w:p>
  </w:endnote>
  <w:endnote w:type="continuationSeparator" w:id="0">
    <w:p w:rsidR="001D788B" w:rsidRDefault="001D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8B" w:rsidRDefault="001D788B">
      <w:r>
        <w:separator/>
      </w:r>
    </w:p>
  </w:footnote>
  <w:footnote w:type="continuationSeparator" w:id="0">
    <w:p w:rsidR="001D788B" w:rsidRDefault="001D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30D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1D78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375D6"/>
    <w:rsid w:val="000530DD"/>
    <w:rsid w:val="000762A3"/>
    <w:rsid w:val="000A6523"/>
    <w:rsid w:val="0010664C"/>
    <w:rsid w:val="00161FC8"/>
    <w:rsid w:val="0018129D"/>
    <w:rsid w:val="001B3A69"/>
    <w:rsid w:val="001D788B"/>
    <w:rsid w:val="00231B1A"/>
    <w:rsid w:val="00233AC1"/>
    <w:rsid w:val="00277088"/>
    <w:rsid w:val="002938AB"/>
    <w:rsid w:val="002B7C26"/>
    <w:rsid w:val="002E1F16"/>
    <w:rsid w:val="003170F7"/>
    <w:rsid w:val="00364C27"/>
    <w:rsid w:val="00367C51"/>
    <w:rsid w:val="003B3D04"/>
    <w:rsid w:val="003B5034"/>
    <w:rsid w:val="003B6894"/>
    <w:rsid w:val="00415AF7"/>
    <w:rsid w:val="00425F0B"/>
    <w:rsid w:val="00462105"/>
    <w:rsid w:val="004D0BC9"/>
    <w:rsid w:val="0053173B"/>
    <w:rsid w:val="00541073"/>
    <w:rsid w:val="00584BA8"/>
    <w:rsid w:val="00585313"/>
    <w:rsid w:val="005E1CFE"/>
    <w:rsid w:val="00617315"/>
    <w:rsid w:val="0063180D"/>
    <w:rsid w:val="006514DC"/>
    <w:rsid w:val="00662DB8"/>
    <w:rsid w:val="006A5960"/>
    <w:rsid w:val="00734215"/>
    <w:rsid w:val="007A350B"/>
    <w:rsid w:val="007E5849"/>
    <w:rsid w:val="00804CB2"/>
    <w:rsid w:val="00816DBB"/>
    <w:rsid w:val="008340E0"/>
    <w:rsid w:val="00864260"/>
    <w:rsid w:val="008967C8"/>
    <w:rsid w:val="008C7AB3"/>
    <w:rsid w:val="00910DD8"/>
    <w:rsid w:val="00917CA7"/>
    <w:rsid w:val="009275B6"/>
    <w:rsid w:val="0096108F"/>
    <w:rsid w:val="009D2930"/>
    <w:rsid w:val="009D53D7"/>
    <w:rsid w:val="00A01936"/>
    <w:rsid w:val="00A026EB"/>
    <w:rsid w:val="00A11554"/>
    <w:rsid w:val="00A21E6C"/>
    <w:rsid w:val="00A26264"/>
    <w:rsid w:val="00A544D5"/>
    <w:rsid w:val="00A56981"/>
    <w:rsid w:val="00B00FF3"/>
    <w:rsid w:val="00B30120"/>
    <w:rsid w:val="00B84C36"/>
    <w:rsid w:val="00BA322F"/>
    <w:rsid w:val="00BC2220"/>
    <w:rsid w:val="00C266E3"/>
    <w:rsid w:val="00C712AA"/>
    <w:rsid w:val="00CC0F6C"/>
    <w:rsid w:val="00CE72BE"/>
    <w:rsid w:val="00D0592A"/>
    <w:rsid w:val="00D534E1"/>
    <w:rsid w:val="00D72F37"/>
    <w:rsid w:val="00D822AD"/>
    <w:rsid w:val="00DD3269"/>
    <w:rsid w:val="00DE6FBD"/>
    <w:rsid w:val="00DF5C5C"/>
    <w:rsid w:val="00E04BAB"/>
    <w:rsid w:val="00E07DA7"/>
    <w:rsid w:val="00E40025"/>
    <w:rsid w:val="00E74F37"/>
    <w:rsid w:val="00EB295D"/>
    <w:rsid w:val="00EF5354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A5FF-6F3A-4F1B-84EE-3C9A30B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12</cp:revision>
  <cp:lastPrinted>2017-10-11T08:11:00Z</cp:lastPrinted>
  <dcterms:created xsi:type="dcterms:W3CDTF">2017-10-05T04:28:00Z</dcterms:created>
  <dcterms:modified xsi:type="dcterms:W3CDTF">2017-10-12T09:08:00Z</dcterms:modified>
</cp:coreProperties>
</file>