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78" w:rsidRDefault="002A7B78" w:rsidP="00CC4C53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CC4C53" w:rsidRPr="00B47952" w:rsidRDefault="00CC4C53" w:rsidP="00CC4C53">
      <w:pPr>
        <w:ind w:firstLine="567"/>
        <w:jc w:val="both"/>
        <w:rPr>
          <w:b/>
          <w:i/>
          <w:sz w:val="28"/>
          <w:szCs w:val="28"/>
        </w:rPr>
      </w:pPr>
      <w:r w:rsidRPr="00C45A4C">
        <w:rPr>
          <w:b/>
          <w:i/>
          <w:sz w:val="28"/>
          <w:szCs w:val="28"/>
        </w:rPr>
        <w:t xml:space="preserve">Вопрос 3. </w:t>
      </w:r>
      <w:r w:rsidRPr="00B47952">
        <w:rPr>
          <w:b/>
          <w:i/>
          <w:sz w:val="28"/>
          <w:szCs w:val="28"/>
        </w:rPr>
        <w:t>О формировании предложений в план</w:t>
      </w:r>
      <w:r w:rsidR="00AD253D" w:rsidRPr="00B47952">
        <w:rPr>
          <w:b/>
          <w:i/>
          <w:sz w:val="28"/>
          <w:szCs w:val="28"/>
        </w:rPr>
        <w:t>ы</w:t>
      </w:r>
      <w:r w:rsidRPr="00B47952">
        <w:rPr>
          <w:b/>
          <w:i/>
          <w:sz w:val="28"/>
          <w:szCs w:val="28"/>
        </w:rPr>
        <w:t xml:space="preserve"> проведения экспертизы </w:t>
      </w:r>
      <w:r w:rsidR="001250D1">
        <w:rPr>
          <w:b/>
          <w:i/>
          <w:sz w:val="28"/>
          <w:szCs w:val="28"/>
        </w:rPr>
        <w:t xml:space="preserve">                </w:t>
      </w:r>
      <w:r w:rsidRPr="00B47952">
        <w:rPr>
          <w:b/>
          <w:i/>
          <w:sz w:val="28"/>
          <w:szCs w:val="28"/>
        </w:rPr>
        <w:t xml:space="preserve">и оценки фактического воздействия </w:t>
      </w:r>
      <w:r w:rsidR="00C970C6" w:rsidRPr="00C970C6">
        <w:rPr>
          <w:b/>
          <w:i/>
          <w:sz w:val="28"/>
          <w:szCs w:val="28"/>
        </w:rPr>
        <w:t xml:space="preserve">действующих муниципальных нормативных правовых актов </w:t>
      </w:r>
      <w:r w:rsidRPr="00B47952">
        <w:rPr>
          <w:b/>
          <w:i/>
          <w:sz w:val="28"/>
          <w:szCs w:val="28"/>
        </w:rPr>
        <w:t>на 202</w:t>
      </w:r>
      <w:r w:rsidR="006E3A68">
        <w:rPr>
          <w:b/>
          <w:i/>
          <w:sz w:val="28"/>
          <w:szCs w:val="28"/>
        </w:rPr>
        <w:t>1</w:t>
      </w:r>
      <w:r w:rsidRPr="00B47952">
        <w:rPr>
          <w:b/>
          <w:i/>
          <w:sz w:val="28"/>
          <w:szCs w:val="28"/>
        </w:rPr>
        <w:t xml:space="preserve"> год.</w:t>
      </w:r>
    </w:p>
    <w:p w:rsidR="00CC4C53" w:rsidRPr="00506B8A" w:rsidRDefault="00CC4C53" w:rsidP="00CC4C53">
      <w:pPr>
        <w:keepNext/>
        <w:ind w:firstLine="709"/>
        <w:jc w:val="both"/>
        <w:outlineLvl w:val="0"/>
        <w:rPr>
          <w:sz w:val="28"/>
          <w:szCs w:val="28"/>
        </w:rPr>
      </w:pPr>
    </w:p>
    <w:p w:rsidR="006E3A68" w:rsidRPr="006E3A68" w:rsidRDefault="006E3A68" w:rsidP="006E3A68">
      <w:pPr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E3A68">
        <w:rPr>
          <w:sz w:val="28"/>
          <w:szCs w:val="28"/>
          <w:shd w:val="clear" w:color="auto" w:fill="FFFFFF"/>
        </w:rPr>
        <w:t xml:space="preserve">Направлением «Деловая среда» Стратегии социально-экономического развития муниципального образования городской округ город Сургут на период до 2030 года определен флагманский проект «Трансформация делового климата». Одним </w:t>
      </w:r>
      <w:r>
        <w:rPr>
          <w:sz w:val="28"/>
          <w:szCs w:val="28"/>
          <w:shd w:val="clear" w:color="auto" w:fill="FFFFFF"/>
        </w:rPr>
        <w:t xml:space="preserve">                             </w:t>
      </w:r>
      <w:r w:rsidRPr="006E3A68">
        <w:rPr>
          <w:sz w:val="28"/>
          <w:szCs w:val="28"/>
          <w:shd w:val="clear" w:color="auto" w:fill="FFFFFF"/>
        </w:rPr>
        <w:t xml:space="preserve">из ключевых направлений проекта является повышение эффективности системы обратной связи органов местного самоуправления и предпринимательского сообщества, потенциальных инвесторов. </w:t>
      </w:r>
    </w:p>
    <w:p w:rsidR="006E3A68" w:rsidRPr="006E3A68" w:rsidRDefault="006E3A68" w:rsidP="006E3A68">
      <w:pPr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E3A68">
        <w:rPr>
          <w:sz w:val="28"/>
          <w:szCs w:val="28"/>
          <w:shd w:val="clear" w:color="auto" w:fill="FFFFFF"/>
        </w:rPr>
        <w:t xml:space="preserve">В целях обеспечения защиты предпринимателей от возникновения административных барьеров и издержек при нормативном регулировании деятельности, в рамках проекта ежегодно формируются планы </w:t>
      </w:r>
      <w:r w:rsidRPr="00506B8A">
        <w:rPr>
          <w:sz w:val="28"/>
          <w:szCs w:val="28"/>
          <w:shd w:val="clear" w:color="auto" w:fill="FFFFFF"/>
        </w:rPr>
        <w:t>проведения экспертизы и оценки фактического воздействия</w:t>
      </w:r>
      <w:r w:rsidRPr="006E3A68">
        <w:rPr>
          <w:sz w:val="28"/>
          <w:szCs w:val="28"/>
          <w:shd w:val="clear" w:color="auto" w:fill="FFFFFF"/>
        </w:rPr>
        <w:t>.</w:t>
      </w:r>
    </w:p>
    <w:p w:rsidR="00CC4C53" w:rsidRPr="00506B8A" w:rsidRDefault="00CC4C53" w:rsidP="00CC4C53">
      <w:pPr>
        <w:keepNext/>
        <w:ind w:firstLine="709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506B8A">
        <w:rPr>
          <w:sz w:val="28"/>
          <w:szCs w:val="28"/>
        </w:rPr>
        <w:t xml:space="preserve">В </w:t>
      </w:r>
      <w:r w:rsidRPr="00506B8A">
        <w:rPr>
          <w:sz w:val="28"/>
          <w:szCs w:val="28"/>
          <w:shd w:val="clear" w:color="auto" w:fill="FFFFFF"/>
        </w:rPr>
        <w:t>соответствии с постановлением Главы города Сургута от 14.11.2017                         № 172 управление инвестиций и развития предпринимательства Администрации города формирует планы проведения экспертизы и оценки фактического воздействия действующих муниципальных нормативных правовых актов</w:t>
      </w:r>
      <w:r>
        <w:rPr>
          <w:sz w:val="28"/>
          <w:szCs w:val="28"/>
          <w:shd w:val="clear" w:color="auto" w:fill="FFFFFF"/>
        </w:rPr>
        <w:t xml:space="preserve"> </w:t>
      </w:r>
      <w:r w:rsidRPr="00506B8A">
        <w:rPr>
          <w:sz w:val="28"/>
          <w:szCs w:val="28"/>
          <w:shd w:val="clear" w:color="auto" w:fill="FFFFFF"/>
        </w:rPr>
        <w:t>на 202</w:t>
      </w:r>
      <w:r w:rsidR="006E3A68">
        <w:rPr>
          <w:sz w:val="28"/>
          <w:szCs w:val="28"/>
          <w:shd w:val="clear" w:color="auto" w:fill="FFFFFF"/>
        </w:rPr>
        <w:t>1</w:t>
      </w:r>
      <w:r w:rsidRPr="00506B8A">
        <w:rPr>
          <w:sz w:val="28"/>
          <w:szCs w:val="28"/>
          <w:shd w:val="clear" w:color="auto" w:fill="FFFFFF"/>
        </w:rPr>
        <w:t xml:space="preserve"> год, с учетом предложений субъектов предпринимательской</w:t>
      </w:r>
      <w:r>
        <w:rPr>
          <w:sz w:val="28"/>
          <w:szCs w:val="28"/>
          <w:shd w:val="clear" w:color="auto" w:fill="FFFFFF"/>
        </w:rPr>
        <w:t xml:space="preserve"> </w:t>
      </w:r>
      <w:r w:rsidRPr="00506B8A">
        <w:rPr>
          <w:sz w:val="28"/>
          <w:szCs w:val="28"/>
          <w:shd w:val="clear" w:color="auto" w:fill="FFFFFF"/>
        </w:rPr>
        <w:t>и инвестиционной деятельности.</w:t>
      </w:r>
    </w:p>
    <w:p w:rsidR="00CC4C53" w:rsidRPr="00506B8A" w:rsidRDefault="00CC4C53" w:rsidP="00CC4C53">
      <w:pPr>
        <w:ind w:firstLine="708"/>
        <w:jc w:val="both"/>
        <w:rPr>
          <w:sz w:val="28"/>
          <w:szCs w:val="28"/>
          <w:u w:val="single"/>
          <w:shd w:val="clear" w:color="auto" w:fill="FFFFFF"/>
        </w:rPr>
      </w:pPr>
    </w:p>
    <w:p w:rsidR="00CC4C53" w:rsidRPr="00506B8A" w:rsidRDefault="00CC4C53" w:rsidP="00CC4C53">
      <w:pPr>
        <w:ind w:firstLine="708"/>
        <w:jc w:val="both"/>
        <w:rPr>
          <w:sz w:val="28"/>
          <w:szCs w:val="28"/>
        </w:rPr>
      </w:pPr>
      <w:r w:rsidRPr="00506B8A">
        <w:rPr>
          <w:sz w:val="28"/>
          <w:szCs w:val="28"/>
          <w:u w:val="single"/>
          <w:shd w:val="clear" w:color="auto" w:fill="FFFFFF"/>
        </w:rPr>
        <w:t>Предлагаем направить</w:t>
      </w:r>
      <w:r w:rsidRPr="00506B8A">
        <w:rPr>
          <w:sz w:val="28"/>
          <w:szCs w:val="28"/>
          <w:shd w:val="clear" w:color="auto" w:fill="FFFFFF"/>
        </w:rPr>
        <w:t xml:space="preserve"> Ваши предложения в планы на 202</w:t>
      </w:r>
      <w:r w:rsidR="006E3A68">
        <w:rPr>
          <w:sz w:val="28"/>
          <w:szCs w:val="28"/>
          <w:shd w:val="clear" w:color="auto" w:fill="FFFFFF"/>
        </w:rPr>
        <w:t>1</w:t>
      </w:r>
      <w:r w:rsidRPr="00506B8A">
        <w:rPr>
          <w:sz w:val="28"/>
          <w:szCs w:val="28"/>
          <w:shd w:val="clear" w:color="auto" w:fill="FFFFFF"/>
        </w:rPr>
        <w:t xml:space="preserve"> год                                           по прилагаемой форме на адрес: </w:t>
      </w:r>
      <w:hyperlink r:id="rId6" w:history="1">
        <w:r w:rsidRPr="00506B8A">
          <w:rPr>
            <w:sz w:val="28"/>
            <w:szCs w:val="28"/>
          </w:rPr>
          <w:t>voroshilova_yp@admsurgut.ru</w:t>
        </w:r>
      </w:hyperlink>
    </w:p>
    <w:p w:rsidR="00CC4C53" w:rsidRPr="00506B8A" w:rsidRDefault="00CC4C53" w:rsidP="00CC4C53">
      <w:pPr>
        <w:ind w:firstLine="567"/>
        <w:jc w:val="both"/>
        <w:rPr>
          <w:b/>
          <w:sz w:val="28"/>
          <w:szCs w:val="28"/>
        </w:rPr>
      </w:pPr>
    </w:p>
    <w:p w:rsidR="00CC4C53" w:rsidRPr="00A96BC2" w:rsidRDefault="00CC4C53" w:rsidP="00CC4C53">
      <w:pPr>
        <w:ind w:firstLine="567"/>
        <w:jc w:val="both"/>
        <w:rPr>
          <w:b/>
          <w:sz w:val="28"/>
          <w:szCs w:val="28"/>
        </w:rPr>
      </w:pPr>
      <w:r w:rsidRPr="00A96BC2">
        <w:rPr>
          <w:b/>
          <w:sz w:val="28"/>
          <w:szCs w:val="28"/>
        </w:rPr>
        <w:t>Срок приема предложений:</w:t>
      </w:r>
    </w:p>
    <w:p w:rsidR="00CC4C53" w:rsidRPr="00A96BC2" w:rsidRDefault="00A96BC2" w:rsidP="00CC4C53">
      <w:pPr>
        <w:ind w:firstLine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 xml:space="preserve">по </w:t>
      </w:r>
      <w:r w:rsidR="00D342C3" w:rsidRPr="00D342C3">
        <w:rPr>
          <w:b/>
          <w:sz w:val="28"/>
          <w:szCs w:val="28"/>
          <w:u w:val="single"/>
        </w:rPr>
        <w:t>30</w:t>
      </w:r>
      <w:r w:rsidRPr="00D342C3">
        <w:rPr>
          <w:b/>
          <w:sz w:val="28"/>
          <w:szCs w:val="28"/>
          <w:u w:val="single"/>
        </w:rPr>
        <w:t>.1</w:t>
      </w:r>
      <w:r w:rsidR="00D342C3" w:rsidRPr="00D342C3">
        <w:rPr>
          <w:b/>
          <w:sz w:val="28"/>
          <w:szCs w:val="28"/>
          <w:u w:val="single"/>
        </w:rPr>
        <w:t>1</w:t>
      </w:r>
      <w:r w:rsidRPr="00D342C3">
        <w:rPr>
          <w:b/>
          <w:sz w:val="28"/>
          <w:szCs w:val="28"/>
          <w:u w:val="single"/>
        </w:rPr>
        <w:t>.20</w:t>
      </w:r>
      <w:r w:rsidR="00D342C3" w:rsidRPr="00D342C3">
        <w:rPr>
          <w:b/>
          <w:sz w:val="28"/>
          <w:szCs w:val="28"/>
          <w:u w:val="single"/>
        </w:rPr>
        <w:t>20</w:t>
      </w:r>
      <w:r w:rsidRPr="00D342C3">
        <w:rPr>
          <w:sz w:val="28"/>
          <w:szCs w:val="28"/>
        </w:rPr>
        <w:t xml:space="preserve"> </w:t>
      </w:r>
      <w:r w:rsidR="00CC4C53" w:rsidRPr="00A96BC2">
        <w:rPr>
          <w:sz w:val="28"/>
          <w:szCs w:val="28"/>
        </w:rPr>
        <w:t>включительно.</w:t>
      </w:r>
    </w:p>
    <w:p w:rsidR="00CC4C53" w:rsidRPr="00506B8A" w:rsidRDefault="00CC4C53" w:rsidP="00CC4C53">
      <w:pPr>
        <w:ind w:firstLine="567"/>
        <w:jc w:val="both"/>
        <w:rPr>
          <w:sz w:val="28"/>
          <w:szCs w:val="28"/>
        </w:rPr>
      </w:pPr>
    </w:p>
    <w:p w:rsidR="00CC4C53" w:rsidRPr="00506B8A" w:rsidRDefault="00CC4C53" w:rsidP="00CC4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8A">
        <w:rPr>
          <w:sz w:val="28"/>
          <w:szCs w:val="28"/>
          <w:u w:val="single"/>
          <w:shd w:val="clear" w:color="auto" w:fill="FFFFFF"/>
        </w:rPr>
        <w:t>Экспертиза проводится в целях</w:t>
      </w:r>
      <w:r w:rsidRPr="00506B8A">
        <w:rPr>
          <w:sz w:val="28"/>
          <w:szCs w:val="28"/>
          <w:shd w:val="clear" w:color="auto" w:fill="FFFFFF"/>
        </w:rPr>
        <w:t xml:space="preserve"> выявления положений, необоснованно затрудняющих осуществление предпринимательской и инвестиционной деятельности, а также влекущих необоснованные расходы для субъектов предпринимательской и инвестиционной деятельности.</w:t>
      </w:r>
    </w:p>
    <w:p w:rsidR="00CC4C53" w:rsidRDefault="00CC4C53" w:rsidP="00CC4C53">
      <w:pPr>
        <w:ind w:firstLine="567"/>
        <w:jc w:val="both"/>
        <w:rPr>
          <w:sz w:val="28"/>
          <w:szCs w:val="28"/>
        </w:rPr>
      </w:pPr>
      <w:r w:rsidRPr="00506B8A">
        <w:rPr>
          <w:sz w:val="28"/>
          <w:szCs w:val="28"/>
          <w:u w:val="single"/>
          <w:shd w:val="clear" w:color="auto" w:fill="FFFFFF"/>
        </w:rPr>
        <w:t>Оценка фактического воздействия проводится в целях</w:t>
      </w:r>
      <w:r w:rsidRPr="00506B8A">
        <w:rPr>
          <w:sz w:val="28"/>
          <w:szCs w:val="28"/>
          <w:shd w:val="clear" w:color="auto" w:fill="FFFFFF"/>
        </w:rPr>
        <w:t xml:space="preserve"> </w:t>
      </w:r>
      <w:r w:rsidRPr="00506B8A">
        <w:rPr>
          <w:sz w:val="28"/>
          <w:szCs w:val="28"/>
        </w:rPr>
        <w:t>анализа                   достижения целей регулирования, заявленных в сводном отчете об оценке регулирующего воздействия проектов муниципальных нормативных правовых                    актов, определения и оценки фактических положительных и отрицательных              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 и инвестиционной деятельности или приводящих                              к возникновению необоснованных расходов.</w:t>
      </w:r>
    </w:p>
    <w:p w:rsidR="00CC4C53" w:rsidRPr="00506B8A" w:rsidRDefault="00CC4C53" w:rsidP="00CC4C53">
      <w:pPr>
        <w:ind w:firstLine="567"/>
        <w:jc w:val="both"/>
        <w:rPr>
          <w:sz w:val="28"/>
          <w:szCs w:val="28"/>
        </w:rPr>
      </w:pPr>
    </w:p>
    <w:p w:rsidR="00CC4C53" w:rsidRDefault="00CC4C53" w:rsidP="00C45A4C">
      <w:pPr>
        <w:ind w:firstLine="1276"/>
        <w:jc w:val="both"/>
        <w:rPr>
          <w:b/>
          <w:sz w:val="28"/>
          <w:szCs w:val="28"/>
        </w:rPr>
      </w:pPr>
      <w:r w:rsidRPr="00506B8A">
        <w:rPr>
          <w:noProof/>
        </w:rPr>
        <w:drawing>
          <wp:inline distT="0" distB="0" distL="0" distR="0" wp14:anchorId="7D31990C" wp14:editId="72C9580B">
            <wp:extent cx="4486275" cy="1800225"/>
            <wp:effectExtent l="0" t="0" r="9525" b="9525"/>
            <wp:docPr id="7" name="Рисунок 4" descr="http://belgorodinvest.com/media/images/maxresdefault.max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elgorodinvest.com/media/images/maxresdefault.max-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53" w:rsidRDefault="00CC4C53" w:rsidP="00CC4C53">
      <w:pPr>
        <w:ind w:firstLine="709"/>
        <w:jc w:val="both"/>
        <w:rPr>
          <w:b/>
          <w:sz w:val="28"/>
          <w:szCs w:val="28"/>
        </w:rPr>
        <w:sectPr w:rsidR="00CC4C53" w:rsidSect="0016456C">
          <w:pgSz w:w="11906" w:h="16838"/>
          <w:pgMar w:top="284" w:right="567" w:bottom="568" w:left="1134" w:header="709" w:footer="709" w:gutter="0"/>
          <w:cols w:space="708"/>
          <w:docGrid w:linePitch="360"/>
        </w:sectPr>
      </w:pPr>
    </w:p>
    <w:p w:rsidR="00CC4C53" w:rsidRDefault="00CC4C53" w:rsidP="00CC4C53">
      <w:pPr>
        <w:ind w:firstLine="709"/>
        <w:jc w:val="both"/>
        <w:rPr>
          <w:b/>
          <w:sz w:val="28"/>
          <w:szCs w:val="28"/>
        </w:rPr>
      </w:pPr>
    </w:p>
    <w:p w:rsidR="00CC4C53" w:rsidRPr="00506B8A" w:rsidRDefault="00CC4C53" w:rsidP="00CC4C53">
      <w:pPr>
        <w:ind w:firstLine="709"/>
        <w:jc w:val="center"/>
        <w:rPr>
          <w:b/>
          <w:sz w:val="28"/>
          <w:szCs w:val="28"/>
        </w:rPr>
      </w:pPr>
      <w:r w:rsidRPr="00506B8A">
        <w:rPr>
          <w:b/>
          <w:sz w:val="28"/>
          <w:szCs w:val="28"/>
        </w:rPr>
        <w:t>ПРЕДЛОЖЕНИЯ</w:t>
      </w:r>
    </w:p>
    <w:p w:rsidR="00CC4C53" w:rsidRPr="00506B8A" w:rsidRDefault="00CC4C53" w:rsidP="00CC4C53">
      <w:pPr>
        <w:ind w:firstLine="709"/>
        <w:jc w:val="center"/>
        <w:rPr>
          <w:b/>
          <w:sz w:val="28"/>
          <w:szCs w:val="28"/>
        </w:rPr>
      </w:pPr>
      <w:r w:rsidRPr="00506B8A">
        <w:rPr>
          <w:b/>
          <w:sz w:val="28"/>
          <w:szCs w:val="28"/>
        </w:rPr>
        <w:t>о проведении экспертизы и оценки фактического воздействия</w:t>
      </w:r>
    </w:p>
    <w:p w:rsidR="00CC4C53" w:rsidRPr="00506B8A" w:rsidRDefault="00CC4C53" w:rsidP="00CC4C53">
      <w:pPr>
        <w:ind w:firstLine="709"/>
        <w:jc w:val="center"/>
        <w:rPr>
          <w:b/>
          <w:sz w:val="28"/>
          <w:szCs w:val="28"/>
        </w:rPr>
      </w:pPr>
      <w:r w:rsidRPr="00506B8A">
        <w:rPr>
          <w:b/>
          <w:sz w:val="28"/>
          <w:szCs w:val="28"/>
        </w:rPr>
        <w:t>действующих муниципальных нормативных правовых актов на 202</w:t>
      </w:r>
      <w:r w:rsidR="006E3A68">
        <w:rPr>
          <w:b/>
          <w:sz w:val="28"/>
          <w:szCs w:val="28"/>
        </w:rPr>
        <w:t>1</w:t>
      </w:r>
      <w:r w:rsidRPr="00506B8A">
        <w:rPr>
          <w:b/>
          <w:sz w:val="28"/>
          <w:szCs w:val="28"/>
        </w:rPr>
        <w:t xml:space="preserve"> год</w:t>
      </w:r>
    </w:p>
    <w:p w:rsidR="00CC4C53" w:rsidRPr="00506B8A" w:rsidRDefault="00CC4C53" w:rsidP="00CC4C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2666"/>
        <w:gridCol w:w="2123"/>
        <w:gridCol w:w="3858"/>
        <w:gridCol w:w="1872"/>
      </w:tblGrid>
      <w:tr w:rsidR="00CC4C53" w:rsidRPr="00506B8A" w:rsidTr="00122B79">
        <w:trPr>
          <w:trHeight w:val="751"/>
        </w:trPr>
        <w:tc>
          <w:tcPr>
            <w:tcW w:w="14082" w:type="dxa"/>
            <w:gridSpan w:val="6"/>
            <w:shd w:val="clear" w:color="auto" w:fill="auto"/>
          </w:tcPr>
          <w:p w:rsidR="00CC4C53" w:rsidRPr="00506B8A" w:rsidRDefault="00CC4C53" w:rsidP="00CC4C53">
            <w:pPr>
              <w:ind w:firstLine="709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экспертизы_________________________________</w:t>
            </w:r>
          </w:p>
        </w:tc>
      </w:tr>
      <w:tr w:rsidR="00CC4C53" w:rsidRPr="00506B8A" w:rsidTr="00122B79">
        <w:trPr>
          <w:trHeight w:val="1112"/>
        </w:trPr>
        <w:tc>
          <w:tcPr>
            <w:tcW w:w="14082" w:type="dxa"/>
            <w:gridSpan w:val="6"/>
            <w:shd w:val="clear" w:color="auto" w:fill="auto"/>
          </w:tcPr>
          <w:p w:rsidR="00CC4C53" w:rsidRPr="00506B8A" w:rsidRDefault="00CC4C53" w:rsidP="00122B79">
            <w:pPr>
              <w:ind w:firstLine="709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Адрес электронной почты, по которому должен быть направлен ответ о рассмотрении предложения о проведении экспертизы и оценки фактического воздействия ________________________________________________________</w:t>
            </w:r>
          </w:p>
        </w:tc>
      </w:tr>
      <w:tr w:rsidR="00CC4C53" w:rsidRPr="00506B8A" w:rsidTr="00122B79">
        <w:trPr>
          <w:trHeight w:val="930"/>
        </w:trPr>
        <w:tc>
          <w:tcPr>
            <w:tcW w:w="14082" w:type="dxa"/>
            <w:gridSpan w:val="6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506B8A">
              <w:rPr>
                <w:b/>
                <w:i/>
                <w:sz w:val="28"/>
                <w:szCs w:val="28"/>
              </w:rPr>
              <w:t>Предложения в план проведения экспертизы</w:t>
            </w:r>
          </w:p>
          <w:p w:rsidR="00CC4C53" w:rsidRPr="00506B8A" w:rsidRDefault="00CC4C53" w:rsidP="006E3A68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202</w:t>
            </w:r>
            <w:r w:rsidR="006E3A68">
              <w:rPr>
                <w:b/>
                <w:i/>
                <w:sz w:val="28"/>
                <w:szCs w:val="28"/>
              </w:rPr>
              <w:t>1</w:t>
            </w:r>
            <w:r w:rsidRPr="00506B8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Положения действующего муниципального нормативного правового акта, 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Обоснование информации,</w:t>
            </w:r>
          </w:p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изложенной в графе 3</w:t>
            </w: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4</w:t>
            </w: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rPr>
          <w:trHeight w:val="834"/>
        </w:trPr>
        <w:tc>
          <w:tcPr>
            <w:tcW w:w="14082" w:type="dxa"/>
            <w:gridSpan w:val="6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506B8A">
              <w:rPr>
                <w:b/>
                <w:i/>
                <w:sz w:val="28"/>
                <w:szCs w:val="28"/>
              </w:rPr>
              <w:lastRenderedPageBreak/>
              <w:t>Предложения в план проведения оценки фактического воздействия</w:t>
            </w:r>
          </w:p>
          <w:p w:rsidR="00CC4C53" w:rsidRPr="00506B8A" w:rsidRDefault="00CC4C53" w:rsidP="006E3A68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202</w:t>
            </w:r>
            <w:r w:rsidR="006E3A68">
              <w:rPr>
                <w:b/>
                <w:i/>
                <w:sz w:val="28"/>
                <w:szCs w:val="28"/>
              </w:rPr>
              <w:t>1</w:t>
            </w:r>
            <w:r w:rsidRPr="00506B8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Выводы</w:t>
            </w:r>
          </w:p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о достижении</w:t>
            </w:r>
          </w:p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(</w:t>
            </w:r>
            <w:proofErr w:type="spellStart"/>
            <w:r w:rsidRPr="00506B8A">
              <w:rPr>
                <w:sz w:val="28"/>
                <w:szCs w:val="28"/>
              </w:rPr>
              <w:t>недостижении</w:t>
            </w:r>
            <w:proofErr w:type="spellEnd"/>
            <w:r w:rsidRPr="00506B8A">
              <w:rPr>
                <w:sz w:val="28"/>
                <w:szCs w:val="28"/>
              </w:rPr>
              <w:t>) целей регулирования, заявленных в сводном отчете</w:t>
            </w:r>
          </w:p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об оценке регулирующего воздействия проекта муниципального нормативного правового                    акта</w:t>
            </w: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Положения действующего муниципального нормативного правового акта, 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Обоснование информации, изложенной</w:t>
            </w:r>
          </w:p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в графе 5</w:t>
            </w: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jc w:val="center"/>
              <w:rPr>
                <w:sz w:val="28"/>
                <w:szCs w:val="28"/>
              </w:rPr>
            </w:pPr>
            <w:r w:rsidRPr="00506B8A">
              <w:rPr>
                <w:sz w:val="28"/>
                <w:szCs w:val="28"/>
              </w:rPr>
              <w:t>6</w:t>
            </w: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4C53" w:rsidRPr="00506B8A" w:rsidTr="00122B79">
        <w:tc>
          <w:tcPr>
            <w:tcW w:w="70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C4C53" w:rsidRPr="00506B8A" w:rsidRDefault="00CC4C53" w:rsidP="00122B7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C4C53" w:rsidRDefault="00CC4C53" w:rsidP="00CC4C53">
      <w:pPr>
        <w:ind w:firstLine="709"/>
        <w:jc w:val="both"/>
        <w:rPr>
          <w:sz w:val="28"/>
          <w:szCs w:val="28"/>
        </w:rPr>
      </w:pPr>
    </w:p>
    <w:p w:rsidR="00CC4C53" w:rsidRPr="00B711CB" w:rsidRDefault="00CC4C53" w:rsidP="00CC4C5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52E6" w:rsidRPr="00CC4C53" w:rsidRDefault="00D452E6" w:rsidP="00CC4C53"/>
    <w:sectPr w:rsidR="00D452E6" w:rsidRPr="00CC4C53" w:rsidSect="00506B8A">
      <w:pgSz w:w="16838" w:h="11906" w:orient="landscape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3C50"/>
    <w:multiLevelType w:val="hybridMultilevel"/>
    <w:tmpl w:val="6C207852"/>
    <w:lvl w:ilvl="0" w:tplc="F62A3D1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482550"/>
    <w:multiLevelType w:val="hybridMultilevel"/>
    <w:tmpl w:val="5EA2EF72"/>
    <w:lvl w:ilvl="0" w:tplc="30CA381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33101"/>
    <w:rsid w:val="00037ACB"/>
    <w:rsid w:val="000458C3"/>
    <w:rsid w:val="00051072"/>
    <w:rsid w:val="000543D6"/>
    <w:rsid w:val="00063269"/>
    <w:rsid w:val="0006521B"/>
    <w:rsid w:val="000A55EB"/>
    <w:rsid w:val="000C26EC"/>
    <w:rsid w:val="000E61D1"/>
    <w:rsid w:val="000E7B5E"/>
    <w:rsid w:val="000F0571"/>
    <w:rsid w:val="0012246C"/>
    <w:rsid w:val="001250D1"/>
    <w:rsid w:val="001425EA"/>
    <w:rsid w:val="001512DD"/>
    <w:rsid w:val="0015225C"/>
    <w:rsid w:val="001636B5"/>
    <w:rsid w:val="001679A4"/>
    <w:rsid w:val="00176BA5"/>
    <w:rsid w:val="00177E55"/>
    <w:rsid w:val="00194DE1"/>
    <w:rsid w:val="001A2CBA"/>
    <w:rsid w:val="001B3C7A"/>
    <w:rsid w:val="001B613B"/>
    <w:rsid w:val="001C20CE"/>
    <w:rsid w:val="001C7FE2"/>
    <w:rsid w:val="001D7554"/>
    <w:rsid w:val="002034A8"/>
    <w:rsid w:val="00206ADA"/>
    <w:rsid w:val="002171D4"/>
    <w:rsid w:val="002244F9"/>
    <w:rsid w:val="0023255D"/>
    <w:rsid w:val="0023336A"/>
    <w:rsid w:val="00242542"/>
    <w:rsid w:val="00246732"/>
    <w:rsid w:val="00256BCA"/>
    <w:rsid w:val="00261D92"/>
    <w:rsid w:val="00266A4C"/>
    <w:rsid w:val="002A7B78"/>
    <w:rsid w:val="002B4EF6"/>
    <w:rsid w:val="002B644D"/>
    <w:rsid w:val="002C1A3A"/>
    <w:rsid w:val="002D5D28"/>
    <w:rsid w:val="002F07E3"/>
    <w:rsid w:val="002F19FA"/>
    <w:rsid w:val="002F1E6E"/>
    <w:rsid w:val="00330CB0"/>
    <w:rsid w:val="00342490"/>
    <w:rsid w:val="0037429A"/>
    <w:rsid w:val="00396A47"/>
    <w:rsid w:val="003A1C62"/>
    <w:rsid w:val="003A3A0F"/>
    <w:rsid w:val="003B1373"/>
    <w:rsid w:val="003B479A"/>
    <w:rsid w:val="003B685F"/>
    <w:rsid w:val="003B6D6F"/>
    <w:rsid w:val="003B7AE0"/>
    <w:rsid w:val="003B7D20"/>
    <w:rsid w:val="003B7FC9"/>
    <w:rsid w:val="003C0C41"/>
    <w:rsid w:val="003D20E4"/>
    <w:rsid w:val="003E3B61"/>
    <w:rsid w:val="003E6AF9"/>
    <w:rsid w:val="003F1C08"/>
    <w:rsid w:val="00402981"/>
    <w:rsid w:val="004070F6"/>
    <w:rsid w:val="0041443F"/>
    <w:rsid w:val="00430DB3"/>
    <w:rsid w:val="004524FB"/>
    <w:rsid w:val="00462163"/>
    <w:rsid w:val="00483AE5"/>
    <w:rsid w:val="004852F4"/>
    <w:rsid w:val="004A5820"/>
    <w:rsid w:val="004B38D5"/>
    <w:rsid w:val="004C27AB"/>
    <w:rsid w:val="004D6797"/>
    <w:rsid w:val="004E16F1"/>
    <w:rsid w:val="004F407E"/>
    <w:rsid w:val="00505AB2"/>
    <w:rsid w:val="00517873"/>
    <w:rsid w:val="00521AD0"/>
    <w:rsid w:val="00523489"/>
    <w:rsid w:val="005254CC"/>
    <w:rsid w:val="00540048"/>
    <w:rsid w:val="00547BA8"/>
    <w:rsid w:val="00567335"/>
    <w:rsid w:val="00574D0C"/>
    <w:rsid w:val="00583FD8"/>
    <w:rsid w:val="00585E35"/>
    <w:rsid w:val="005C533E"/>
    <w:rsid w:val="005C664A"/>
    <w:rsid w:val="005D03AF"/>
    <w:rsid w:val="005D6264"/>
    <w:rsid w:val="005F5F1C"/>
    <w:rsid w:val="0060142F"/>
    <w:rsid w:val="0060425F"/>
    <w:rsid w:val="0066017A"/>
    <w:rsid w:val="006620CC"/>
    <w:rsid w:val="00676FF5"/>
    <w:rsid w:val="00692B65"/>
    <w:rsid w:val="006C0CE8"/>
    <w:rsid w:val="006C5DE6"/>
    <w:rsid w:val="006E3A68"/>
    <w:rsid w:val="006E4F58"/>
    <w:rsid w:val="0070433E"/>
    <w:rsid w:val="00704E84"/>
    <w:rsid w:val="007058C0"/>
    <w:rsid w:val="00724F6C"/>
    <w:rsid w:val="00744B17"/>
    <w:rsid w:val="00756244"/>
    <w:rsid w:val="00757711"/>
    <w:rsid w:val="007720CD"/>
    <w:rsid w:val="0077752B"/>
    <w:rsid w:val="007947F6"/>
    <w:rsid w:val="007A5A43"/>
    <w:rsid w:val="007B2105"/>
    <w:rsid w:val="007C3017"/>
    <w:rsid w:val="007C5250"/>
    <w:rsid w:val="007D7962"/>
    <w:rsid w:val="007E0F2A"/>
    <w:rsid w:val="007F6508"/>
    <w:rsid w:val="00822187"/>
    <w:rsid w:val="00825459"/>
    <w:rsid w:val="00833127"/>
    <w:rsid w:val="00855E66"/>
    <w:rsid w:val="00867006"/>
    <w:rsid w:val="00873ACD"/>
    <w:rsid w:val="00882016"/>
    <w:rsid w:val="008A336C"/>
    <w:rsid w:val="008B5011"/>
    <w:rsid w:val="008E0BE0"/>
    <w:rsid w:val="008E1656"/>
    <w:rsid w:val="009340FD"/>
    <w:rsid w:val="00946EDD"/>
    <w:rsid w:val="0096251F"/>
    <w:rsid w:val="00966355"/>
    <w:rsid w:val="00967CBB"/>
    <w:rsid w:val="0097467A"/>
    <w:rsid w:val="00975501"/>
    <w:rsid w:val="0098313B"/>
    <w:rsid w:val="00997646"/>
    <w:rsid w:val="00997983"/>
    <w:rsid w:val="009A241C"/>
    <w:rsid w:val="009A319D"/>
    <w:rsid w:val="009D6AC7"/>
    <w:rsid w:val="009E0E52"/>
    <w:rsid w:val="009E47C3"/>
    <w:rsid w:val="009E666C"/>
    <w:rsid w:val="00A039B0"/>
    <w:rsid w:val="00A17547"/>
    <w:rsid w:val="00A26AF6"/>
    <w:rsid w:val="00A34356"/>
    <w:rsid w:val="00A47B66"/>
    <w:rsid w:val="00A563F1"/>
    <w:rsid w:val="00A6604D"/>
    <w:rsid w:val="00A66B75"/>
    <w:rsid w:val="00A96BC2"/>
    <w:rsid w:val="00AA2782"/>
    <w:rsid w:val="00AD253D"/>
    <w:rsid w:val="00AE2F84"/>
    <w:rsid w:val="00AF28FB"/>
    <w:rsid w:val="00B23A43"/>
    <w:rsid w:val="00B41377"/>
    <w:rsid w:val="00B42562"/>
    <w:rsid w:val="00B43FB6"/>
    <w:rsid w:val="00B47952"/>
    <w:rsid w:val="00B647D5"/>
    <w:rsid w:val="00B71D3E"/>
    <w:rsid w:val="00B80660"/>
    <w:rsid w:val="00BB0BFD"/>
    <w:rsid w:val="00BB6DB8"/>
    <w:rsid w:val="00BC1808"/>
    <w:rsid w:val="00BD1343"/>
    <w:rsid w:val="00C07D6C"/>
    <w:rsid w:val="00C3029F"/>
    <w:rsid w:val="00C4104A"/>
    <w:rsid w:val="00C45A4C"/>
    <w:rsid w:val="00C768C5"/>
    <w:rsid w:val="00C87F04"/>
    <w:rsid w:val="00C935DE"/>
    <w:rsid w:val="00C970C6"/>
    <w:rsid w:val="00CB746F"/>
    <w:rsid w:val="00CC4C53"/>
    <w:rsid w:val="00CC62C8"/>
    <w:rsid w:val="00CC6A59"/>
    <w:rsid w:val="00CD3429"/>
    <w:rsid w:val="00CE59FB"/>
    <w:rsid w:val="00D01E66"/>
    <w:rsid w:val="00D31D85"/>
    <w:rsid w:val="00D32CEE"/>
    <w:rsid w:val="00D33DE4"/>
    <w:rsid w:val="00D342C3"/>
    <w:rsid w:val="00D4081D"/>
    <w:rsid w:val="00D452E6"/>
    <w:rsid w:val="00D842DF"/>
    <w:rsid w:val="00DB5D75"/>
    <w:rsid w:val="00DC3E09"/>
    <w:rsid w:val="00DD1700"/>
    <w:rsid w:val="00DD206B"/>
    <w:rsid w:val="00DE06DE"/>
    <w:rsid w:val="00DE32F5"/>
    <w:rsid w:val="00DE60B2"/>
    <w:rsid w:val="00DF11E8"/>
    <w:rsid w:val="00DF2F15"/>
    <w:rsid w:val="00E04354"/>
    <w:rsid w:val="00E069FA"/>
    <w:rsid w:val="00E12221"/>
    <w:rsid w:val="00E14ADF"/>
    <w:rsid w:val="00E24D82"/>
    <w:rsid w:val="00E27F8D"/>
    <w:rsid w:val="00E31A69"/>
    <w:rsid w:val="00E50F79"/>
    <w:rsid w:val="00E615B4"/>
    <w:rsid w:val="00E65A8D"/>
    <w:rsid w:val="00E73DEC"/>
    <w:rsid w:val="00E9210E"/>
    <w:rsid w:val="00E95755"/>
    <w:rsid w:val="00EB13BE"/>
    <w:rsid w:val="00EC3D7B"/>
    <w:rsid w:val="00ED212B"/>
    <w:rsid w:val="00EF3ABD"/>
    <w:rsid w:val="00F00A55"/>
    <w:rsid w:val="00F063F4"/>
    <w:rsid w:val="00F0787D"/>
    <w:rsid w:val="00F301FB"/>
    <w:rsid w:val="00F321E8"/>
    <w:rsid w:val="00F513B2"/>
    <w:rsid w:val="00F55285"/>
    <w:rsid w:val="00F63184"/>
    <w:rsid w:val="00F732DB"/>
    <w:rsid w:val="00F7597A"/>
    <w:rsid w:val="00F9604B"/>
    <w:rsid w:val="00FA0743"/>
    <w:rsid w:val="00FB33E8"/>
    <w:rsid w:val="00FB4409"/>
    <w:rsid w:val="00FB478D"/>
    <w:rsid w:val="00FC04ED"/>
    <w:rsid w:val="00FC268D"/>
    <w:rsid w:val="00FF043A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F100-B795-4D2F-954E-5B19D0F5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7D7962"/>
    <w:rPr>
      <w:b/>
      <w:bCs/>
    </w:rPr>
  </w:style>
  <w:style w:type="character" w:customStyle="1" w:styleId="js-extracted-address">
    <w:name w:val="js-extracted-address"/>
    <w:rsid w:val="007D7962"/>
  </w:style>
  <w:style w:type="character" w:customStyle="1" w:styleId="mail-message-map-nobreak">
    <w:name w:val="mail-message-map-nobreak"/>
    <w:rsid w:val="007D7962"/>
  </w:style>
  <w:style w:type="paragraph" w:styleId="aa">
    <w:name w:val="No Spacing"/>
    <w:uiPriority w:val="1"/>
    <w:qFormat/>
    <w:rsid w:val="00E0435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shilova_yp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0F4B-C538-48AC-8ECB-E88652A3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4225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mailto:voroshilova_yp@admsurgut.ru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2</cp:revision>
  <cp:lastPrinted>2019-11-27T07:51:00Z</cp:lastPrinted>
  <dcterms:created xsi:type="dcterms:W3CDTF">2020-11-10T11:57:00Z</dcterms:created>
  <dcterms:modified xsi:type="dcterms:W3CDTF">2020-11-10T11:57:00Z</dcterms:modified>
</cp:coreProperties>
</file>