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О</w:t>
      </w:r>
      <w:r w:rsidR="00E33DD0" w:rsidRPr="00E33DD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города от </w:t>
      </w:r>
      <w:r w:rsidR="008A3BB3">
        <w:rPr>
          <w:rFonts w:eastAsia="Times New Roman" w:cs="Times New Roman"/>
          <w:i/>
          <w:szCs w:val="28"/>
          <w:lang w:eastAsia="ru-RU"/>
        </w:rPr>
        <w:t>28</w:t>
      </w:r>
      <w:r w:rsidR="00547FA9" w:rsidRPr="003445D3">
        <w:rPr>
          <w:rFonts w:eastAsia="Times New Roman" w:cs="Times New Roman"/>
          <w:i/>
          <w:szCs w:val="28"/>
          <w:lang w:eastAsia="ru-RU"/>
        </w:rPr>
        <w:t>.0</w:t>
      </w:r>
      <w:r w:rsidR="008A3BB3">
        <w:rPr>
          <w:rFonts w:eastAsia="Times New Roman" w:cs="Times New Roman"/>
          <w:i/>
          <w:szCs w:val="28"/>
          <w:lang w:eastAsia="ru-RU"/>
        </w:rPr>
        <w:t>4</w:t>
      </w:r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.2017 № </w:t>
      </w:r>
      <w:r w:rsidR="008A3BB3">
        <w:rPr>
          <w:rFonts w:eastAsia="Times New Roman" w:cs="Times New Roman"/>
          <w:i/>
          <w:szCs w:val="28"/>
          <w:lang w:eastAsia="ru-RU"/>
        </w:rPr>
        <w:t>3500</w:t>
      </w:r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 «</w:t>
      </w:r>
      <w:r w:rsidR="008A3BB3">
        <w:rPr>
          <w:rFonts w:eastAsia="Times New Roman" w:cs="Times New Roman"/>
          <w:i/>
          <w:szCs w:val="28"/>
          <w:lang w:eastAsia="ru-RU"/>
        </w:rPr>
        <w:t>О реализации решения Думы города от 27.02.2009 № 509-</w:t>
      </w:r>
      <w:r w:rsidR="008A3BB3">
        <w:rPr>
          <w:rFonts w:eastAsia="Times New Roman" w:cs="Times New Roman"/>
          <w:i/>
          <w:szCs w:val="28"/>
          <w:lang w:val="en-US" w:eastAsia="ru-RU"/>
        </w:rPr>
        <w:t>IV</w:t>
      </w:r>
      <w:r w:rsidR="008A3BB3" w:rsidRPr="008A3BB3">
        <w:rPr>
          <w:rFonts w:eastAsia="Times New Roman" w:cs="Times New Roman"/>
          <w:i/>
          <w:szCs w:val="28"/>
          <w:lang w:eastAsia="ru-RU"/>
        </w:rPr>
        <w:t xml:space="preserve"> </w:t>
      </w:r>
      <w:r w:rsidR="008A3BB3">
        <w:rPr>
          <w:rFonts w:eastAsia="Times New Roman" w:cs="Times New Roman"/>
          <w:i/>
          <w:szCs w:val="28"/>
          <w:lang w:eastAsia="ru-RU"/>
        </w:rPr>
        <w:t>ДГ «О Порядке предоставления муниципальной гарантии городского округа город</w:t>
      </w:r>
      <w:proofErr w:type="gramEnd"/>
      <w:r w:rsidR="008A3BB3">
        <w:rPr>
          <w:rFonts w:eastAsia="Times New Roman" w:cs="Times New Roman"/>
          <w:i/>
          <w:szCs w:val="28"/>
          <w:lang w:eastAsia="ru-RU"/>
        </w:rPr>
        <w:t xml:space="preserve"> Сургут</w:t>
      </w:r>
      <w:r w:rsidR="00547FA9" w:rsidRPr="003445D3">
        <w:rPr>
          <w:rFonts w:eastAsia="Times New Roman" w:cs="Times New Roman"/>
          <w:i/>
          <w:szCs w:val="28"/>
          <w:lang w:eastAsia="ru-RU"/>
        </w:rPr>
        <w:t>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об экспертизе действующего нормативного правового акта </w:t>
      </w:r>
      <w:r w:rsidRPr="00E33DD0">
        <w:rPr>
          <w:rFonts w:eastAsia="Times New Roman" w:cs="Times New Roman"/>
          <w:szCs w:val="28"/>
          <w:lang w:eastAsia="ru-RU"/>
        </w:rPr>
        <w:br/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>департаментом финансов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016E6C">
        <w:t>___</w:t>
      </w:r>
      <w:r w:rsidR="00332E22">
        <w:rPr>
          <w:rFonts w:eastAsia="Times New Roman" w:cs="Times New Roman"/>
          <w:szCs w:val="28"/>
          <w:u w:val="single"/>
          <w:lang w:eastAsia="ru-RU"/>
        </w:rPr>
        <w:t>повторно</w:t>
      </w:r>
      <w:proofErr w:type="gramStart"/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547FA9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A7035" w:rsidRDefault="004A7035" w:rsidP="004A7035">
      <w:pPr>
        <w:tabs>
          <w:tab w:val="right" w:pos="9923"/>
        </w:tabs>
        <w:ind w:firstLine="567"/>
        <w:jc w:val="both"/>
      </w:pPr>
      <w:r w:rsidRPr="008E151D"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</w:t>
      </w:r>
      <w:r>
        <w:rPr>
          <w:rFonts w:eastAsia="Times New Roman" w:cs="Times New Roman"/>
          <w:szCs w:val="28"/>
          <w:lang w:eastAsia="ru-RU"/>
        </w:rPr>
        <w:t>, ц</w:t>
      </w:r>
      <w:r>
        <w:t>елями правового регулирования являются:</w:t>
      </w:r>
    </w:p>
    <w:p w:rsidR="004A7035" w:rsidRDefault="004A7035" w:rsidP="004A7035">
      <w:pPr>
        <w:tabs>
          <w:tab w:val="right" w:pos="9923"/>
        </w:tabs>
        <w:ind w:firstLine="567"/>
        <w:jc w:val="both"/>
      </w:pPr>
      <w:r>
        <w:t>- п</w:t>
      </w:r>
      <w:r w:rsidRPr="001F35E3">
        <w:t>овышени</w:t>
      </w:r>
      <w:r>
        <w:t>е</w:t>
      </w:r>
      <w:r w:rsidRPr="001F35E3">
        <w:t xml:space="preserve"> удобства пользования нормативной базой муниципального образования, касающейся предоставления муниципальных гарантий</w:t>
      </w:r>
      <w:r>
        <w:t>;</w:t>
      </w:r>
    </w:p>
    <w:p w:rsidR="004A7035" w:rsidRDefault="004A7035" w:rsidP="004A7035">
      <w:pPr>
        <w:tabs>
          <w:tab w:val="right" w:pos="9923"/>
        </w:tabs>
        <w:ind w:firstLine="567"/>
        <w:jc w:val="both"/>
      </w:pPr>
      <w:r>
        <w:t>- установление закрытого перечня документов, подлежащих представлению претендентом в целях рассмотрения вопроса о предоставлении муниципальной гарантии;</w:t>
      </w:r>
    </w:p>
    <w:p w:rsidR="004A7035" w:rsidRDefault="004A7035" w:rsidP="004A7035">
      <w:pPr>
        <w:tabs>
          <w:tab w:val="right" w:pos="9923"/>
        </w:tabs>
        <w:ind w:firstLine="567"/>
        <w:jc w:val="both"/>
      </w:pPr>
      <w:r>
        <w:t>- к</w:t>
      </w:r>
      <w:r w:rsidRPr="008411A2">
        <w:t>онкретизаци</w:t>
      </w:r>
      <w:r>
        <w:t>я</w:t>
      </w:r>
      <w:r w:rsidRPr="008411A2">
        <w:t xml:space="preserve"> порядка действий уполномоченного органа </w:t>
      </w:r>
      <w:r>
        <w:t xml:space="preserve">и комиссии с указанием сроков в </w:t>
      </w:r>
      <w:r w:rsidRPr="008411A2">
        <w:t>период рассмотрения обращения претендента и после принятия решения о предоставлении муниципальной гарантии</w:t>
      </w:r>
      <w:r>
        <w:t>.</w:t>
      </w:r>
    </w:p>
    <w:p w:rsidR="004A7035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7C0A" w:rsidRPr="00684F28" w:rsidRDefault="004A7035" w:rsidP="002E7C0A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1A6B75" w:rsidRPr="008E151D">
        <w:rPr>
          <w:rFonts w:eastAsia="Times New Roman" w:cs="Times New Roman"/>
          <w:szCs w:val="28"/>
          <w:lang w:eastAsia="ru-RU"/>
        </w:rPr>
        <w:t xml:space="preserve">отенциальными адресатами правового регулирования являются </w:t>
      </w:r>
      <w:r w:rsidR="002E7C0A" w:rsidRPr="008E151D">
        <w:rPr>
          <w:rFonts w:eastAsia="Times New Roman" w:cs="Times New Roman"/>
          <w:szCs w:val="28"/>
          <w:lang w:eastAsia="ru-RU"/>
        </w:rPr>
        <w:t>ю</w:t>
      </w:r>
      <w:r w:rsidR="002E7C0A" w:rsidRPr="008E151D">
        <w:t>ридические лица любой организационно-правовой формы собственности и индивидуальные предприниматели, зарегистрированные на территории Российской Федерации и осуществляющие свою деятельность на территории городского округа город Сургут.</w:t>
      </w:r>
      <w:r w:rsidR="00016E6C">
        <w:t xml:space="preserve"> По информации департамента финансов в настоящее время муниципальная гарантия предоставлена Сургутскому городскому муниципальному унитарному предприятию «</w:t>
      </w:r>
      <w:proofErr w:type="spellStart"/>
      <w:r w:rsidR="00016E6C">
        <w:t>Горводоканал</w:t>
      </w:r>
      <w:proofErr w:type="spellEnd"/>
      <w:r w:rsidR="00016E6C">
        <w:t xml:space="preserve">». </w:t>
      </w:r>
    </w:p>
    <w:p w:rsidR="00992498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</w:t>
      </w:r>
      <w:r w:rsidRPr="008E151D">
        <w:rPr>
          <w:rFonts w:eastAsia="Times New Roman" w:cs="Times New Roman"/>
          <w:szCs w:val="28"/>
          <w:lang w:eastAsia="ru-RU"/>
        </w:rPr>
        <w:t>регулированием установлены обязанности для субъектов предпринимательской</w:t>
      </w:r>
      <w:r w:rsidR="00016E6C">
        <w:rPr>
          <w:rFonts w:eastAsia="Times New Roman" w:cs="Times New Roman"/>
          <w:szCs w:val="28"/>
          <w:lang w:eastAsia="ru-RU"/>
        </w:rPr>
        <w:t xml:space="preserve"> и инвестиционной деятельности </w:t>
      </w:r>
      <w:r w:rsidR="00A65870" w:rsidRPr="008E151D">
        <w:rPr>
          <w:rFonts w:eastAsia="Times New Roman" w:cs="Times New Roman"/>
          <w:szCs w:val="28"/>
          <w:lang w:eastAsia="ru-RU"/>
        </w:rPr>
        <w:t>при применении муниципального правового а</w:t>
      </w:r>
      <w:r w:rsidR="00A65870" w:rsidRPr="00016E6C">
        <w:rPr>
          <w:rFonts w:eastAsia="Times New Roman" w:cs="Times New Roman"/>
          <w:szCs w:val="28"/>
          <w:lang w:eastAsia="ru-RU"/>
        </w:rPr>
        <w:t>кта, в част</w:t>
      </w:r>
      <w:r w:rsidR="00016E6C" w:rsidRPr="00016E6C">
        <w:rPr>
          <w:rFonts w:eastAsia="Times New Roman" w:cs="Times New Roman"/>
          <w:szCs w:val="28"/>
          <w:lang w:eastAsia="ru-RU"/>
        </w:rPr>
        <w:t xml:space="preserve">и предоставления документов для </w:t>
      </w:r>
      <w:r w:rsidR="00016E6C" w:rsidRPr="00016E6C">
        <w:rPr>
          <w:rFonts w:eastAsia="Times New Roman" w:cs="Times New Roman"/>
          <w:szCs w:val="28"/>
          <w:lang w:eastAsia="ru-RU"/>
        </w:rPr>
        <w:lastRenderedPageBreak/>
        <w:t>участия в конкурсном отборе в целях получения муниципальной гарантии</w:t>
      </w:r>
      <w:r w:rsidRPr="00016E6C"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992498">
        <w:rPr>
          <w:rFonts w:eastAsia="Times New Roman" w:cs="Times New Roman"/>
          <w:szCs w:val="28"/>
          <w:lang w:eastAsia="ru-RU"/>
        </w:rPr>
        <w:t xml:space="preserve">следующие </w:t>
      </w:r>
      <w:r w:rsidRPr="00016E6C">
        <w:rPr>
          <w:rFonts w:eastAsia="Times New Roman" w:cs="Times New Roman"/>
          <w:szCs w:val="28"/>
          <w:lang w:eastAsia="ru-RU"/>
        </w:rPr>
        <w:t>расходы</w:t>
      </w:r>
      <w:r w:rsidR="00992498">
        <w:rPr>
          <w:rFonts w:eastAsia="Times New Roman" w:cs="Times New Roman"/>
          <w:szCs w:val="28"/>
          <w:lang w:eastAsia="ru-RU"/>
        </w:rPr>
        <w:t>:</w:t>
      </w:r>
    </w:p>
    <w:p w:rsidR="00992498" w:rsidRPr="00BA3EBB" w:rsidRDefault="00992498" w:rsidP="00547FA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>17 426,5 рублей (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индивидуальные предприниматели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 xml:space="preserve"> с предоставлением обеспечения в форме поручительства третьих лиц и банковской гарантии)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992498" w:rsidRPr="00BA3EBB" w:rsidRDefault="00992498" w:rsidP="00547FA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>17 526,5 рублей (организации с предоставлением обеспечения в форме поручительства третьих лиц и банковской гарантии)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992498" w:rsidRPr="00BA3EBB" w:rsidRDefault="00992498" w:rsidP="00992498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>27 926,5 рублей (организации с предоставлением обеспечения в форме залога имущества)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992498" w:rsidRPr="00BA3EBB" w:rsidRDefault="00BA3EBB" w:rsidP="00547FA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- 26 951,5 рублей (индивидуальные предприниматели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 xml:space="preserve"> с предоставлением обеспечения в форме залога имущества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)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2E7C0A" w:rsidRPr="008E151D">
        <w:rPr>
          <w:rFonts w:eastAsia="Times New Roman" w:cs="Times New Roman"/>
          <w:szCs w:val="28"/>
          <w:lang w:eastAsia="ru-RU"/>
        </w:rPr>
        <w:t>20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.11.2017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2E7C0A" w:rsidRPr="008E151D">
        <w:rPr>
          <w:rFonts w:eastAsia="Times New Roman" w:cs="Times New Roman"/>
          <w:szCs w:val="28"/>
          <w:lang w:eastAsia="ru-RU"/>
        </w:rPr>
        <w:t>20</w:t>
      </w:r>
      <w:r w:rsidR="000D767F" w:rsidRPr="008E151D">
        <w:rPr>
          <w:rFonts w:eastAsia="Times New Roman" w:cs="Times New Roman"/>
          <w:szCs w:val="28"/>
          <w:lang w:eastAsia="ru-RU"/>
        </w:rPr>
        <w:t>.11.2017</w:t>
      </w:r>
      <w:r w:rsidRPr="008E151D">
        <w:rPr>
          <w:rFonts w:eastAsia="Times New Roman" w:cs="Times New Roman"/>
          <w:szCs w:val="28"/>
          <w:lang w:eastAsia="ru-RU"/>
        </w:rPr>
        <w:t xml:space="preserve"> по </w:t>
      </w:r>
      <w:r w:rsidR="002E7C0A" w:rsidRPr="008E151D">
        <w:rPr>
          <w:rFonts w:eastAsia="Times New Roman" w:cs="Times New Roman"/>
          <w:szCs w:val="28"/>
          <w:lang w:eastAsia="ru-RU"/>
        </w:rPr>
        <w:t>24</w:t>
      </w:r>
      <w:r w:rsidR="000D767F" w:rsidRPr="008E151D">
        <w:rPr>
          <w:rFonts w:eastAsia="Times New Roman" w:cs="Times New Roman"/>
          <w:szCs w:val="28"/>
          <w:lang w:eastAsia="ru-RU"/>
        </w:rPr>
        <w:t>.11.2017.</w:t>
      </w:r>
    </w:p>
    <w:p w:rsidR="008E151D" w:rsidRPr="008E151D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8E151D" w:rsidRPr="008E151D">
        <w:rPr>
          <w:rFonts w:ascii="Times New Roman" w:hAnsi="Times New Roman" w:cs="Times New Roman"/>
          <w:sz w:val="28"/>
          <w:szCs w:val="28"/>
        </w:rPr>
        <w:t>2</w:t>
      </w:r>
      <w:r w:rsidRPr="008E151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E151D" w:rsidRPr="008E151D">
        <w:rPr>
          <w:rFonts w:ascii="Times New Roman" w:hAnsi="Times New Roman" w:cs="Times New Roman"/>
          <w:sz w:val="28"/>
          <w:szCs w:val="28"/>
        </w:rPr>
        <w:t>а от Ассоциации Строительных Организаций города Сургута и Сургутского района при Сургутской торгово-промышленной палате, Общероссийской общественной организации содействия привлечению инвестиций в Российскую Федерацию «Инвестиционная Россия», в которых замечания и (или) предложения отсутствуют.</w:t>
      </w:r>
    </w:p>
    <w:p w:rsidR="008E151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C325E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Pr="00AF797B">
        <w:rPr>
          <w:rFonts w:eastAsia="Times New Roman" w:cs="Arial"/>
          <w:szCs w:val="28"/>
          <w:u w:val="single"/>
          <w:lang w:eastAsia="ru-RU"/>
        </w:rPr>
        <w:t>достаточна</w:t>
      </w:r>
      <w:r w:rsidR="00C325EA">
        <w:rPr>
          <w:rFonts w:eastAsia="Times New Roman" w:cs="Arial"/>
          <w:szCs w:val="28"/>
          <w:lang w:eastAsia="ru-RU"/>
        </w:rPr>
        <w:t xml:space="preserve">. </w:t>
      </w:r>
      <w:r w:rsidR="00E95287">
        <w:rPr>
          <w:rFonts w:eastAsia="Times New Roman" w:cs="Arial"/>
          <w:szCs w:val="28"/>
          <w:lang w:eastAsia="ru-RU"/>
        </w:rPr>
        <w:t xml:space="preserve"> </w:t>
      </w:r>
      <w:r w:rsidR="00C325EA">
        <w:rPr>
          <w:rFonts w:eastAsia="Times New Roman" w:cs="Arial"/>
          <w:szCs w:val="28"/>
          <w:lang w:eastAsia="ru-RU"/>
        </w:rPr>
        <w:t xml:space="preserve">Замечания, изложенные в отрицательном заключении об экспертизе </w:t>
      </w:r>
      <w:r w:rsidR="00E95287">
        <w:rPr>
          <w:rFonts w:eastAsia="Times New Roman" w:cs="Arial"/>
          <w:szCs w:val="28"/>
          <w:lang w:eastAsia="ru-RU"/>
        </w:rPr>
        <w:br/>
      </w:r>
      <w:r w:rsidR="00C325EA">
        <w:rPr>
          <w:rFonts w:eastAsia="Times New Roman" w:cs="Arial"/>
          <w:szCs w:val="28"/>
          <w:lang w:eastAsia="ru-RU"/>
        </w:rPr>
        <w:t xml:space="preserve">от 15.12.2017, устранены. </w:t>
      </w:r>
    </w:p>
    <w:p w:rsidR="00A003D7" w:rsidRDefault="00A003D7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A003D7">
        <w:rPr>
          <w:rFonts w:eastAsia="Times New Roman" w:cs="Arial"/>
          <w:szCs w:val="28"/>
          <w:lang w:eastAsia="ru-RU"/>
        </w:rPr>
        <w:t>2.3. Обоснование решения проблемы действующего способа регулирования достаточно.</w:t>
      </w:r>
    </w:p>
    <w:p w:rsidR="00C325EA" w:rsidRDefault="0083275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3. </w:t>
      </w:r>
      <w:r w:rsidR="00C325EA" w:rsidRPr="00C325EA">
        <w:rPr>
          <w:rFonts w:eastAsia="Times New Roman" w:cs="Arial"/>
          <w:szCs w:val="28"/>
          <w:lang w:eastAsia="ru-RU"/>
        </w:rPr>
        <w:t>В проекте выявлены положения, необоснованно затрудняющие ведение предпринимательско</w:t>
      </w:r>
      <w:r w:rsidR="00C325EA">
        <w:rPr>
          <w:rFonts w:eastAsia="Times New Roman" w:cs="Arial"/>
          <w:szCs w:val="28"/>
          <w:lang w:eastAsia="ru-RU"/>
        </w:rPr>
        <w:t xml:space="preserve">й и инвестиционной деятельности, указанные </w:t>
      </w:r>
      <w:r w:rsidR="00C325EA">
        <w:rPr>
          <w:rFonts w:eastAsia="Times New Roman" w:cs="Arial"/>
          <w:szCs w:val="28"/>
          <w:lang w:eastAsia="ru-RU"/>
        </w:rPr>
        <w:br/>
        <w:t xml:space="preserve">в </w:t>
      </w:r>
      <w:r w:rsidR="00C325EA" w:rsidRPr="00C325EA">
        <w:rPr>
          <w:rFonts w:eastAsia="Times New Roman" w:cs="Arial"/>
          <w:szCs w:val="28"/>
          <w:lang w:eastAsia="ru-RU"/>
        </w:rPr>
        <w:t xml:space="preserve">отрицательном заключении об экспертизе </w:t>
      </w:r>
      <w:bookmarkStart w:id="1" w:name="_GoBack"/>
      <w:bookmarkEnd w:id="1"/>
      <w:r w:rsidR="00C325EA" w:rsidRPr="00C325EA">
        <w:rPr>
          <w:rFonts w:eastAsia="Times New Roman" w:cs="Arial"/>
          <w:szCs w:val="28"/>
          <w:lang w:eastAsia="ru-RU"/>
        </w:rPr>
        <w:t>от 15.12.2017</w:t>
      </w:r>
      <w:r w:rsidR="00C325EA">
        <w:rPr>
          <w:rFonts w:eastAsia="Times New Roman" w:cs="Arial"/>
          <w:szCs w:val="28"/>
          <w:lang w:eastAsia="ru-RU"/>
        </w:rPr>
        <w:t xml:space="preserve">. </w:t>
      </w:r>
    </w:p>
    <w:p w:rsidR="00DD4EF9" w:rsidRPr="008152FB" w:rsidRDefault="00DD4EF9" w:rsidP="00DD4EF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655A7" w:rsidRPr="008152FB" w:rsidRDefault="00E33DD0" w:rsidP="008E151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Выводы</w:t>
      </w:r>
      <w:r w:rsidR="00553DAF" w:rsidRPr="008152FB">
        <w:rPr>
          <w:rFonts w:eastAsia="Times New Roman" w:cs="Times New Roman"/>
          <w:szCs w:val="28"/>
          <w:u w:val="single"/>
          <w:lang w:eastAsia="ru-RU"/>
        </w:rPr>
        <w:t xml:space="preserve"> и предложения</w:t>
      </w:r>
      <w:r w:rsidR="003C5880" w:rsidRPr="008152FB">
        <w:rPr>
          <w:rFonts w:eastAsia="Times New Roman" w:cs="Times New Roman"/>
          <w:szCs w:val="28"/>
          <w:u w:val="single"/>
          <w:lang w:eastAsia="ru-RU"/>
        </w:rPr>
        <w:t>:</w:t>
      </w:r>
      <w:r w:rsidR="00B655A7" w:rsidRPr="008152FB">
        <w:rPr>
          <w:rFonts w:eastAsia="Times New Roman" w:cs="Times New Roman"/>
          <w:szCs w:val="28"/>
          <w:u w:val="single"/>
          <w:lang w:eastAsia="ru-RU"/>
        </w:rPr>
        <w:tab/>
      </w:r>
    </w:p>
    <w:p w:rsidR="00DD5F44" w:rsidRPr="008152FB" w:rsidRDefault="00B655A7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</w:r>
      <w:r w:rsidR="00C325EA">
        <w:rPr>
          <w:rFonts w:eastAsia="Times New Roman" w:cs="Times New Roman"/>
          <w:szCs w:val="28"/>
          <w:lang w:eastAsia="ru-RU"/>
        </w:rPr>
        <w:t xml:space="preserve">1. </w:t>
      </w:r>
      <w:r w:rsidR="007A0C33" w:rsidRPr="008152FB">
        <w:rPr>
          <w:rFonts w:eastAsia="Times New Roman" w:cs="Times New Roman"/>
          <w:szCs w:val="28"/>
          <w:lang w:eastAsia="ru-RU"/>
        </w:rPr>
        <w:t>Д</w:t>
      </w:r>
      <w:r w:rsidRPr="008152FB">
        <w:rPr>
          <w:rFonts w:eastAsia="Times New Roman" w:cs="Times New Roman"/>
          <w:szCs w:val="28"/>
          <w:lang w:eastAsia="ru-RU"/>
        </w:rPr>
        <w:t xml:space="preserve">ействующий нормативный правовой акт требует внесения изменений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 xml:space="preserve">в части положений, </w:t>
      </w:r>
      <w:r w:rsidR="00DD5F44" w:rsidRPr="008152FB">
        <w:rPr>
          <w:rFonts w:eastAsia="Times New Roman" w:cs="Times New Roman"/>
          <w:szCs w:val="28"/>
          <w:lang w:eastAsia="ru-RU"/>
        </w:rPr>
        <w:t>необоснованно затрудняющи</w:t>
      </w:r>
      <w:r w:rsidR="003C5880" w:rsidRPr="008152FB">
        <w:rPr>
          <w:rFonts w:eastAsia="Times New Roman" w:cs="Times New Roman"/>
          <w:szCs w:val="28"/>
          <w:lang w:eastAsia="ru-RU"/>
        </w:rPr>
        <w:t>х</w:t>
      </w:r>
      <w:r w:rsidR="00DD5F44" w:rsidRPr="008152FB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деятельности.</w:t>
      </w:r>
    </w:p>
    <w:p w:rsidR="00C325EA" w:rsidRPr="008152FB" w:rsidRDefault="00016E6C" w:rsidP="00C325EA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lastRenderedPageBreak/>
        <w:tab/>
      </w:r>
      <w:r w:rsidR="00C325EA">
        <w:rPr>
          <w:rFonts w:eastAsia="Times New Roman" w:cs="Times New Roman"/>
          <w:szCs w:val="28"/>
          <w:lang w:eastAsia="ru-RU"/>
        </w:rPr>
        <w:t>2</w:t>
      </w:r>
      <w:r w:rsidR="00C325EA" w:rsidRPr="008152FB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C325EA" w:rsidRPr="008152FB">
        <w:rPr>
          <w:rFonts w:eastAsia="Times New Roman" w:cs="Times New Roman"/>
          <w:szCs w:val="28"/>
          <w:lang w:eastAsia="ru-RU"/>
        </w:rPr>
        <w:t xml:space="preserve">В перспективе предлагаем проработать вопрос о получении справок уполномоченным </w:t>
      </w:r>
      <w:r w:rsidR="00C325EA">
        <w:rPr>
          <w:rFonts w:eastAsia="Times New Roman" w:cs="Times New Roman"/>
          <w:szCs w:val="28"/>
          <w:lang w:eastAsia="ru-RU"/>
        </w:rPr>
        <w:t>органом или отраслевым структурным подразделением</w:t>
      </w:r>
      <w:r w:rsidR="00C325EA" w:rsidRPr="008152FB">
        <w:rPr>
          <w:rFonts w:eastAsia="Times New Roman" w:cs="Times New Roman"/>
          <w:szCs w:val="28"/>
          <w:lang w:eastAsia="ru-RU"/>
        </w:rPr>
        <w:t xml:space="preserve"> </w:t>
      </w:r>
      <w:r w:rsidR="00704F66">
        <w:rPr>
          <w:rFonts w:eastAsia="Times New Roman" w:cs="Times New Roman"/>
          <w:szCs w:val="28"/>
          <w:lang w:eastAsia="ru-RU"/>
        </w:rPr>
        <w:br/>
      </w:r>
      <w:r w:rsidR="00C325EA" w:rsidRPr="008152FB">
        <w:rPr>
          <w:rFonts w:eastAsia="Times New Roman" w:cs="Times New Roman"/>
          <w:szCs w:val="28"/>
          <w:lang w:eastAsia="ru-RU"/>
        </w:rPr>
        <w:t xml:space="preserve">из налогового органа об исполнении налогоплательщиком обязанности </w:t>
      </w:r>
      <w:r w:rsidR="00704F66">
        <w:rPr>
          <w:rFonts w:eastAsia="Times New Roman" w:cs="Times New Roman"/>
          <w:szCs w:val="28"/>
          <w:lang w:eastAsia="ru-RU"/>
        </w:rPr>
        <w:br/>
      </w:r>
      <w:r w:rsidR="00C325EA" w:rsidRPr="008152FB">
        <w:rPr>
          <w:rFonts w:eastAsia="Times New Roman" w:cs="Times New Roman"/>
          <w:szCs w:val="28"/>
          <w:lang w:eastAsia="ru-RU"/>
        </w:rPr>
        <w:t xml:space="preserve">по уплате налогов, сборов, пеней, штрафов, процентов лицом, претендующим </w:t>
      </w:r>
      <w:r w:rsidR="00704F66">
        <w:rPr>
          <w:rFonts w:eastAsia="Times New Roman" w:cs="Times New Roman"/>
          <w:szCs w:val="28"/>
          <w:lang w:eastAsia="ru-RU"/>
        </w:rPr>
        <w:br/>
      </w:r>
      <w:r w:rsidR="00C325EA" w:rsidRPr="008152FB">
        <w:rPr>
          <w:rFonts w:eastAsia="Times New Roman" w:cs="Times New Roman"/>
          <w:szCs w:val="28"/>
          <w:lang w:eastAsia="ru-RU"/>
        </w:rPr>
        <w:t xml:space="preserve">на получение муниципальной гарантии, выписок из Единого государственного реестра прав на недвижимое имущество и сделок с ним, предусмотренных пунктами 6, 10, 19, 20 Приложения 1 к постановлению, посредством электронных сервисов.  </w:t>
      </w:r>
      <w:proofErr w:type="gramEnd"/>
    </w:p>
    <w:p w:rsidR="00C325EA" w:rsidRPr="008152FB" w:rsidRDefault="00C325EA" w:rsidP="00C325E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 xml:space="preserve">После установления возможности, предлагаем внести изменения </w:t>
      </w:r>
      <w:r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 xml:space="preserve">в Приложение 1 (в части исключения требуемых документов) и раздел </w:t>
      </w:r>
      <w:r w:rsidRPr="008152FB">
        <w:rPr>
          <w:rFonts w:eastAsia="Times New Roman" w:cs="Times New Roman"/>
          <w:szCs w:val="28"/>
          <w:lang w:val="en-US" w:eastAsia="ru-RU"/>
        </w:rPr>
        <w:t>V</w:t>
      </w:r>
      <w:r w:rsidRPr="008152FB">
        <w:rPr>
          <w:rFonts w:eastAsia="Times New Roman" w:cs="Times New Roman"/>
          <w:szCs w:val="28"/>
          <w:lang w:eastAsia="ru-RU"/>
        </w:rPr>
        <w:t xml:space="preserve"> Приложения 2 (в части установления соответствующих административных процедур и сроков их выполнения).</w:t>
      </w:r>
    </w:p>
    <w:p w:rsidR="00DD5F44" w:rsidRDefault="00DD5F44" w:rsidP="005079E5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</w:t>
      </w:r>
      <w:r w:rsidR="00216FA1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С.Г. Мединцева</w:t>
      </w:r>
    </w:p>
    <w:p w:rsidR="00B616B9" w:rsidRDefault="00B616B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5079E5">
        <w:rPr>
          <w:rFonts w:eastAsia="Times New Roman" w:cs="Times New Roman"/>
          <w:szCs w:val="28"/>
          <w:u w:val="single"/>
          <w:lang w:eastAsia="ru-RU"/>
        </w:rPr>
        <w:t>29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 w:rsidR="00A975C2" w:rsidRPr="006C5ECA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1619B9" w:rsidRDefault="001619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B616B9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16B9" w:rsidRDefault="006C5ECA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  <w:r w:rsidR="0027335B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33DD0" w:rsidRPr="0027335B" w:rsidRDefault="0027335B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6C5ECA" w:rsidRPr="006C5ECA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27335B" w:rsidSect="00566BF9">
      <w:headerReference w:type="default" r:id="rId10"/>
      <w:pgSz w:w="11906" w:h="16838"/>
      <w:pgMar w:top="426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3E" w:rsidRDefault="00575A3E" w:rsidP="006C4EC8">
      <w:r>
        <w:separator/>
      </w:r>
    </w:p>
  </w:endnote>
  <w:endnote w:type="continuationSeparator" w:id="0">
    <w:p w:rsidR="00575A3E" w:rsidRDefault="00575A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3E" w:rsidRDefault="00575A3E" w:rsidP="006C4EC8">
      <w:r>
        <w:separator/>
      </w:r>
    </w:p>
  </w:footnote>
  <w:footnote w:type="continuationSeparator" w:id="0">
    <w:p w:rsidR="00575A3E" w:rsidRDefault="00575A3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57369"/>
    <w:rsid w:val="00061D6A"/>
    <w:rsid w:val="0007236A"/>
    <w:rsid w:val="000B3E3F"/>
    <w:rsid w:val="000C4662"/>
    <w:rsid w:val="000D767F"/>
    <w:rsid w:val="001619B9"/>
    <w:rsid w:val="001A3A65"/>
    <w:rsid w:val="001A3ED4"/>
    <w:rsid w:val="001A6B75"/>
    <w:rsid w:val="001C5792"/>
    <w:rsid w:val="001F7BBF"/>
    <w:rsid w:val="00215F36"/>
    <w:rsid w:val="00216FA1"/>
    <w:rsid w:val="00222E1D"/>
    <w:rsid w:val="0023319B"/>
    <w:rsid w:val="00237D6D"/>
    <w:rsid w:val="002664E3"/>
    <w:rsid w:val="0027335B"/>
    <w:rsid w:val="00285EC9"/>
    <w:rsid w:val="00293329"/>
    <w:rsid w:val="002949E7"/>
    <w:rsid w:val="0029622A"/>
    <w:rsid w:val="002B04FB"/>
    <w:rsid w:val="002B1F6B"/>
    <w:rsid w:val="002D5C41"/>
    <w:rsid w:val="002E291E"/>
    <w:rsid w:val="002E7C0A"/>
    <w:rsid w:val="00332E22"/>
    <w:rsid w:val="003445D3"/>
    <w:rsid w:val="00351347"/>
    <w:rsid w:val="00371313"/>
    <w:rsid w:val="003802FC"/>
    <w:rsid w:val="003812E4"/>
    <w:rsid w:val="0039471B"/>
    <w:rsid w:val="003B46E0"/>
    <w:rsid w:val="003C5880"/>
    <w:rsid w:val="003D7A23"/>
    <w:rsid w:val="003E091F"/>
    <w:rsid w:val="003E2DF5"/>
    <w:rsid w:val="003E6C3C"/>
    <w:rsid w:val="004556A1"/>
    <w:rsid w:val="00461FFD"/>
    <w:rsid w:val="00465CB7"/>
    <w:rsid w:val="00473204"/>
    <w:rsid w:val="00487D67"/>
    <w:rsid w:val="0049250C"/>
    <w:rsid w:val="0049278A"/>
    <w:rsid w:val="004A4257"/>
    <w:rsid w:val="004A7035"/>
    <w:rsid w:val="004B12F5"/>
    <w:rsid w:val="004D5F74"/>
    <w:rsid w:val="004E5258"/>
    <w:rsid w:val="005079E5"/>
    <w:rsid w:val="00536198"/>
    <w:rsid w:val="00547FA9"/>
    <w:rsid w:val="00553DAF"/>
    <w:rsid w:val="00555BDE"/>
    <w:rsid w:val="00566BF9"/>
    <w:rsid w:val="00575A3E"/>
    <w:rsid w:val="00583ADA"/>
    <w:rsid w:val="005F504E"/>
    <w:rsid w:val="00620296"/>
    <w:rsid w:val="0063434C"/>
    <w:rsid w:val="00642D66"/>
    <w:rsid w:val="006644E9"/>
    <w:rsid w:val="00672112"/>
    <w:rsid w:val="00685DC7"/>
    <w:rsid w:val="006C4EC8"/>
    <w:rsid w:val="006C5ECA"/>
    <w:rsid w:val="006E3A1A"/>
    <w:rsid w:val="006F2446"/>
    <w:rsid w:val="006F2C16"/>
    <w:rsid w:val="00702D83"/>
    <w:rsid w:val="00704F66"/>
    <w:rsid w:val="007153C9"/>
    <w:rsid w:val="00715913"/>
    <w:rsid w:val="00723CE0"/>
    <w:rsid w:val="007306CE"/>
    <w:rsid w:val="00747332"/>
    <w:rsid w:val="007A0C33"/>
    <w:rsid w:val="007B6D10"/>
    <w:rsid w:val="007D7361"/>
    <w:rsid w:val="008152FB"/>
    <w:rsid w:val="008213DF"/>
    <w:rsid w:val="0083275E"/>
    <w:rsid w:val="00857735"/>
    <w:rsid w:val="00876309"/>
    <w:rsid w:val="00891FE3"/>
    <w:rsid w:val="00897A02"/>
    <w:rsid w:val="008A3BB3"/>
    <w:rsid w:val="008B1523"/>
    <w:rsid w:val="008B3678"/>
    <w:rsid w:val="008E151D"/>
    <w:rsid w:val="00925BF4"/>
    <w:rsid w:val="00934F8C"/>
    <w:rsid w:val="009724DA"/>
    <w:rsid w:val="0098403A"/>
    <w:rsid w:val="00984251"/>
    <w:rsid w:val="00992498"/>
    <w:rsid w:val="009A1341"/>
    <w:rsid w:val="009A6CB4"/>
    <w:rsid w:val="009C7BA7"/>
    <w:rsid w:val="00A003D7"/>
    <w:rsid w:val="00A3115B"/>
    <w:rsid w:val="00A65870"/>
    <w:rsid w:val="00A80EE1"/>
    <w:rsid w:val="00A975C2"/>
    <w:rsid w:val="00AF797B"/>
    <w:rsid w:val="00B249AB"/>
    <w:rsid w:val="00B34C8E"/>
    <w:rsid w:val="00B41C1F"/>
    <w:rsid w:val="00B468EE"/>
    <w:rsid w:val="00B616B9"/>
    <w:rsid w:val="00B655A7"/>
    <w:rsid w:val="00B65789"/>
    <w:rsid w:val="00B84D8F"/>
    <w:rsid w:val="00BA3EBB"/>
    <w:rsid w:val="00BC5692"/>
    <w:rsid w:val="00BF7AD6"/>
    <w:rsid w:val="00C06A42"/>
    <w:rsid w:val="00C325EA"/>
    <w:rsid w:val="00C42782"/>
    <w:rsid w:val="00C6186C"/>
    <w:rsid w:val="00C8137B"/>
    <w:rsid w:val="00C86F86"/>
    <w:rsid w:val="00C92BD5"/>
    <w:rsid w:val="00C949EC"/>
    <w:rsid w:val="00CA6F34"/>
    <w:rsid w:val="00CE3C36"/>
    <w:rsid w:val="00CE7EB1"/>
    <w:rsid w:val="00D16767"/>
    <w:rsid w:val="00D6287D"/>
    <w:rsid w:val="00D74A70"/>
    <w:rsid w:val="00D85A5F"/>
    <w:rsid w:val="00DA0A5D"/>
    <w:rsid w:val="00DB6DD9"/>
    <w:rsid w:val="00DD4EF9"/>
    <w:rsid w:val="00DD5F44"/>
    <w:rsid w:val="00DE15EB"/>
    <w:rsid w:val="00E14976"/>
    <w:rsid w:val="00E22F43"/>
    <w:rsid w:val="00E33DD0"/>
    <w:rsid w:val="00E35545"/>
    <w:rsid w:val="00E37B34"/>
    <w:rsid w:val="00E95287"/>
    <w:rsid w:val="00EC662C"/>
    <w:rsid w:val="00ED6EB5"/>
    <w:rsid w:val="00EE0E26"/>
    <w:rsid w:val="00EF657D"/>
    <w:rsid w:val="00F12427"/>
    <w:rsid w:val="00F251C2"/>
    <w:rsid w:val="00F259F5"/>
    <w:rsid w:val="00F54749"/>
    <w:rsid w:val="00F67656"/>
    <w:rsid w:val="00F822FB"/>
    <w:rsid w:val="00FA4F51"/>
    <w:rsid w:val="00FA570C"/>
    <w:rsid w:val="00FB46BB"/>
    <w:rsid w:val="00FD03E3"/>
    <w:rsid w:val="00FE351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4E8-E1CE-42D8-8CD6-5B5E9DB3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Чернявская Светлана Сергеевна</cp:lastModifiedBy>
  <cp:revision>18</cp:revision>
  <cp:lastPrinted>2017-12-14T06:16:00Z</cp:lastPrinted>
  <dcterms:created xsi:type="dcterms:W3CDTF">2017-12-15T10:05:00Z</dcterms:created>
  <dcterms:modified xsi:type="dcterms:W3CDTF">2017-12-29T11:54:00Z</dcterms:modified>
</cp:coreProperties>
</file>