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8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179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03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B1793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317B40">
        <w:trPr>
          <w:trHeight w:val="3402"/>
        </w:trPr>
        <w:tc>
          <w:tcPr>
            <w:tcW w:w="10490" w:type="dxa"/>
          </w:tcPr>
          <w:p w:rsidR="000E302A" w:rsidRDefault="00317B40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C505C" wp14:editId="7953C53E">
                  <wp:extent cx="6523990" cy="4067175"/>
                  <wp:effectExtent l="0" t="0" r="1016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3F40EE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803FB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D94954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0966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956</w:t>
            </w:r>
            <w:r w:rsidR="000B2C9A"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3F40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3F40E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3F40EE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3F40E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966C5">
              <w:rPr>
                <w:rFonts w:ascii="Times New Roman" w:hAnsi="Times New Roman" w:cs="Times New Roman"/>
                <w:iCs/>
                <w:lang w:val="ru-RU"/>
              </w:rPr>
              <w:t>8375</w:t>
            </w:r>
            <w:r w:rsidR="00EC021A" w:rsidRPr="003F40EE">
              <w:rPr>
                <w:rFonts w:ascii="Times New Roman" w:hAnsi="Times New Roman" w:cs="Times New Roman"/>
                <w:iCs/>
                <w:lang w:val="ru-RU"/>
              </w:rPr>
              <w:t xml:space="preserve"> (6</w:t>
            </w:r>
            <w:r w:rsidR="000966C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0966C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3F40E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3F40EE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0966C5">
              <w:rPr>
                <w:rFonts w:ascii="Times New Roman" w:hAnsi="Times New Roman" w:cs="Times New Roman"/>
                <w:iCs/>
                <w:lang w:val="ru-RU"/>
              </w:rPr>
              <w:t>1285</w:t>
            </w:r>
            <w:r w:rsidR="00D94954" w:rsidRPr="003F40EE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3F40E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3F40E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3F40EE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3F40EE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3F40E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3F40EE">
              <w:rPr>
                <w:rFonts w:ascii="Times New Roman" w:hAnsi="Times New Roman" w:cs="Times New Roman"/>
                <w:iCs/>
                <w:lang w:val="ru-RU"/>
              </w:rPr>
              <w:t>1748 (</w:t>
            </w:r>
            <w:r w:rsidR="000966C5">
              <w:rPr>
                <w:rFonts w:ascii="Times New Roman" w:hAnsi="Times New Roman" w:cs="Times New Roman"/>
                <w:iCs/>
                <w:lang w:val="ru-RU"/>
              </w:rPr>
              <w:t>13,5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535F44" w:rsidRPr="003F40E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F40EE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3F40EE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3F40EE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3F40E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8259A" w:rsidRPr="003F40EE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="00EE6B82" w:rsidRPr="003F40EE">
              <w:rPr>
                <w:rFonts w:ascii="Times New Roman" w:hAnsi="Times New Roman" w:cs="Times New Roman"/>
                <w:iCs/>
                <w:lang w:val="ru-RU"/>
              </w:rPr>
              <w:t>33</w:t>
            </w:r>
            <w:r w:rsidR="00F93E4C" w:rsidRPr="003F40EE">
              <w:rPr>
                <w:rFonts w:ascii="Times New Roman" w:hAnsi="Times New Roman" w:cs="Times New Roman"/>
                <w:iCs/>
                <w:lang w:val="ru-RU"/>
              </w:rPr>
              <w:t xml:space="preserve"> (2</w:t>
            </w:r>
            <w:r w:rsidR="005C5DA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E6B82" w:rsidRPr="003F40E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5C5DA1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>%).</w:t>
            </w:r>
          </w:p>
          <w:p w:rsidR="00535F44" w:rsidRPr="003F40E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F40EE">
              <w:rPr>
                <w:rFonts w:ascii="Times New Roman" w:hAnsi="Times New Roman" w:cs="Times New Roman"/>
                <w:iCs/>
                <w:lang w:val="ru-RU"/>
              </w:rPr>
              <w:t>Среднее время ожидания в очереди - 4 минуты</w:t>
            </w:r>
          </w:p>
          <w:p w:rsidR="006108A7" w:rsidRPr="003F40E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F40E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3F40E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3F40EE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3F40EE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EE6B82" w:rsidRPr="003F40EE">
              <w:rPr>
                <w:rFonts w:ascii="Times New Roman" w:hAnsi="Times New Roman" w:cs="Times New Roman"/>
                <w:iCs/>
                <w:lang w:val="ru-RU"/>
              </w:rPr>
              <w:t>011</w:t>
            </w:r>
            <w:r w:rsidRPr="003F40EE"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3F40E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3F40E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E6B82" w:rsidRPr="003F40EE">
              <w:rPr>
                <w:rFonts w:ascii="Times New Roman" w:hAnsi="Times New Roman" w:cs="Times New Roman"/>
                <w:iCs/>
                <w:lang w:val="ru-RU"/>
              </w:rPr>
              <w:t>1570</w:t>
            </w:r>
            <w:r w:rsidR="00725D05" w:rsidRPr="003F40EE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3F40E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EE6B82" w:rsidRPr="003F40EE">
              <w:rPr>
                <w:rFonts w:ascii="Times New Roman" w:hAnsi="Times New Roman" w:cs="Times New Roman"/>
                <w:iCs/>
                <w:lang w:val="ru-RU"/>
              </w:rPr>
              <w:t>52</w:t>
            </w:r>
            <w:r w:rsidR="00535F44" w:rsidRPr="003F40E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6D37C6" w:rsidRPr="003F40EE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535F44" w:rsidRPr="003F40E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3F40E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3F40E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3F40E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3F40E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3F40E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3F40E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  <w:bookmarkStart w:id="0" w:name="_GoBack"/>
            <w:bookmarkEnd w:id="0"/>
          </w:p>
          <w:p w:rsidR="003F40EE" w:rsidRPr="003F40EE" w:rsidRDefault="003F40EE" w:rsidP="003F40E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3F40EE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3F40EE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3F40EE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3F40EE" w:rsidRPr="003F40EE" w:rsidRDefault="003F40EE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 xml:space="preserve">- выдача справок о наличии (отсутствии) судимости и (или) факта уголовного преследования либо о прекращении уголовного преследования </w:t>
            </w:r>
          </w:p>
          <w:p w:rsidR="004A2B95" w:rsidRPr="003F40EE" w:rsidRDefault="00837EB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недвижимости;</w:t>
            </w:r>
          </w:p>
          <w:p w:rsidR="0088795A" w:rsidRPr="003F40EE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E93BB6" w:rsidRPr="003F40E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0E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F40E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F40E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F40E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F40E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F40E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F40E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F40E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F40E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F40E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F40E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F40E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F40E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F40E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F40E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F40E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0B7085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B7085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0B7085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0B7085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0B7085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0B708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B7085" w:rsidRPr="000B7085">
              <w:rPr>
                <w:rFonts w:ascii="Times New Roman" w:hAnsi="Times New Roman" w:cs="Times New Roman"/>
                <w:bCs/>
                <w:lang w:val="ru-RU"/>
              </w:rPr>
              <w:t>312</w:t>
            </w:r>
            <w:r w:rsidR="00E93BB6" w:rsidRPr="000B7085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13E4D" w:rsidRPr="000B7085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0B7085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0B708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0B7085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0B7085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B708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B7085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B7085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B7085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0B7085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B708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0B7085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0B7085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0B7085" w:rsidRDefault="007A7001" w:rsidP="000B7085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B7085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0B708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B7085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0B7085" w:rsidRPr="000B7085">
              <w:rPr>
                <w:rFonts w:ascii="Times New Roman" w:hAnsi="Times New Roman" w:cs="Times New Roman"/>
                <w:sz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0B7085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0B7085" w:rsidRPr="000B7085" w:rsidRDefault="000B7085" w:rsidP="000B7085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B7085">
              <w:rPr>
                <w:rFonts w:ascii="Times New Roman" w:hAnsi="Times New Roman" w:cs="Times New Roman"/>
                <w:sz w:val="20"/>
                <w:lang w:val="ru-RU"/>
              </w:rPr>
              <w:t>- проведение экзаменов на право управления транспортными средствами и выдача водительских удостоверений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56BD3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59A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3F40EE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DA1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C2883"/>
    <w:rsid w:val="006C2E87"/>
    <w:rsid w:val="006C4769"/>
    <w:rsid w:val="006D37C6"/>
    <w:rsid w:val="006D5066"/>
    <w:rsid w:val="006D5F2B"/>
    <w:rsid w:val="006D7DE2"/>
    <w:rsid w:val="006F1898"/>
    <w:rsid w:val="006F5712"/>
    <w:rsid w:val="006F705A"/>
    <w:rsid w:val="007134AF"/>
    <w:rsid w:val="0071493B"/>
    <w:rsid w:val="00723306"/>
    <w:rsid w:val="00725D05"/>
    <w:rsid w:val="00726F38"/>
    <w:rsid w:val="007363DD"/>
    <w:rsid w:val="00740F4E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275F3"/>
    <w:rsid w:val="00831AB1"/>
    <w:rsid w:val="00833431"/>
    <w:rsid w:val="008338BA"/>
    <w:rsid w:val="0083437D"/>
    <w:rsid w:val="00837EBC"/>
    <w:rsid w:val="00844509"/>
    <w:rsid w:val="00845550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4;&#1077;&#1082;&#1072;&#1073;&#1088;&#1100;\18.12.-23.12\&#1044;&#1080;&#1072;&#1075;&#1088;&#1072;&#1084;&#1084;&#1072;%2018.12-23.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18.12-23.12.xlsx]Данные'!$A$3:$A$14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18.12-23.12.xlsx]Данные'!$E$3:$E$14</c:f>
              <c:numCache>
                <c:formatCode>#,##0</c:formatCode>
                <c:ptCount val="12"/>
                <c:pt idx="0">
                  <c:v>961</c:v>
                </c:pt>
                <c:pt idx="1">
                  <c:v>908</c:v>
                </c:pt>
                <c:pt idx="2">
                  <c:v>1198</c:v>
                </c:pt>
                <c:pt idx="3">
                  <c:v>1221</c:v>
                </c:pt>
                <c:pt idx="4">
                  <c:v>1177</c:v>
                </c:pt>
                <c:pt idx="5">
                  <c:v>1217</c:v>
                </c:pt>
                <c:pt idx="6">
                  <c:v>1281</c:v>
                </c:pt>
                <c:pt idx="7">
                  <c:v>1236</c:v>
                </c:pt>
                <c:pt idx="8">
                  <c:v>1127</c:v>
                </c:pt>
                <c:pt idx="9">
                  <c:v>905</c:v>
                </c:pt>
                <c:pt idx="10">
                  <c:v>834</c:v>
                </c:pt>
                <c:pt idx="11">
                  <c:v>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26480"/>
        <c:axId val="169427040"/>
      </c:barChart>
      <c:catAx>
        <c:axId val="16942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427040"/>
        <c:crosses val="autoZero"/>
        <c:auto val="1"/>
        <c:lblAlgn val="ctr"/>
        <c:lblOffset val="100"/>
        <c:noMultiLvlLbl val="0"/>
      </c:catAx>
      <c:valAx>
        <c:axId val="16942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4264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125</cp:revision>
  <cp:lastPrinted>2017-08-08T06:51:00Z</cp:lastPrinted>
  <dcterms:created xsi:type="dcterms:W3CDTF">2017-08-09T07:07:00Z</dcterms:created>
  <dcterms:modified xsi:type="dcterms:W3CDTF">2017-12-25T11:22:00Z</dcterms:modified>
</cp:coreProperties>
</file>