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C5A73">
        <w:trPr>
          <w:jc w:val="center"/>
        </w:trPr>
        <w:tc>
          <w:tcPr>
            <w:tcW w:w="154" w:type="dxa"/>
            <w:noWrap/>
          </w:tcPr>
          <w:p w:rsidR="00DC5A73" w:rsidRDefault="0013632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C5A73" w:rsidRPr="0052068E" w:rsidRDefault="0052068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" w:type="dxa"/>
            <w:noWrap/>
          </w:tcPr>
          <w:p w:rsidR="00DC5A73" w:rsidRDefault="00136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C5A73" w:rsidRDefault="0052068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DC5A73" w:rsidRDefault="0013632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C5A73" w:rsidRPr="0052068E" w:rsidRDefault="0052068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DC5A73" w:rsidRDefault="0013632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C5A73" w:rsidRDefault="00DC5A7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C5A73" w:rsidRDefault="0013632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C5A73" w:rsidRDefault="0052068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</w:t>
            </w:r>
          </w:p>
        </w:tc>
      </w:tr>
    </w:tbl>
    <w:p w:rsidR="00DC5A73" w:rsidRDefault="00732152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059.3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DC5A73" w:rsidRDefault="0013632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6" o:title="" gain="1.5625" blacklevel="3932f" grayscale="t"/>
                      </v:shape>
                      <o:OLEObject Type="Embed" ProgID="CorelDRAW.Graphic.11" ShapeID="_x0000_i1026" DrawAspect="Content" ObjectID="_1550319974" r:id="rId7"/>
                    </w:object>
                  </w:r>
                </w:p>
                <w:p w:rsidR="00DC5A73" w:rsidRDefault="00DC5A7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DC5A73" w:rsidRDefault="0013632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DC5A73" w:rsidRDefault="0013632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DC5A73" w:rsidRDefault="00DC5A73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DC5A73" w:rsidRDefault="00136325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DC5A73" w:rsidRDefault="00DC5A7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DC5A73" w:rsidRDefault="00DC5A7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DC5A73" w:rsidRDefault="00136325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DC5A73" w:rsidRDefault="00DC5A7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DC5A73" w:rsidRDefault="00DC5A73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DC5A73" w:rsidRDefault="00136325">
      <w:pPr>
        <w:ind w:right="4535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города от 09.03.2016 </w:t>
      </w:r>
      <w:r>
        <w:rPr>
          <w:szCs w:val="28"/>
        </w:rPr>
        <w:br/>
        <w:t xml:space="preserve">№ 1660 «Об определении условий </w:t>
      </w:r>
    </w:p>
    <w:p w:rsidR="00DC5A73" w:rsidRDefault="00136325">
      <w:pPr>
        <w:ind w:right="4535"/>
        <w:rPr>
          <w:szCs w:val="28"/>
        </w:rPr>
      </w:pPr>
      <w:r>
        <w:rPr>
          <w:szCs w:val="28"/>
        </w:rPr>
        <w:t xml:space="preserve">оплаты труда руководителей, </w:t>
      </w:r>
    </w:p>
    <w:p w:rsidR="00DC5A73" w:rsidRDefault="00136325">
      <w:pPr>
        <w:ind w:right="4535"/>
        <w:rPr>
          <w:szCs w:val="28"/>
        </w:rPr>
      </w:pPr>
      <w:r>
        <w:rPr>
          <w:szCs w:val="28"/>
        </w:rPr>
        <w:t xml:space="preserve">их заместителей, главных бухгалтеров муниципальных унитарных предприятий и хозяйственных обществ, </w:t>
      </w:r>
    </w:p>
    <w:p w:rsidR="00DC5A73" w:rsidRDefault="00136325">
      <w:pPr>
        <w:ind w:right="4535"/>
        <w:rPr>
          <w:szCs w:val="28"/>
        </w:rPr>
      </w:pPr>
      <w:r>
        <w:rPr>
          <w:szCs w:val="28"/>
        </w:rPr>
        <w:t xml:space="preserve">более 50 процентов акций (долей) </w:t>
      </w:r>
    </w:p>
    <w:p w:rsidR="00DC5A73" w:rsidRDefault="00136325">
      <w:pPr>
        <w:ind w:right="4535"/>
        <w:rPr>
          <w:szCs w:val="28"/>
        </w:rPr>
      </w:pPr>
      <w:r>
        <w:rPr>
          <w:szCs w:val="28"/>
        </w:rPr>
        <w:t xml:space="preserve">в уставном капитале которых находится </w:t>
      </w:r>
    </w:p>
    <w:p w:rsidR="00DC5A73" w:rsidRDefault="00136325">
      <w:pPr>
        <w:ind w:right="4676"/>
        <w:rPr>
          <w:szCs w:val="28"/>
        </w:rPr>
      </w:pPr>
      <w:r>
        <w:rPr>
          <w:szCs w:val="28"/>
        </w:rPr>
        <w:t>в муниципальной собственности»</w:t>
      </w:r>
    </w:p>
    <w:p w:rsidR="00DC5A73" w:rsidRDefault="00DC5A73">
      <w:pPr>
        <w:pStyle w:val="a4"/>
        <w:spacing w:line="240" w:lineRule="auto"/>
        <w:ind w:firstLine="567"/>
        <w:rPr>
          <w:szCs w:val="28"/>
        </w:rPr>
      </w:pPr>
    </w:p>
    <w:p w:rsidR="00DC5A73" w:rsidRDefault="00DC5A73">
      <w:pPr>
        <w:pStyle w:val="a4"/>
        <w:spacing w:line="240" w:lineRule="auto"/>
        <w:ind w:firstLine="567"/>
        <w:rPr>
          <w:szCs w:val="28"/>
        </w:rPr>
      </w:pPr>
    </w:p>
    <w:p w:rsidR="00DC5A73" w:rsidRDefault="00136325">
      <w:pPr>
        <w:pStyle w:val="a4"/>
        <w:spacing w:line="240" w:lineRule="auto"/>
        <w:ind w:firstLine="567"/>
        <w:rPr>
          <w:szCs w:val="28"/>
        </w:rPr>
      </w:pPr>
      <w:r>
        <w:rPr>
          <w:szCs w:val="28"/>
        </w:rPr>
        <w:t>В соответствии со ст.145 Трудового кодекса Российской Федерации,                     п.4 ст.65 Устава муниципального образования городской округ город Сургут Ханты-Мансийского автономного округа – Югры, в целях совершенствования муниципальных правовых актов по вопросам оплаты труда:</w:t>
      </w:r>
    </w:p>
    <w:p w:rsidR="00DC5A73" w:rsidRDefault="00136325">
      <w:pPr>
        <w:pStyle w:val="a4"/>
        <w:spacing w:line="240" w:lineRule="auto"/>
        <w:ind w:firstLine="567"/>
        <w:rPr>
          <w:szCs w:val="28"/>
        </w:rPr>
      </w:pPr>
      <w:r>
        <w:rPr>
          <w:szCs w:val="28"/>
        </w:rPr>
        <w:t>1. Внести в постановление Администрации города от 09.03.2016 № 1660 «Об определении условий оплаты труда руководителей, их заместителей,                       главных бухгалтеров муниципальных унитарных предприятий и хозяйственных обществ, более 50 процентов акций (долей) в уставном капитале которых находится в муниципальной собственности» (с изменениями от 31.08.2016 № 6582) следующие изменения:</w:t>
      </w:r>
      <w:bookmarkStart w:id="0" w:name="sub_3"/>
    </w:p>
    <w:p w:rsidR="00DC5A73" w:rsidRDefault="00136325">
      <w:pPr>
        <w:pStyle w:val="a4"/>
        <w:tabs>
          <w:tab w:val="left" w:pos="993"/>
        </w:tabs>
        <w:spacing w:line="240" w:lineRule="auto"/>
        <w:ind w:firstLine="567"/>
        <w:rPr>
          <w:szCs w:val="28"/>
        </w:rPr>
      </w:pPr>
      <w:r>
        <w:rPr>
          <w:szCs w:val="28"/>
        </w:rPr>
        <w:t>1.1.</w:t>
      </w:r>
      <w:r>
        <w:rPr>
          <w:szCs w:val="28"/>
        </w:rPr>
        <w:tab/>
        <w:t xml:space="preserve"> Пункт 1.4 раздела 1 приложения к постановлению изложить                               в следующей редакции: </w:t>
      </w:r>
    </w:p>
    <w:p w:rsidR="00DC5A73" w:rsidRDefault="00136325">
      <w:pPr>
        <w:pStyle w:val="a4"/>
        <w:tabs>
          <w:tab w:val="left" w:pos="1134"/>
        </w:tabs>
        <w:spacing w:line="240" w:lineRule="auto"/>
        <w:ind w:firstLine="567"/>
        <w:rPr>
          <w:szCs w:val="28"/>
        </w:rPr>
      </w:pPr>
      <w:r>
        <w:rPr>
          <w:szCs w:val="28"/>
        </w:rPr>
        <w:t xml:space="preserve">«1.4. Предельный уровень соотношения среднемесячной заработной платы руководителей, заместителей руководителей, главных бухгалтеров унитарных предприятий и среднемесячной заработной платы работников (без учета заработной платы руководителя, заместителей руководителя, главного бухгалтера) унитарных предприятий определяется в кратности от 1 до 8. Соотношение среднемесячной заработной платы руководителя, заместителей руководителя, главного бухгалтера унитарного предприятия и среднемесячной заработной платы работников унитарного предприятия определяется путем деления среднемесячной заработной платы руководителя этого унитарного предприятия,           заместителя руководителя, главного бухгалтера на среднемесячную заработную плату работников.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</w:t>
      </w:r>
      <w:r>
        <w:rPr>
          <w:spacing w:val="-6"/>
          <w:szCs w:val="28"/>
        </w:rPr>
        <w:t>Правительства Российской Федерации от 24.12.2007 № 922 «Об особенностях порядка</w:t>
      </w:r>
      <w:r>
        <w:rPr>
          <w:szCs w:val="28"/>
        </w:rPr>
        <w:t xml:space="preserve"> исчисления средней заработной платы».</w:t>
      </w:r>
    </w:p>
    <w:p w:rsidR="00DC5A73" w:rsidRDefault="00136325">
      <w:pPr>
        <w:pStyle w:val="a4"/>
        <w:tabs>
          <w:tab w:val="left" w:pos="1134"/>
          <w:tab w:val="left" w:pos="1276"/>
        </w:tabs>
        <w:spacing w:line="240" w:lineRule="auto"/>
        <w:ind w:firstLine="567"/>
        <w:rPr>
          <w:szCs w:val="28"/>
        </w:rPr>
      </w:pPr>
      <w:r>
        <w:rPr>
          <w:szCs w:val="28"/>
        </w:rPr>
        <w:t>1.2. Таблицу 2 раздела 2 приложения к постановлению изложить                             в следующей редакции:</w:t>
      </w:r>
    </w:p>
    <w:p w:rsidR="00DC5A73" w:rsidRDefault="00136325">
      <w:pPr>
        <w:pStyle w:val="a4"/>
        <w:tabs>
          <w:tab w:val="left" w:pos="1134"/>
        </w:tabs>
        <w:spacing w:line="240" w:lineRule="auto"/>
        <w:ind w:firstLine="567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«Таблица 2</w:t>
      </w:r>
    </w:p>
    <w:p w:rsidR="00DC5A73" w:rsidRDefault="00DC5A73">
      <w:pPr>
        <w:pStyle w:val="a4"/>
        <w:tabs>
          <w:tab w:val="left" w:pos="1134"/>
        </w:tabs>
        <w:spacing w:line="240" w:lineRule="auto"/>
        <w:ind w:firstLine="567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5790"/>
        <w:gridCol w:w="426"/>
      </w:tblGrid>
      <w:tr w:rsidR="00DC5A73">
        <w:tc>
          <w:tcPr>
            <w:tcW w:w="3541" w:type="dxa"/>
            <w:shd w:val="clear" w:color="auto" w:fill="auto"/>
          </w:tcPr>
          <w:p w:rsidR="00DC5A73" w:rsidRDefault="00136325">
            <w:pPr>
              <w:pStyle w:val="a4"/>
              <w:tabs>
                <w:tab w:val="left" w:pos="1134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Штатная </w:t>
            </w:r>
          </w:p>
          <w:p w:rsidR="00DC5A73" w:rsidRDefault="00136325">
            <w:pPr>
              <w:pStyle w:val="a4"/>
              <w:tabs>
                <w:tab w:val="left" w:pos="1134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численность предприятия </w:t>
            </w:r>
          </w:p>
          <w:p w:rsidR="00DC5A73" w:rsidRDefault="00136325">
            <w:pPr>
              <w:pStyle w:val="a4"/>
              <w:tabs>
                <w:tab w:val="left" w:pos="1134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(шт.ед.)</w:t>
            </w:r>
          </w:p>
        </w:tc>
        <w:tc>
          <w:tcPr>
            <w:tcW w:w="5815" w:type="dxa"/>
            <w:tcBorders>
              <w:right w:val="single" w:sz="4" w:space="0" w:color="auto"/>
            </w:tcBorders>
            <w:shd w:val="clear" w:color="auto" w:fill="auto"/>
          </w:tcPr>
          <w:p w:rsidR="00DC5A73" w:rsidRDefault="00136325">
            <w:pPr>
              <w:pStyle w:val="a4"/>
              <w:tabs>
                <w:tab w:val="left" w:pos="1134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Величина </w:t>
            </w:r>
          </w:p>
          <w:p w:rsidR="00DC5A73" w:rsidRDefault="00136325">
            <w:pPr>
              <w:pStyle w:val="a4"/>
              <w:tabs>
                <w:tab w:val="left" w:pos="1134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коэффициента штатной численности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A73" w:rsidRDefault="00DC5A73">
            <w:pPr>
              <w:pStyle w:val="a4"/>
              <w:tabs>
                <w:tab w:val="left" w:pos="1134"/>
              </w:tabs>
              <w:spacing w:line="240" w:lineRule="auto"/>
              <w:jc w:val="center"/>
              <w:rPr>
                <w:szCs w:val="28"/>
              </w:rPr>
            </w:pPr>
          </w:p>
        </w:tc>
      </w:tr>
      <w:tr w:rsidR="00DC5A73">
        <w:tc>
          <w:tcPr>
            <w:tcW w:w="3541" w:type="dxa"/>
            <w:shd w:val="clear" w:color="auto" w:fill="auto"/>
          </w:tcPr>
          <w:p w:rsidR="00DC5A73" w:rsidRDefault="00136325">
            <w:pPr>
              <w:pStyle w:val="a4"/>
              <w:tabs>
                <w:tab w:val="left" w:pos="1134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до 80</w:t>
            </w:r>
          </w:p>
        </w:tc>
        <w:tc>
          <w:tcPr>
            <w:tcW w:w="5815" w:type="dxa"/>
            <w:tcBorders>
              <w:right w:val="single" w:sz="4" w:space="0" w:color="auto"/>
            </w:tcBorders>
            <w:shd w:val="clear" w:color="auto" w:fill="auto"/>
          </w:tcPr>
          <w:p w:rsidR="00DC5A73" w:rsidRDefault="00136325">
            <w:pPr>
              <w:pStyle w:val="a4"/>
              <w:tabs>
                <w:tab w:val="left" w:pos="1134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A73" w:rsidRDefault="00DC5A73">
            <w:pPr>
              <w:pStyle w:val="a4"/>
              <w:tabs>
                <w:tab w:val="left" w:pos="1134"/>
              </w:tabs>
              <w:spacing w:line="240" w:lineRule="auto"/>
              <w:jc w:val="center"/>
              <w:rPr>
                <w:szCs w:val="28"/>
              </w:rPr>
            </w:pPr>
          </w:p>
        </w:tc>
      </w:tr>
      <w:tr w:rsidR="00DC5A73">
        <w:tc>
          <w:tcPr>
            <w:tcW w:w="3541" w:type="dxa"/>
            <w:shd w:val="clear" w:color="auto" w:fill="auto"/>
          </w:tcPr>
          <w:p w:rsidR="00DC5A73" w:rsidRDefault="00136325">
            <w:pPr>
              <w:pStyle w:val="a4"/>
              <w:tabs>
                <w:tab w:val="left" w:pos="1134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от 80 до 140</w:t>
            </w:r>
          </w:p>
        </w:tc>
        <w:tc>
          <w:tcPr>
            <w:tcW w:w="5815" w:type="dxa"/>
            <w:tcBorders>
              <w:right w:val="single" w:sz="4" w:space="0" w:color="auto"/>
            </w:tcBorders>
            <w:shd w:val="clear" w:color="auto" w:fill="auto"/>
          </w:tcPr>
          <w:p w:rsidR="00DC5A73" w:rsidRDefault="00136325">
            <w:pPr>
              <w:pStyle w:val="a4"/>
              <w:tabs>
                <w:tab w:val="left" w:pos="1134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A73" w:rsidRDefault="00DC5A73">
            <w:pPr>
              <w:pStyle w:val="a4"/>
              <w:tabs>
                <w:tab w:val="left" w:pos="1134"/>
              </w:tabs>
              <w:spacing w:line="240" w:lineRule="auto"/>
              <w:jc w:val="center"/>
              <w:rPr>
                <w:szCs w:val="28"/>
              </w:rPr>
            </w:pPr>
          </w:p>
        </w:tc>
      </w:tr>
      <w:tr w:rsidR="00DC5A73">
        <w:tc>
          <w:tcPr>
            <w:tcW w:w="3541" w:type="dxa"/>
            <w:shd w:val="clear" w:color="auto" w:fill="auto"/>
          </w:tcPr>
          <w:p w:rsidR="00DC5A73" w:rsidRDefault="00136325">
            <w:pPr>
              <w:pStyle w:val="a4"/>
              <w:tabs>
                <w:tab w:val="left" w:pos="1134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от 140 до 400</w:t>
            </w:r>
          </w:p>
        </w:tc>
        <w:tc>
          <w:tcPr>
            <w:tcW w:w="5815" w:type="dxa"/>
            <w:tcBorders>
              <w:right w:val="single" w:sz="4" w:space="0" w:color="auto"/>
            </w:tcBorders>
            <w:shd w:val="clear" w:color="auto" w:fill="auto"/>
          </w:tcPr>
          <w:p w:rsidR="00DC5A73" w:rsidRDefault="00136325">
            <w:pPr>
              <w:pStyle w:val="a4"/>
              <w:tabs>
                <w:tab w:val="left" w:pos="1134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A73" w:rsidRDefault="00DC5A73">
            <w:pPr>
              <w:pStyle w:val="a4"/>
              <w:tabs>
                <w:tab w:val="left" w:pos="1134"/>
              </w:tabs>
              <w:spacing w:line="240" w:lineRule="auto"/>
              <w:jc w:val="center"/>
              <w:rPr>
                <w:szCs w:val="28"/>
              </w:rPr>
            </w:pPr>
          </w:p>
        </w:tc>
      </w:tr>
      <w:tr w:rsidR="00DC5A73">
        <w:tc>
          <w:tcPr>
            <w:tcW w:w="3541" w:type="dxa"/>
            <w:shd w:val="clear" w:color="auto" w:fill="auto"/>
          </w:tcPr>
          <w:p w:rsidR="00DC5A73" w:rsidRDefault="00136325">
            <w:pPr>
              <w:pStyle w:val="a4"/>
              <w:tabs>
                <w:tab w:val="left" w:pos="1134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от 400 до 750</w:t>
            </w:r>
          </w:p>
        </w:tc>
        <w:tc>
          <w:tcPr>
            <w:tcW w:w="5815" w:type="dxa"/>
            <w:tcBorders>
              <w:right w:val="single" w:sz="4" w:space="0" w:color="auto"/>
            </w:tcBorders>
            <w:shd w:val="clear" w:color="auto" w:fill="auto"/>
          </w:tcPr>
          <w:p w:rsidR="00DC5A73" w:rsidRDefault="00136325">
            <w:pPr>
              <w:pStyle w:val="a4"/>
              <w:tabs>
                <w:tab w:val="left" w:pos="1134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A73" w:rsidRDefault="00DC5A73">
            <w:pPr>
              <w:pStyle w:val="a4"/>
              <w:tabs>
                <w:tab w:val="left" w:pos="1134"/>
              </w:tabs>
              <w:spacing w:line="240" w:lineRule="auto"/>
              <w:jc w:val="center"/>
              <w:rPr>
                <w:szCs w:val="28"/>
              </w:rPr>
            </w:pPr>
          </w:p>
        </w:tc>
      </w:tr>
      <w:tr w:rsidR="00DC5A73">
        <w:tc>
          <w:tcPr>
            <w:tcW w:w="3541" w:type="dxa"/>
            <w:shd w:val="clear" w:color="auto" w:fill="auto"/>
          </w:tcPr>
          <w:p w:rsidR="00DC5A73" w:rsidRDefault="00136325">
            <w:pPr>
              <w:pStyle w:val="a4"/>
              <w:tabs>
                <w:tab w:val="left" w:pos="1134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от 750 до 1000</w:t>
            </w:r>
          </w:p>
        </w:tc>
        <w:tc>
          <w:tcPr>
            <w:tcW w:w="5815" w:type="dxa"/>
            <w:tcBorders>
              <w:right w:val="single" w:sz="4" w:space="0" w:color="auto"/>
            </w:tcBorders>
            <w:shd w:val="clear" w:color="auto" w:fill="auto"/>
          </w:tcPr>
          <w:p w:rsidR="00DC5A73" w:rsidRDefault="00136325">
            <w:pPr>
              <w:pStyle w:val="a4"/>
              <w:tabs>
                <w:tab w:val="left" w:pos="1134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A73" w:rsidRDefault="00DC5A73">
            <w:pPr>
              <w:pStyle w:val="a4"/>
              <w:tabs>
                <w:tab w:val="left" w:pos="1134"/>
              </w:tabs>
              <w:spacing w:line="240" w:lineRule="auto"/>
              <w:jc w:val="center"/>
              <w:rPr>
                <w:szCs w:val="28"/>
              </w:rPr>
            </w:pPr>
          </w:p>
        </w:tc>
      </w:tr>
      <w:tr w:rsidR="00DC5A73">
        <w:tc>
          <w:tcPr>
            <w:tcW w:w="3541" w:type="dxa"/>
            <w:shd w:val="clear" w:color="auto" w:fill="auto"/>
          </w:tcPr>
          <w:p w:rsidR="00DC5A73" w:rsidRDefault="00136325">
            <w:pPr>
              <w:pStyle w:val="a4"/>
              <w:tabs>
                <w:tab w:val="left" w:pos="1134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от 1000</w:t>
            </w:r>
          </w:p>
        </w:tc>
        <w:tc>
          <w:tcPr>
            <w:tcW w:w="5815" w:type="dxa"/>
            <w:tcBorders>
              <w:right w:val="single" w:sz="4" w:space="0" w:color="auto"/>
            </w:tcBorders>
            <w:shd w:val="clear" w:color="auto" w:fill="auto"/>
          </w:tcPr>
          <w:p w:rsidR="00DC5A73" w:rsidRDefault="00136325">
            <w:pPr>
              <w:pStyle w:val="a4"/>
              <w:tabs>
                <w:tab w:val="left" w:pos="1134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A73" w:rsidRDefault="00136325">
            <w:pPr>
              <w:pStyle w:val="a4"/>
              <w:tabs>
                <w:tab w:val="left" w:pos="1134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DC5A73" w:rsidRDefault="00DC5A73">
      <w:pPr>
        <w:pStyle w:val="a4"/>
        <w:tabs>
          <w:tab w:val="left" w:pos="993"/>
        </w:tabs>
        <w:spacing w:line="240" w:lineRule="auto"/>
        <w:ind w:firstLine="567"/>
        <w:rPr>
          <w:spacing w:val="-6"/>
          <w:szCs w:val="28"/>
        </w:rPr>
      </w:pPr>
    </w:p>
    <w:p w:rsidR="00DC5A73" w:rsidRDefault="00136325">
      <w:pPr>
        <w:pStyle w:val="a4"/>
        <w:tabs>
          <w:tab w:val="left" w:pos="993"/>
        </w:tabs>
        <w:spacing w:line="240" w:lineRule="auto"/>
        <w:ind w:firstLine="567"/>
        <w:rPr>
          <w:spacing w:val="-6"/>
          <w:szCs w:val="28"/>
        </w:rPr>
      </w:pPr>
      <w:r>
        <w:rPr>
          <w:spacing w:val="-6"/>
          <w:szCs w:val="28"/>
        </w:rPr>
        <w:t>1.3. Пункт 4.6 приложения к постановлению изложить в следующей редакции:</w:t>
      </w:r>
    </w:p>
    <w:p w:rsidR="00DC5A73" w:rsidRDefault="00136325">
      <w:pPr>
        <w:pStyle w:val="a4"/>
        <w:tabs>
          <w:tab w:val="left" w:pos="1134"/>
        </w:tabs>
        <w:spacing w:line="240" w:lineRule="auto"/>
        <w:ind w:firstLine="567"/>
        <w:rPr>
          <w:szCs w:val="28"/>
        </w:rPr>
      </w:pPr>
      <w:r>
        <w:rPr>
          <w:szCs w:val="28"/>
        </w:rPr>
        <w:t>«4.6.</w:t>
      </w:r>
      <w:r>
        <w:rPr>
          <w:szCs w:val="28"/>
        </w:rPr>
        <w:tab/>
        <w:t xml:space="preserve"> Руководителям, их заместителям, главным бухгалтерам один раз                 в календарном году выплачивается единовременная премия к профессиональному празднику, указанному в трудовом договоре с соответствующим руководителем, заместителем руководителя, главным бухгалтером унитарного предприятия (хозяйственного общества). </w:t>
      </w:r>
    </w:p>
    <w:p w:rsidR="00DC5A73" w:rsidRDefault="00136325">
      <w:pPr>
        <w:pStyle w:val="a4"/>
        <w:tabs>
          <w:tab w:val="left" w:pos="1134"/>
        </w:tabs>
        <w:spacing w:line="240" w:lineRule="auto"/>
        <w:ind w:firstLine="567"/>
        <w:rPr>
          <w:szCs w:val="28"/>
        </w:rPr>
      </w:pPr>
      <w:r>
        <w:rPr>
          <w:szCs w:val="28"/>
        </w:rPr>
        <w:t xml:space="preserve">Единовременная премия к профессиональному празднику выплачивается </w:t>
      </w:r>
      <w:r>
        <w:rPr>
          <w:szCs w:val="28"/>
        </w:rPr>
        <w:br/>
        <w:t>в размере 0,5 месячного фонда оплаты труда, установленного на день издания приказа (распоряжения, решения) работодателя (представителя работодателя)».</w:t>
      </w:r>
    </w:p>
    <w:p w:rsidR="00DC5A73" w:rsidRDefault="00136325">
      <w:pPr>
        <w:pStyle w:val="a4"/>
        <w:tabs>
          <w:tab w:val="left" w:pos="993"/>
        </w:tabs>
        <w:spacing w:line="240" w:lineRule="auto"/>
        <w:ind w:firstLine="567"/>
        <w:rPr>
          <w:szCs w:val="28"/>
        </w:rPr>
      </w:pPr>
      <w:r>
        <w:rPr>
          <w:szCs w:val="28"/>
        </w:rPr>
        <w:t>2. Настоящее постановление вступает в силу после его официального опубликования. Действие пункта 1.1 настоящего постановления распространяется на правоотношения, возникшие с 01.01.2017.</w:t>
      </w:r>
    </w:p>
    <w:p w:rsidR="00DC5A73" w:rsidRDefault="00136325">
      <w:pPr>
        <w:pStyle w:val="a4"/>
        <w:tabs>
          <w:tab w:val="left" w:pos="993"/>
        </w:tabs>
        <w:spacing w:line="240" w:lineRule="auto"/>
        <w:ind w:firstLine="567"/>
        <w:rPr>
          <w:szCs w:val="28"/>
        </w:rPr>
      </w:pPr>
      <w:r>
        <w:rPr>
          <w:spacing w:val="-6"/>
          <w:szCs w:val="28"/>
        </w:rPr>
        <w:t>3. Структурным подразделениям Администрации города, осуществляющим</w:t>
      </w:r>
      <w:r>
        <w:rPr>
          <w:szCs w:val="28"/>
        </w:rPr>
        <w:t xml:space="preserve"> функции кураторов муниципальных унитарных предприятий, закрепленных                  в соответствии с муниципальным правовым актом, комитету по управлению имуществом в части муниципальных унитарных предприятий, в отношении                  которых он осуществляет функции куратора, и хозяйственных обществ,                        более 50 процентов акций (долей) в уставном капитале которых находится                   в муниципальной собственности, привести свои муниципальные правовые акты и трудовые договоры с руководителями муниципальных унитарных предприятий (хозяйственных обществ) в соответствие с настоящим постановлением                в срок до 01.06.2017.</w:t>
      </w:r>
    </w:p>
    <w:p w:rsidR="00DC5A73" w:rsidRDefault="00DC5A73">
      <w:pPr>
        <w:pStyle w:val="a4"/>
        <w:tabs>
          <w:tab w:val="left" w:pos="993"/>
        </w:tabs>
        <w:spacing w:line="240" w:lineRule="auto"/>
        <w:ind w:firstLine="567"/>
        <w:rPr>
          <w:szCs w:val="28"/>
        </w:rPr>
      </w:pPr>
    </w:p>
    <w:p w:rsidR="00DC5A73" w:rsidRDefault="00DC5A73">
      <w:pPr>
        <w:pStyle w:val="a4"/>
        <w:tabs>
          <w:tab w:val="left" w:pos="993"/>
        </w:tabs>
        <w:spacing w:line="240" w:lineRule="auto"/>
        <w:ind w:firstLine="567"/>
        <w:rPr>
          <w:szCs w:val="28"/>
        </w:rPr>
      </w:pPr>
    </w:p>
    <w:p w:rsidR="00DC5A73" w:rsidRDefault="00136325">
      <w:pPr>
        <w:pStyle w:val="a4"/>
        <w:tabs>
          <w:tab w:val="left" w:pos="993"/>
        </w:tabs>
        <w:spacing w:line="240" w:lineRule="auto"/>
        <w:ind w:firstLine="567"/>
        <w:rPr>
          <w:szCs w:val="28"/>
        </w:rPr>
      </w:pPr>
      <w:r>
        <w:rPr>
          <w:szCs w:val="28"/>
        </w:rPr>
        <w:t xml:space="preserve">4. Руководителям муниципальных унитарных предприятий (хозяйственных обществ, более 50 процентов акций (долей) в уставном капитале которых </w:t>
      </w:r>
      <w:r>
        <w:rPr>
          <w:spacing w:val="-4"/>
          <w:szCs w:val="28"/>
        </w:rPr>
        <w:t>находится в муниципальной собственности,</w:t>
      </w:r>
      <w:r>
        <w:rPr>
          <w:spacing w:val="-4"/>
        </w:rPr>
        <w:t xml:space="preserve"> </w:t>
      </w:r>
      <w:r>
        <w:rPr>
          <w:spacing w:val="-4"/>
          <w:szCs w:val="28"/>
        </w:rPr>
        <w:t>привести свои локальные акты и трудовые</w:t>
      </w:r>
      <w:r>
        <w:rPr>
          <w:szCs w:val="28"/>
        </w:rPr>
        <w:t xml:space="preserve"> договоры с заместителями руководителя и главным бухгалтером в соответствие с настоящим постановлением в срок до 01.06.2017.</w:t>
      </w:r>
    </w:p>
    <w:p w:rsidR="00DC5A73" w:rsidRDefault="00136325">
      <w:pPr>
        <w:pStyle w:val="a4"/>
        <w:tabs>
          <w:tab w:val="left" w:pos="993"/>
        </w:tabs>
        <w:spacing w:line="240" w:lineRule="auto"/>
        <w:ind w:firstLine="567"/>
        <w:rPr>
          <w:szCs w:val="28"/>
        </w:rPr>
      </w:pPr>
      <w:r>
        <w:rPr>
          <w:szCs w:val="28"/>
        </w:rPr>
        <w:t>5. Управлению информационной политики опубликовать настоящее                     постановление в средствах массовой информации и разместить на официальном портале Администрации города.</w:t>
      </w:r>
    </w:p>
    <w:p w:rsidR="00DC5A73" w:rsidRDefault="00136325">
      <w:pPr>
        <w:pStyle w:val="a4"/>
        <w:tabs>
          <w:tab w:val="left" w:pos="993"/>
        </w:tabs>
        <w:spacing w:line="240" w:lineRule="auto"/>
        <w:ind w:firstLine="567"/>
        <w:rPr>
          <w:szCs w:val="28"/>
        </w:rPr>
      </w:pPr>
      <w:r>
        <w:rPr>
          <w:szCs w:val="28"/>
        </w:rPr>
        <w:t>6. Контроль за выполнением постановления возложить на заместителя                главы Администрации города Кривцова Н.Н.</w:t>
      </w:r>
    </w:p>
    <w:p w:rsidR="00DC5A73" w:rsidRDefault="00DC5A73">
      <w:pPr>
        <w:tabs>
          <w:tab w:val="left" w:pos="0"/>
          <w:tab w:val="left" w:pos="993"/>
        </w:tabs>
        <w:ind w:left="568"/>
        <w:jc w:val="both"/>
        <w:rPr>
          <w:szCs w:val="28"/>
        </w:rPr>
      </w:pPr>
    </w:p>
    <w:p w:rsidR="00DC5A73" w:rsidRDefault="00DC5A73">
      <w:pPr>
        <w:tabs>
          <w:tab w:val="left" w:pos="0"/>
          <w:tab w:val="left" w:pos="993"/>
        </w:tabs>
        <w:ind w:left="568"/>
        <w:jc w:val="both"/>
        <w:rPr>
          <w:szCs w:val="28"/>
        </w:rPr>
      </w:pPr>
    </w:p>
    <w:bookmarkEnd w:id="0"/>
    <w:p w:rsidR="00DC5A73" w:rsidRDefault="00136325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sectPr w:rsidR="00DC5A73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52" w:rsidRDefault="00732152">
      <w:r>
        <w:separator/>
      </w:r>
    </w:p>
  </w:endnote>
  <w:endnote w:type="continuationSeparator" w:id="0">
    <w:p w:rsidR="00732152" w:rsidRDefault="0073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52" w:rsidRDefault="00732152">
      <w:r>
        <w:separator/>
      </w:r>
    </w:p>
  </w:footnote>
  <w:footnote w:type="continuationSeparator" w:id="0">
    <w:p w:rsidR="00732152" w:rsidRDefault="00732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08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C5A73" w:rsidRDefault="00136325">
        <w:pPr>
          <w:pStyle w:val="a6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52068E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DC5A73" w:rsidRDefault="00DC5A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A73"/>
    <w:rsid w:val="00136325"/>
    <w:rsid w:val="00517D76"/>
    <w:rsid w:val="0052068E"/>
    <w:rsid w:val="00732152"/>
    <w:rsid w:val="00A15132"/>
    <w:rsid w:val="00DC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58368A3"/>
  <w15:docId w15:val="{4FA59F79-1FFC-4343-A9D9-237FEBCF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pPr>
      <w:spacing w:line="36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2017-03-02T04:41:00Z</cp:lastPrinted>
  <dcterms:created xsi:type="dcterms:W3CDTF">2017-03-06T10:39:00Z</dcterms:created>
  <dcterms:modified xsi:type="dcterms:W3CDTF">2017-03-06T10:39:00Z</dcterms:modified>
</cp:coreProperties>
</file>