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07" w:rsidRDefault="00521F07">
      <w:pPr>
        <w:pStyle w:val="ConsPlusTitlePage"/>
      </w:pPr>
      <w:r>
        <w:t xml:space="preserve">Документ предоставлен </w:t>
      </w:r>
      <w:hyperlink r:id="rId4" w:history="1">
        <w:r>
          <w:rPr>
            <w:color w:val="0000FF"/>
          </w:rPr>
          <w:t>КонсультантПлюс</w:t>
        </w:r>
      </w:hyperlink>
      <w:r>
        <w:br/>
      </w:r>
    </w:p>
    <w:p w:rsidR="00521F07" w:rsidRDefault="00521F07">
      <w:pPr>
        <w:pStyle w:val="ConsPlusNormal"/>
        <w:jc w:val="both"/>
        <w:outlineLvl w:val="0"/>
      </w:pPr>
    </w:p>
    <w:p w:rsidR="00521F07" w:rsidRDefault="00521F07">
      <w:pPr>
        <w:pStyle w:val="ConsPlusTitle"/>
        <w:jc w:val="center"/>
        <w:outlineLvl w:val="0"/>
      </w:pPr>
      <w:r>
        <w:t>АДМИНИСТРАЦИЯ ГОРОДА СУРГУТА</w:t>
      </w:r>
    </w:p>
    <w:p w:rsidR="00521F07" w:rsidRDefault="00521F07">
      <w:pPr>
        <w:pStyle w:val="ConsPlusTitle"/>
        <w:jc w:val="center"/>
      </w:pPr>
    </w:p>
    <w:p w:rsidR="00521F07" w:rsidRDefault="00521F07">
      <w:pPr>
        <w:pStyle w:val="ConsPlusTitle"/>
        <w:jc w:val="center"/>
      </w:pPr>
      <w:r>
        <w:t>ПОСТАНОВЛЕНИЕ</w:t>
      </w:r>
    </w:p>
    <w:p w:rsidR="00521F07" w:rsidRDefault="00521F07">
      <w:pPr>
        <w:pStyle w:val="ConsPlusTitle"/>
        <w:jc w:val="center"/>
      </w:pPr>
      <w:r>
        <w:t>от 7 октября 2020 г. N 7027</w:t>
      </w:r>
    </w:p>
    <w:p w:rsidR="00521F07" w:rsidRDefault="00521F07">
      <w:pPr>
        <w:pStyle w:val="ConsPlusTitle"/>
        <w:jc w:val="center"/>
      </w:pPr>
    </w:p>
    <w:p w:rsidR="00521F07" w:rsidRDefault="00521F07">
      <w:pPr>
        <w:pStyle w:val="ConsPlusTitle"/>
        <w:jc w:val="center"/>
      </w:pPr>
      <w:r>
        <w:t>ОБ УТВЕРЖДЕНИИ ПОРЯДКА УСТАНОВЛЕНИЯ ПРИЧИН НАРУШЕНИЯ</w:t>
      </w:r>
    </w:p>
    <w:p w:rsidR="00521F07" w:rsidRDefault="00521F07">
      <w:pPr>
        <w:pStyle w:val="ConsPlusTitle"/>
        <w:jc w:val="center"/>
      </w:pPr>
      <w:r>
        <w:t>ЗАКОНОДАТЕЛЬСТВА О ГРАДОСТРОИТЕЛЬНОЙ ДЕЯТЕЛЬНОСТИ</w:t>
      </w:r>
    </w:p>
    <w:p w:rsidR="00521F07" w:rsidRDefault="00521F07">
      <w:pPr>
        <w:pStyle w:val="ConsPlusTitle"/>
        <w:jc w:val="center"/>
      </w:pPr>
      <w:r>
        <w:t>НА ТЕРРИТОРИИ ГОРОДА СУРГУТА</w:t>
      </w:r>
    </w:p>
    <w:p w:rsidR="00521F07" w:rsidRDefault="00521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1F07">
        <w:trPr>
          <w:jc w:val="center"/>
        </w:trPr>
        <w:tc>
          <w:tcPr>
            <w:tcW w:w="9294" w:type="dxa"/>
            <w:tcBorders>
              <w:top w:val="nil"/>
              <w:left w:val="single" w:sz="24" w:space="0" w:color="CED3F1"/>
              <w:bottom w:val="nil"/>
              <w:right w:val="single" w:sz="24" w:space="0" w:color="F4F3F8"/>
            </w:tcBorders>
            <w:shd w:val="clear" w:color="auto" w:fill="F4F3F8"/>
          </w:tcPr>
          <w:p w:rsidR="00521F07" w:rsidRDefault="00521F07">
            <w:pPr>
              <w:pStyle w:val="ConsPlusNormal"/>
              <w:jc w:val="center"/>
            </w:pPr>
            <w:r>
              <w:rPr>
                <w:color w:val="392C69"/>
              </w:rPr>
              <w:t>Список изменяющих документов</w:t>
            </w:r>
          </w:p>
          <w:p w:rsidR="00521F07" w:rsidRDefault="00521F07">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Сургута от 18.11.2020 N 8372)</w:t>
            </w:r>
          </w:p>
        </w:tc>
      </w:tr>
    </w:tbl>
    <w:p w:rsidR="00521F07" w:rsidRDefault="00521F07">
      <w:pPr>
        <w:pStyle w:val="ConsPlusNormal"/>
        <w:jc w:val="both"/>
      </w:pPr>
    </w:p>
    <w:p w:rsidR="00521F07" w:rsidRDefault="00521F07">
      <w:pPr>
        <w:pStyle w:val="ConsPlusNormal"/>
        <w:ind w:firstLine="540"/>
        <w:jc w:val="both"/>
      </w:pPr>
      <w:r>
        <w:t xml:space="preserve">В соответствии с </w:t>
      </w:r>
      <w:hyperlink r:id="rId6" w:history="1">
        <w:r>
          <w:rPr>
            <w:color w:val="0000FF"/>
          </w:rPr>
          <w:t>частью 4 статьи 62</w:t>
        </w:r>
      </w:hyperlink>
      <w:r>
        <w:t xml:space="preserve"> Градостроительного кодекса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Правительства Ханты-Мансийского автономного округа - Югры от 24.01.2007 N 11-п "Об утверждении порядка установления причин нарушения законодательства о градостроительной деятельности на территории Ханты-Мансийского автономного округа - Югры", </w:t>
      </w:r>
      <w:hyperlink r:id="rId9" w:history="1">
        <w:r>
          <w:rPr>
            <w:color w:val="0000FF"/>
          </w:rPr>
          <w:t>Уставом</w:t>
        </w:r>
      </w:hyperlink>
      <w:r>
        <w:t xml:space="preserve"> муниципального образования городской округ город Сургут Ханты-Мансийского автономного округа - Югры, в целях приведения правового акта в соответствие действующему законодательству:</w:t>
      </w:r>
    </w:p>
    <w:p w:rsidR="00521F07" w:rsidRDefault="00521F07">
      <w:pPr>
        <w:pStyle w:val="ConsPlusNormal"/>
        <w:spacing w:before="280"/>
        <w:ind w:firstLine="540"/>
        <w:jc w:val="both"/>
      </w:pPr>
      <w:r>
        <w:t xml:space="preserve">1. Утвердить </w:t>
      </w:r>
      <w:hyperlink w:anchor="P35" w:history="1">
        <w:r>
          <w:rPr>
            <w:color w:val="0000FF"/>
          </w:rPr>
          <w:t>порядок</w:t>
        </w:r>
      </w:hyperlink>
      <w:r>
        <w:t xml:space="preserve"> установления причин нарушения законодательства о градостроительной деятельности на территории города Сургута согласно приложению.</w:t>
      </w:r>
    </w:p>
    <w:p w:rsidR="00521F07" w:rsidRDefault="00521F07">
      <w:pPr>
        <w:pStyle w:val="ConsPlusNormal"/>
        <w:spacing w:before="280"/>
        <w:ind w:firstLine="540"/>
        <w:jc w:val="both"/>
      </w:pPr>
      <w:r>
        <w:t>2. Признать утратившими силу постановления Администрации города:</w:t>
      </w:r>
    </w:p>
    <w:p w:rsidR="00521F07" w:rsidRDefault="00521F07">
      <w:pPr>
        <w:pStyle w:val="ConsPlusNormal"/>
        <w:spacing w:before="280"/>
        <w:ind w:firstLine="540"/>
        <w:jc w:val="both"/>
      </w:pPr>
      <w:r>
        <w:t xml:space="preserve">- от 15.02.2007 </w:t>
      </w:r>
      <w:hyperlink r:id="rId10" w:history="1">
        <w:r>
          <w:rPr>
            <w:color w:val="0000FF"/>
          </w:rPr>
          <w:t>N 477</w:t>
        </w:r>
      </w:hyperlink>
      <w:r>
        <w:t xml:space="preserve"> "Об утверждении Порядка установления причин нарушения законодательства о градостроительной деятельности на территории города Сургута";</w:t>
      </w:r>
    </w:p>
    <w:p w:rsidR="00521F07" w:rsidRDefault="00521F07">
      <w:pPr>
        <w:pStyle w:val="ConsPlusNormal"/>
        <w:spacing w:before="280"/>
        <w:ind w:firstLine="540"/>
        <w:jc w:val="both"/>
      </w:pPr>
      <w:r>
        <w:t xml:space="preserve">- от 09.12.2019 </w:t>
      </w:r>
      <w:hyperlink r:id="rId11" w:history="1">
        <w:r>
          <w:rPr>
            <w:color w:val="0000FF"/>
          </w:rPr>
          <w:t>N 9266</w:t>
        </w:r>
      </w:hyperlink>
      <w:r>
        <w:t xml:space="preserve"> "О внесении изменения в постановление Администрации города от 15.02.2007 N 477 "Об утверждении Порядка установления причин нарушения законодательства о градостроительной деятельности на территории города Сургута";</w:t>
      </w:r>
    </w:p>
    <w:p w:rsidR="00521F07" w:rsidRDefault="00521F07">
      <w:pPr>
        <w:pStyle w:val="ConsPlusNormal"/>
        <w:spacing w:before="280"/>
        <w:ind w:firstLine="540"/>
        <w:jc w:val="both"/>
      </w:pPr>
      <w:r>
        <w:t xml:space="preserve">- от 06.02.2020 </w:t>
      </w:r>
      <w:hyperlink r:id="rId12" w:history="1">
        <w:r>
          <w:rPr>
            <w:color w:val="0000FF"/>
          </w:rPr>
          <w:t>N 860</w:t>
        </w:r>
      </w:hyperlink>
      <w:r>
        <w:t xml:space="preserve"> "О внесении изменения в постановление Администрации города от 15.02.2007 N 477 "Об утверждении Порядка </w:t>
      </w:r>
      <w:r>
        <w:lastRenderedPageBreak/>
        <w:t>установления причин нарушения законодательства о градостроительной деятельности на территории города Сургута".</w:t>
      </w:r>
    </w:p>
    <w:p w:rsidR="00521F07" w:rsidRDefault="00521F07">
      <w:pPr>
        <w:pStyle w:val="ConsPlusNormal"/>
        <w:spacing w:before="280"/>
        <w:ind w:firstLine="540"/>
        <w:jc w:val="both"/>
      </w:pPr>
      <w:r>
        <w:t>3. Управлению массовых коммуникаций разместить настоящее постановление на официальном портале Администрации города: www.admsurgut.ru.</w:t>
      </w:r>
    </w:p>
    <w:p w:rsidR="00521F07" w:rsidRDefault="00521F07">
      <w:pPr>
        <w:pStyle w:val="ConsPlusNormal"/>
        <w:spacing w:before="280"/>
        <w:ind w:firstLine="540"/>
        <w:jc w:val="both"/>
      </w:pPr>
      <w:r>
        <w:t>4. Муниципальному казенному учреждению "Наш город" опубликовать настоящее постановление в газете "Сургутские ведомости".</w:t>
      </w:r>
    </w:p>
    <w:p w:rsidR="00521F07" w:rsidRDefault="00521F07">
      <w:pPr>
        <w:pStyle w:val="ConsPlusNormal"/>
        <w:spacing w:before="280"/>
        <w:ind w:firstLine="540"/>
        <w:jc w:val="both"/>
      </w:pPr>
      <w:r>
        <w:t>5. Настоящее постановление вступает в силу после его официального опубликования.</w:t>
      </w:r>
    </w:p>
    <w:p w:rsidR="00521F07" w:rsidRDefault="00521F07">
      <w:pPr>
        <w:pStyle w:val="ConsPlusNormal"/>
        <w:spacing w:before="280"/>
        <w:ind w:firstLine="540"/>
        <w:jc w:val="both"/>
      </w:pPr>
      <w:r>
        <w:t>6. Контроль за выполнением постановления возложить на заместителя Главы города, курирующего сферу архитектуры, градостроительства, управления земельными ресурсами городского округа.</w:t>
      </w:r>
    </w:p>
    <w:p w:rsidR="00521F07" w:rsidRDefault="00521F07">
      <w:pPr>
        <w:pStyle w:val="ConsPlusNormal"/>
        <w:jc w:val="both"/>
      </w:pPr>
    </w:p>
    <w:p w:rsidR="00521F07" w:rsidRDefault="00521F07">
      <w:pPr>
        <w:pStyle w:val="ConsPlusNormal"/>
        <w:jc w:val="right"/>
      </w:pPr>
      <w:r>
        <w:t>Глава города</w:t>
      </w:r>
    </w:p>
    <w:p w:rsidR="00521F07" w:rsidRDefault="00521F07">
      <w:pPr>
        <w:pStyle w:val="ConsPlusNormal"/>
        <w:jc w:val="right"/>
      </w:pPr>
      <w:r>
        <w:t>В.Н.ШУВАЛОВ</w:t>
      </w:r>
    </w:p>
    <w:p w:rsidR="00521F07" w:rsidRDefault="00521F07">
      <w:pPr>
        <w:pStyle w:val="ConsPlusNormal"/>
        <w:jc w:val="both"/>
      </w:pPr>
    </w:p>
    <w:p w:rsidR="00521F07" w:rsidRDefault="00521F07">
      <w:pPr>
        <w:pStyle w:val="ConsPlusNormal"/>
        <w:jc w:val="both"/>
      </w:pPr>
    </w:p>
    <w:p w:rsidR="00521F07" w:rsidRDefault="00521F07">
      <w:pPr>
        <w:pStyle w:val="ConsPlusNormal"/>
        <w:jc w:val="both"/>
      </w:pPr>
    </w:p>
    <w:p w:rsidR="00521F07" w:rsidRDefault="00521F07">
      <w:pPr>
        <w:pStyle w:val="ConsPlusNormal"/>
        <w:jc w:val="both"/>
      </w:pPr>
    </w:p>
    <w:p w:rsidR="00521F07" w:rsidRDefault="00521F07">
      <w:pPr>
        <w:pStyle w:val="ConsPlusNormal"/>
        <w:jc w:val="both"/>
      </w:pPr>
    </w:p>
    <w:p w:rsidR="00521F07" w:rsidRDefault="00521F07">
      <w:pPr>
        <w:pStyle w:val="ConsPlusNormal"/>
        <w:jc w:val="right"/>
        <w:outlineLvl w:val="0"/>
      </w:pPr>
      <w:r>
        <w:t>Приложение</w:t>
      </w:r>
    </w:p>
    <w:p w:rsidR="00521F07" w:rsidRDefault="00521F07">
      <w:pPr>
        <w:pStyle w:val="ConsPlusNormal"/>
        <w:jc w:val="right"/>
      </w:pPr>
      <w:r>
        <w:t>к постановлению</w:t>
      </w:r>
    </w:p>
    <w:p w:rsidR="00521F07" w:rsidRDefault="00521F07">
      <w:pPr>
        <w:pStyle w:val="ConsPlusNormal"/>
        <w:jc w:val="right"/>
      </w:pPr>
      <w:r>
        <w:t>Администрации города</w:t>
      </w:r>
    </w:p>
    <w:p w:rsidR="00521F07" w:rsidRDefault="00521F07">
      <w:pPr>
        <w:pStyle w:val="ConsPlusNormal"/>
        <w:jc w:val="right"/>
      </w:pPr>
      <w:r>
        <w:t>от 07.10.2020 N 7027</w:t>
      </w:r>
    </w:p>
    <w:p w:rsidR="00521F07" w:rsidRDefault="00521F07">
      <w:pPr>
        <w:pStyle w:val="ConsPlusNormal"/>
        <w:jc w:val="both"/>
      </w:pPr>
    </w:p>
    <w:p w:rsidR="00521F07" w:rsidRDefault="00521F07">
      <w:pPr>
        <w:pStyle w:val="ConsPlusTitle"/>
        <w:jc w:val="center"/>
      </w:pPr>
      <w:bookmarkStart w:id="0" w:name="P35"/>
      <w:bookmarkEnd w:id="0"/>
      <w:r>
        <w:t>ПОРЯДОК</w:t>
      </w:r>
    </w:p>
    <w:p w:rsidR="00521F07" w:rsidRDefault="00521F07">
      <w:pPr>
        <w:pStyle w:val="ConsPlusTitle"/>
        <w:jc w:val="center"/>
      </w:pPr>
      <w:r>
        <w:t>УСТАНОВЛЕНИЯ ПРИЧИН НАРУШЕНИЯ ЗАКОНОДАТЕЛЬСТВА</w:t>
      </w:r>
    </w:p>
    <w:p w:rsidR="00521F07" w:rsidRDefault="00521F07">
      <w:pPr>
        <w:pStyle w:val="ConsPlusTitle"/>
        <w:jc w:val="center"/>
      </w:pPr>
      <w:r>
        <w:t>О ГРАДОСТРОИТЕЛЬНОЙ ДЕЯТЕЛЬНОСТИ НА ТЕРРИТОРИИ ГОРОДА</w:t>
      </w:r>
    </w:p>
    <w:p w:rsidR="00521F07" w:rsidRDefault="00521F07">
      <w:pPr>
        <w:pStyle w:val="ConsPlusTitle"/>
        <w:jc w:val="center"/>
      </w:pPr>
      <w:r>
        <w:t>СУРГУТА</w:t>
      </w:r>
    </w:p>
    <w:p w:rsidR="00521F07" w:rsidRDefault="00521F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21F07">
        <w:trPr>
          <w:jc w:val="center"/>
        </w:trPr>
        <w:tc>
          <w:tcPr>
            <w:tcW w:w="9294" w:type="dxa"/>
            <w:tcBorders>
              <w:top w:val="nil"/>
              <w:left w:val="single" w:sz="24" w:space="0" w:color="CED3F1"/>
              <w:bottom w:val="nil"/>
              <w:right w:val="single" w:sz="24" w:space="0" w:color="F4F3F8"/>
            </w:tcBorders>
            <w:shd w:val="clear" w:color="auto" w:fill="F4F3F8"/>
          </w:tcPr>
          <w:p w:rsidR="00521F07" w:rsidRDefault="00521F07">
            <w:pPr>
              <w:pStyle w:val="ConsPlusNormal"/>
              <w:jc w:val="center"/>
            </w:pPr>
            <w:r>
              <w:rPr>
                <w:color w:val="392C69"/>
              </w:rPr>
              <w:t>Список изменяющих документов</w:t>
            </w:r>
          </w:p>
          <w:p w:rsidR="00521F07" w:rsidRDefault="00521F07">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города Сургута от 18.11.2020 N 8372)</w:t>
            </w:r>
          </w:p>
        </w:tc>
      </w:tr>
    </w:tbl>
    <w:p w:rsidR="00521F07" w:rsidRDefault="00521F07">
      <w:pPr>
        <w:pStyle w:val="ConsPlusNormal"/>
        <w:jc w:val="both"/>
      </w:pPr>
    </w:p>
    <w:p w:rsidR="00521F07" w:rsidRDefault="00521F07">
      <w:pPr>
        <w:pStyle w:val="ConsPlusTitle"/>
        <w:jc w:val="center"/>
        <w:outlineLvl w:val="1"/>
      </w:pPr>
      <w:r>
        <w:t>Раздел I. ОБЩИЕ ПОЛОЖЕНИЯ</w:t>
      </w:r>
    </w:p>
    <w:p w:rsidR="00521F07" w:rsidRDefault="00521F07">
      <w:pPr>
        <w:pStyle w:val="ConsPlusNormal"/>
        <w:jc w:val="both"/>
      </w:pPr>
    </w:p>
    <w:p w:rsidR="00521F07" w:rsidRDefault="00521F07">
      <w:pPr>
        <w:pStyle w:val="ConsPlusNormal"/>
        <w:ind w:firstLine="540"/>
        <w:jc w:val="both"/>
      </w:pPr>
      <w:bookmarkStart w:id="1" w:name="P44"/>
      <w:bookmarkEnd w:id="1"/>
      <w:r>
        <w:t xml:space="preserve">1. Настоящий порядок установления причин нарушения законодательства о градостроительной деятельности на территории города Сургута (далее - порядок) определяет процедуру установления причин нарушения </w:t>
      </w:r>
      <w:r>
        <w:lastRenderedPageBreak/>
        <w:t xml:space="preserve">законодательства о градостроительной деятельности, допущенного на территории города Сургута,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14" w:history="1">
        <w:r>
          <w:rPr>
            <w:color w:val="0000FF"/>
          </w:rPr>
          <w:t>пункте 5.1 части 1 статьи 6</w:t>
        </w:r>
      </w:hyperlink>
      <w:r>
        <w:t xml:space="preserve"> и </w:t>
      </w:r>
      <w:hyperlink r:id="rId15" w:history="1">
        <w:r>
          <w:rPr>
            <w:color w:val="0000FF"/>
          </w:rPr>
          <w:t>части 3 статьи 62</w:t>
        </w:r>
      </w:hyperlink>
      <w:r>
        <w:t xml:space="preserve"> Градостроительного кодекса Российской Федерации, в том числе в отношении индивидуальных жилых домов и промышленных объектов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521F07" w:rsidRDefault="00521F07">
      <w:pPr>
        <w:pStyle w:val="ConsPlusNormal"/>
        <w:spacing w:before="280"/>
        <w:ind w:firstLine="540"/>
        <w:jc w:val="both"/>
      </w:pPr>
      <w:r>
        <w:t>2. В соответствии с порядком установление причин нарушения законодательства о градостроительной деятельности осуществляется в целях:</w:t>
      </w:r>
    </w:p>
    <w:p w:rsidR="00521F07" w:rsidRDefault="00521F07">
      <w:pPr>
        <w:pStyle w:val="ConsPlusNormal"/>
        <w:spacing w:before="280"/>
        <w:ind w:firstLine="540"/>
        <w:jc w:val="both"/>
      </w:pPr>
      <w:r>
        <w:t>1) устранения нарушения законодательства о градостроительной деятельности;</w:t>
      </w:r>
    </w:p>
    <w:p w:rsidR="00521F07" w:rsidRDefault="00521F07">
      <w:pPr>
        <w:pStyle w:val="ConsPlusNormal"/>
        <w:spacing w:before="280"/>
        <w:ind w:firstLine="540"/>
        <w:jc w:val="both"/>
      </w:pPr>
      <w:r>
        <w:t>2)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521F07" w:rsidRDefault="00521F07">
      <w:pPr>
        <w:pStyle w:val="ConsPlusNormal"/>
        <w:spacing w:before="280"/>
        <w:ind w:firstLine="540"/>
        <w:jc w:val="both"/>
      </w:pPr>
      <w:r>
        <w:t>3) определения лиц, допустивших нарушения законодательства о градостроительной деятельности, и обстоятельств, указывающих на их виновность;</w:t>
      </w:r>
    </w:p>
    <w:p w:rsidR="00521F07" w:rsidRDefault="00521F07">
      <w:pPr>
        <w:pStyle w:val="ConsPlusNormal"/>
        <w:spacing w:before="280"/>
        <w:ind w:firstLine="540"/>
        <w:jc w:val="both"/>
      </w:pPr>
      <w:r>
        <w:t>4) 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521F07" w:rsidRDefault="00521F07">
      <w:pPr>
        <w:pStyle w:val="ConsPlusNormal"/>
        <w:spacing w:before="280"/>
        <w:ind w:firstLine="540"/>
        <w:jc w:val="both"/>
      </w:pPr>
      <w:r>
        <w:t>5) использования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521F07" w:rsidRDefault="00521F07">
      <w:pPr>
        <w:pStyle w:val="ConsPlusNormal"/>
        <w:spacing w:before="280"/>
        <w:ind w:firstLine="540"/>
        <w:jc w:val="both"/>
      </w:pPr>
      <w:r>
        <w:t>3. Рассмотрение причин нарушения законодательства о градостроительной деятельности проводится в отношении строящихся и построенных объектов независимо от форм собственности, ведомственной принадлежности, источников финансирования и участников строительства данных объектов.</w:t>
      </w:r>
    </w:p>
    <w:p w:rsidR="00521F07" w:rsidRDefault="00521F07">
      <w:pPr>
        <w:pStyle w:val="ConsPlusNormal"/>
        <w:spacing w:before="280"/>
        <w:ind w:firstLine="540"/>
        <w:jc w:val="both"/>
      </w:pPr>
      <w:r>
        <w:t xml:space="preserve">4. Установление причин нарушения законодательства о градостроительной деятельности в случаях, определенных </w:t>
      </w:r>
      <w:hyperlink w:anchor="P44" w:history="1">
        <w:r>
          <w:rPr>
            <w:color w:val="0000FF"/>
          </w:rPr>
          <w:t>пунктом 1 раздела I</w:t>
        </w:r>
      </w:hyperlink>
      <w:r>
        <w:t xml:space="preserve"> порядка, а также определения лиц, допустивших такое нарушение, осуществляется комиссией, которая создается приказом департамента архитектуры и градостроительства Администрации города.</w:t>
      </w:r>
    </w:p>
    <w:p w:rsidR="00521F07" w:rsidRDefault="00521F07">
      <w:pPr>
        <w:pStyle w:val="ConsPlusNormal"/>
        <w:jc w:val="both"/>
      </w:pPr>
    </w:p>
    <w:p w:rsidR="00521F07" w:rsidRDefault="00521F07">
      <w:pPr>
        <w:pStyle w:val="ConsPlusTitle"/>
        <w:jc w:val="center"/>
        <w:outlineLvl w:val="1"/>
      </w:pPr>
      <w:r>
        <w:lastRenderedPageBreak/>
        <w:t>Раздел II. СООБЩЕНИЯ О СЛУЧАЯХ ПРИЧИНЕНИЯ ВРЕДА ЖИЗНИ</w:t>
      </w:r>
    </w:p>
    <w:p w:rsidR="00521F07" w:rsidRDefault="00521F07">
      <w:pPr>
        <w:pStyle w:val="ConsPlusTitle"/>
        <w:jc w:val="center"/>
      </w:pPr>
      <w:r>
        <w:t>И (ИЛИ) ЗДОРОВЬЮ ФИЗИЧЕСКИХ ЛИЦ, ИМУЩЕСТВУ ФИЗИЧЕСКИХ ЛИЦ</w:t>
      </w:r>
    </w:p>
    <w:p w:rsidR="00521F07" w:rsidRDefault="00521F07">
      <w:pPr>
        <w:pStyle w:val="ConsPlusTitle"/>
        <w:jc w:val="center"/>
      </w:pPr>
      <w:r>
        <w:t>ИЛИ ЮРИДИЧЕСКИХ ЛИЦ В РЕЗУЛЬТАТЕ НАРУШЕНИЯ</w:t>
      </w:r>
    </w:p>
    <w:p w:rsidR="00521F07" w:rsidRDefault="00521F07">
      <w:pPr>
        <w:pStyle w:val="ConsPlusNormal"/>
        <w:jc w:val="both"/>
      </w:pPr>
    </w:p>
    <w:p w:rsidR="00521F07" w:rsidRDefault="00521F07">
      <w:pPr>
        <w:pStyle w:val="ConsPlusNormal"/>
        <w:ind w:firstLine="540"/>
        <w:jc w:val="both"/>
      </w:pPr>
      <w:bookmarkStart w:id="2" w:name="P58"/>
      <w:bookmarkEnd w:id="2"/>
      <w:r>
        <w:t>1. Основанием для рассмотрения сообщения о случаях причинения вреда жизни или здоровью физических лиц, имуществу физических лиц или юридических лиц в результате нарушения является:</w:t>
      </w:r>
    </w:p>
    <w:p w:rsidR="00521F07" w:rsidRDefault="00521F07">
      <w:pPr>
        <w:pStyle w:val="ConsPlusNormal"/>
        <w:spacing w:before="280"/>
        <w:ind w:firstLine="540"/>
        <w:jc w:val="both"/>
      </w:pPr>
      <w:bookmarkStart w:id="3" w:name="P59"/>
      <w:bookmarkEnd w:id="3"/>
      <w:r>
        <w:t>1) заявление физического и (или) юридического лица либо их представителей о причинении вреда;</w:t>
      </w:r>
    </w:p>
    <w:p w:rsidR="00521F07" w:rsidRDefault="00521F07">
      <w:pPr>
        <w:pStyle w:val="ConsPlusNormal"/>
        <w:spacing w:before="280"/>
        <w:ind w:firstLine="540"/>
        <w:jc w:val="both"/>
      </w:pPr>
      <w:bookmarkStart w:id="4" w:name="P60"/>
      <w:bookmarkEnd w:id="4"/>
      <w:r>
        <w:t>2)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521F07" w:rsidRDefault="00521F07">
      <w:pPr>
        <w:pStyle w:val="ConsPlusNormal"/>
        <w:spacing w:before="280"/>
        <w:ind w:firstLine="540"/>
        <w:jc w:val="both"/>
      </w:pPr>
      <w:bookmarkStart w:id="5" w:name="P61"/>
      <w:bookmarkEnd w:id="5"/>
      <w:r>
        <w:t>3)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причинение вреда;</w:t>
      </w:r>
    </w:p>
    <w:p w:rsidR="00521F07" w:rsidRDefault="00521F07">
      <w:pPr>
        <w:pStyle w:val="ConsPlusNormal"/>
        <w:spacing w:before="280"/>
        <w:ind w:firstLine="540"/>
        <w:jc w:val="both"/>
      </w:pPr>
      <w:r>
        <w:t>4) сведения о нарушении законодательства о градостроительной деятельности, повлекшем причинение вреда, полученные из других источников.</w:t>
      </w:r>
    </w:p>
    <w:p w:rsidR="00521F07" w:rsidRDefault="00521F07">
      <w:pPr>
        <w:pStyle w:val="ConsPlusNormal"/>
        <w:spacing w:before="280"/>
        <w:ind w:firstLine="540"/>
        <w:jc w:val="both"/>
      </w:pPr>
      <w:r>
        <w:t xml:space="preserve">2. Сообщения о случаях причинения вреда жизни или здоровью физических лиц, имуществу физических лиц и (или) юридических лиц в результате нарушения, предусмотренного </w:t>
      </w:r>
      <w:hyperlink w:anchor="P58" w:history="1">
        <w:r>
          <w:rPr>
            <w:color w:val="0000FF"/>
          </w:rPr>
          <w:t>пунктом 1 раздела II</w:t>
        </w:r>
      </w:hyperlink>
      <w:r>
        <w:t xml:space="preserve"> порядка, должно содержать:</w:t>
      </w:r>
    </w:p>
    <w:p w:rsidR="00521F07" w:rsidRDefault="00521F07">
      <w:pPr>
        <w:pStyle w:val="ConsPlusNormal"/>
        <w:spacing w:before="280"/>
        <w:ind w:firstLine="540"/>
        <w:jc w:val="both"/>
      </w:pPr>
      <w:r>
        <w:t>1) наименование застройщика, заказчика, лица, осуществляющего строительство (реконструкцию, капитальный ремонт) объекта (в случае если работы осуществлялись по договору), лица, осуществившего подготовку проектной документации, лица, осуществившего инженерные изыскания;</w:t>
      </w:r>
    </w:p>
    <w:p w:rsidR="00521F07" w:rsidRDefault="00521F07">
      <w:pPr>
        <w:pStyle w:val="ConsPlusNormal"/>
        <w:spacing w:before="280"/>
        <w:ind w:firstLine="540"/>
        <w:jc w:val="both"/>
      </w:pPr>
      <w:r>
        <w:t>2) место расположения объекта (почтовый или строительный адрес);</w:t>
      </w:r>
    </w:p>
    <w:p w:rsidR="00521F07" w:rsidRDefault="00521F07">
      <w:pPr>
        <w:pStyle w:val="ConsPlusNormal"/>
        <w:spacing w:before="280"/>
        <w:ind w:firstLine="540"/>
        <w:jc w:val="both"/>
      </w:pPr>
      <w:r>
        <w:t>3) время, в которое состоялось причинение вреда;</w:t>
      </w:r>
    </w:p>
    <w:p w:rsidR="00521F07" w:rsidRDefault="00521F07">
      <w:pPr>
        <w:pStyle w:val="ConsPlusNormal"/>
        <w:spacing w:before="280"/>
        <w:ind w:firstLine="540"/>
        <w:jc w:val="both"/>
      </w:pPr>
      <w:r>
        <w:t>4) обстоятельства, характер (имущественный, физический) и размер его причинения;</w:t>
      </w:r>
    </w:p>
    <w:p w:rsidR="00521F07" w:rsidRDefault="00521F07">
      <w:pPr>
        <w:pStyle w:val="ConsPlusNormal"/>
        <w:spacing w:before="280"/>
        <w:ind w:firstLine="540"/>
        <w:jc w:val="both"/>
      </w:pPr>
      <w:r>
        <w:t>5) сведения о вероятной причине;</w:t>
      </w:r>
    </w:p>
    <w:p w:rsidR="00521F07" w:rsidRDefault="00521F07">
      <w:pPr>
        <w:pStyle w:val="ConsPlusNormal"/>
        <w:spacing w:before="280"/>
        <w:ind w:firstLine="540"/>
        <w:jc w:val="both"/>
      </w:pPr>
      <w:r>
        <w:t>6) сведения о пострадавших (в случае, если таковые имеются).</w:t>
      </w:r>
    </w:p>
    <w:p w:rsidR="00521F07" w:rsidRDefault="00521F07">
      <w:pPr>
        <w:pStyle w:val="ConsPlusNormal"/>
        <w:jc w:val="both"/>
      </w:pPr>
    </w:p>
    <w:p w:rsidR="00521F07" w:rsidRDefault="00521F07">
      <w:pPr>
        <w:pStyle w:val="ConsPlusTitle"/>
        <w:jc w:val="center"/>
        <w:outlineLvl w:val="1"/>
      </w:pPr>
      <w:r>
        <w:t>Раздел III. ПОРЯДОК УСТАНОВЛЕНИЯ ПРИЧИН НАРУШЕНИЯ</w:t>
      </w:r>
    </w:p>
    <w:p w:rsidR="00521F07" w:rsidRDefault="00521F07">
      <w:pPr>
        <w:pStyle w:val="ConsPlusTitle"/>
        <w:jc w:val="center"/>
      </w:pPr>
      <w:r>
        <w:lastRenderedPageBreak/>
        <w:t>ЗАКОНОДАТЕЛЬСТВА О ГРАДОСТРОИТЕЛЬНОЙ ДЕЯТЕЛЬНОСТИ</w:t>
      </w:r>
    </w:p>
    <w:p w:rsidR="00521F07" w:rsidRDefault="00521F07">
      <w:pPr>
        <w:pStyle w:val="ConsPlusNormal"/>
        <w:jc w:val="both"/>
      </w:pPr>
    </w:p>
    <w:p w:rsidR="00521F07" w:rsidRDefault="00521F07">
      <w:pPr>
        <w:pStyle w:val="ConsPlusNormal"/>
        <w:ind w:firstLine="540"/>
        <w:jc w:val="both"/>
      </w:pPr>
      <w:r>
        <w:t xml:space="preserve">1. Причины нарушения законодательства о градостроительной деятельности, указанные в </w:t>
      </w:r>
      <w:hyperlink w:anchor="P44" w:history="1">
        <w:r>
          <w:rPr>
            <w:color w:val="0000FF"/>
          </w:rPr>
          <w:t>пункте 1 раздела I</w:t>
        </w:r>
      </w:hyperlink>
      <w:r>
        <w:t xml:space="preserve"> порядка, устанавливаются технической комиссией по установлению причин нарушения законодательства о градостроительстве (далее - техническая комиссия) в случаях, установленных </w:t>
      </w:r>
      <w:hyperlink r:id="rId16" w:history="1">
        <w:r>
          <w:rPr>
            <w:color w:val="0000FF"/>
          </w:rPr>
          <w:t>частью 4 статьи 62</w:t>
        </w:r>
      </w:hyperlink>
      <w:r>
        <w:t xml:space="preserve"> Градостроительного кодекса Российской Федерации, и определения лиц, допустивших такое нарушение.</w:t>
      </w:r>
    </w:p>
    <w:p w:rsidR="00521F07" w:rsidRDefault="00521F07">
      <w:pPr>
        <w:pStyle w:val="ConsPlusNormal"/>
        <w:spacing w:before="280"/>
        <w:ind w:firstLine="540"/>
        <w:jc w:val="both"/>
      </w:pPr>
      <w:r>
        <w:t>2. Техническая комиссия создается при получении соответствующего сообщения государственных надзорных органов, физического или юридического лица, которому причинен вред в результате нарушения законодательства о градостроительной деятельности, а также в случае публикации в печати информации, содержащей сведения о фактах нарушения законодательства о градостроительной деятельности.</w:t>
      </w:r>
    </w:p>
    <w:p w:rsidR="00521F07" w:rsidRDefault="00521F07">
      <w:pPr>
        <w:pStyle w:val="ConsPlusNormal"/>
        <w:spacing w:before="280"/>
        <w:ind w:firstLine="540"/>
        <w:jc w:val="both"/>
      </w:pPr>
      <w:r>
        <w:t>3. Техническая комиссия создается в течение трех календарных дней после получения соответствующего сообщения, содержащего сведения о фактах нарушения законодательства о градостроительной деятельности, либо с момента публикации указанных сведений в печатных средствах массовой информации, но не позднее десяти суток с момента причинения вреда жизни или здоровью физических лиц, имуществу физических и юридических лиц. Мониторинг печатных средств массовой информации на наличие публикации о фактах нарушения законодательства о градостроительной деятельности осуществляет лицо, назначенное приказом департамента архитектуры и градостроительства Администрации города.</w:t>
      </w:r>
    </w:p>
    <w:p w:rsidR="00521F07" w:rsidRDefault="00521F07">
      <w:pPr>
        <w:pStyle w:val="ConsPlusNormal"/>
        <w:spacing w:before="280"/>
        <w:ind w:firstLine="540"/>
        <w:jc w:val="both"/>
      </w:pPr>
      <w:r>
        <w:t>4. В случае причинения вреда жизни и (или) здоровью физических лиц сообщение о нарушении законодательства о градостроительной деятельности направляется технической комиссией в прокуратуру города Сургута, государственную инспекцию труда Ханты-Мансийского автономного округа - Югры, управление по делам гражданской обороны и чрезвычайным ситуациям Администрации города в срок, не превышающий пяти рабочих дней.</w:t>
      </w:r>
    </w:p>
    <w:p w:rsidR="00521F07" w:rsidRDefault="00521F07">
      <w:pPr>
        <w:pStyle w:val="ConsPlusNormal"/>
        <w:jc w:val="both"/>
      </w:pPr>
      <w:r>
        <w:t xml:space="preserve">(в ред. </w:t>
      </w:r>
      <w:hyperlink r:id="rId17" w:history="1">
        <w:r>
          <w:rPr>
            <w:color w:val="0000FF"/>
          </w:rPr>
          <w:t>постановления</w:t>
        </w:r>
      </w:hyperlink>
      <w:r>
        <w:t xml:space="preserve"> Администрации города Сургута от 18.11.2020 N 8372)</w:t>
      </w:r>
    </w:p>
    <w:p w:rsidR="00521F07" w:rsidRDefault="00521F07">
      <w:pPr>
        <w:pStyle w:val="ConsPlusNormal"/>
        <w:spacing w:before="280"/>
        <w:ind w:firstLine="540"/>
        <w:jc w:val="both"/>
      </w:pPr>
      <w:r>
        <w:t>5. Техническая комиссия создается приказом департамента архитектуры и градостроительства Администрации города, в котором указывается:</w:t>
      </w:r>
    </w:p>
    <w:p w:rsidR="00521F07" w:rsidRDefault="00521F07">
      <w:pPr>
        <w:pStyle w:val="ConsPlusNormal"/>
        <w:spacing w:before="280"/>
        <w:ind w:firstLine="540"/>
        <w:jc w:val="both"/>
      </w:pPr>
      <w:r>
        <w:t>1) основание и цель создания технической комиссии с кратким описанием нарушения законодательства о градостроительной деятельности и обстоятельств причинения вреда, повлекших необходимость создания технической комиссии;</w:t>
      </w:r>
    </w:p>
    <w:p w:rsidR="00521F07" w:rsidRDefault="00521F07">
      <w:pPr>
        <w:pStyle w:val="ConsPlusNormal"/>
        <w:spacing w:before="280"/>
        <w:ind w:firstLine="540"/>
        <w:jc w:val="both"/>
      </w:pPr>
      <w:r>
        <w:t>2) состав технической комиссии;</w:t>
      </w:r>
    </w:p>
    <w:p w:rsidR="00521F07" w:rsidRDefault="00521F07">
      <w:pPr>
        <w:pStyle w:val="ConsPlusNormal"/>
        <w:spacing w:before="280"/>
        <w:ind w:firstLine="540"/>
        <w:jc w:val="both"/>
      </w:pPr>
      <w:r>
        <w:t xml:space="preserve">3) срок работы технической комиссии, который не должен превышать </w:t>
      </w:r>
      <w:r>
        <w:lastRenderedPageBreak/>
        <w:t xml:space="preserve">максимальный срок, указанный в </w:t>
      </w:r>
      <w:hyperlink w:anchor="P90" w:history="1">
        <w:r>
          <w:rPr>
            <w:color w:val="0000FF"/>
          </w:rPr>
          <w:t>пункте 8 раздела III</w:t>
        </w:r>
      </w:hyperlink>
      <w:r>
        <w:t xml:space="preserve"> порядка.</w:t>
      </w:r>
    </w:p>
    <w:p w:rsidR="00521F07" w:rsidRDefault="00521F07">
      <w:pPr>
        <w:pStyle w:val="ConsPlusNormal"/>
        <w:spacing w:before="280"/>
        <w:ind w:firstLine="540"/>
        <w:jc w:val="both"/>
      </w:pPr>
      <w:r>
        <w:t>6. В состав технической комиссии включаются:</w:t>
      </w:r>
    </w:p>
    <w:p w:rsidR="00521F07" w:rsidRDefault="00521F07">
      <w:pPr>
        <w:pStyle w:val="ConsPlusNormal"/>
        <w:spacing w:before="280"/>
        <w:ind w:firstLine="540"/>
        <w:jc w:val="both"/>
      </w:pPr>
      <w:r>
        <w:t>1) заместитель Главы города, курирующий сферу архитектуры, градостроительства, управления земельными ресурсами городского округа, на правах председателя комиссии;</w:t>
      </w:r>
    </w:p>
    <w:p w:rsidR="00521F07" w:rsidRDefault="00521F07">
      <w:pPr>
        <w:pStyle w:val="ConsPlusNormal"/>
        <w:spacing w:before="280"/>
        <w:ind w:firstLine="540"/>
        <w:jc w:val="both"/>
      </w:pPr>
      <w:r>
        <w:t>2) представители департамента архитектуры и градостроительства Администрации города;</w:t>
      </w:r>
    </w:p>
    <w:p w:rsidR="00521F07" w:rsidRDefault="00521F07">
      <w:pPr>
        <w:pStyle w:val="ConsPlusNormal"/>
        <w:spacing w:before="280"/>
        <w:ind w:firstLine="540"/>
        <w:jc w:val="both"/>
      </w:pPr>
      <w:r>
        <w:t>3) представители органа, уполномоченного на проведение государственной экспертизы проектной документации (по согласованию);</w:t>
      </w:r>
    </w:p>
    <w:p w:rsidR="00521F07" w:rsidRDefault="00521F07">
      <w:pPr>
        <w:pStyle w:val="ConsPlusNormal"/>
        <w:spacing w:before="280"/>
        <w:ind w:firstLine="540"/>
        <w:jc w:val="both"/>
      </w:pPr>
      <w:r>
        <w:t>4) представители государственного строительного надзора (по согласованию);</w:t>
      </w:r>
    </w:p>
    <w:p w:rsidR="00521F07" w:rsidRDefault="00521F07">
      <w:pPr>
        <w:pStyle w:val="ConsPlusNormal"/>
        <w:spacing w:before="280"/>
        <w:ind w:firstLine="540"/>
        <w:jc w:val="both"/>
      </w:pPr>
      <w:r>
        <w:t>5) представители заинтересованных органов и организаций (по согласованию).</w:t>
      </w:r>
    </w:p>
    <w:p w:rsidR="00521F07" w:rsidRDefault="00521F07">
      <w:pPr>
        <w:pStyle w:val="ConsPlusNormal"/>
        <w:spacing w:before="280"/>
        <w:ind w:firstLine="540"/>
        <w:jc w:val="both"/>
      </w:pPr>
      <w:bookmarkStart w:id="6" w:name="P89"/>
      <w:bookmarkEnd w:id="6"/>
      <w:r>
        <w:t>7. В качестве наблюдателей при установлении причин нарушения законодательства, в результате которого причинен вред, по собственной инициативе принимают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21F07" w:rsidRDefault="00521F07">
      <w:pPr>
        <w:pStyle w:val="ConsPlusNormal"/>
        <w:spacing w:before="280"/>
        <w:ind w:firstLine="540"/>
        <w:jc w:val="both"/>
      </w:pPr>
      <w:bookmarkStart w:id="7" w:name="P90"/>
      <w:bookmarkEnd w:id="7"/>
      <w:r>
        <w:t>8. Максимальный срок установления причин нарушений законодательства о градостроительстве не может превышать два месяца с момента регистрации сообщения о факте нарушения в Администрации города или публикации в печатных средствах массовой информации.</w:t>
      </w:r>
    </w:p>
    <w:p w:rsidR="00521F07" w:rsidRDefault="00521F07">
      <w:pPr>
        <w:pStyle w:val="ConsPlusNormal"/>
        <w:spacing w:before="280"/>
        <w:ind w:firstLine="540"/>
        <w:jc w:val="both"/>
      </w:pPr>
      <w:r>
        <w:t>9. Отказ в образовании технической комиссии допускается в следующих случаях:</w:t>
      </w:r>
    </w:p>
    <w:p w:rsidR="00521F07" w:rsidRDefault="00521F07">
      <w:pPr>
        <w:pStyle w:val="ConsPlusNormal"/>
        <w:spacing w:before="280"/>
        <w:ind w:firstLine="540"/>
        <w:jc w:val="both"/>
      </w:pPr>
      <w:r>
        <w:t>1) отсутствие выполнения работ по строительству, реконструкции, капитальному ремонту объекта капитального строительства;</w:t>
      </w:r>
    </w:p>
    <w:p w:rsidR="00521F07" w:rsidRDefault="00521F07">
      <w:pPr>
        <w:pStyle w:val="ConsPlusNormal"/>
        <w:spacing w:before="280"/>
        <w:ind w:firstLine="540"/>
        <w:jc w:val="both"/>
      </w:pPr>
      <w:r>
        <w:t>2) отсутствие вреда, причиненного физическому (физическим) и (или) юридическому (юридическим) лицам;</w:t>
      </w:r>
    </w:p>
    <w:p w:rsidR="00521F07" w:rsidRDefault="00521F07">
      <w:pPr>
        <w:pStyle w:val="ConsPlusNormal"/>
        <w:spacing w:before="280"/>
        <w:ind w:firstLine="540"/>
        <w:jc w:val="both"/>
      </w:pPr>
      <w:r>
        <w:t xml:space="preserve">3) незначительный размер вреда, причиненного имуществу физического или юридического лица, возмещенного с согласия этого лица до принятия </w:t>
      </w:r>
      <w:r>
        <w:lastRenderedPageBreak/>
        <w:t>решения об образовании технической комиссии.</w:t>
      </w:r>
    </w:p>
    <w:p w:rsidR="00521F07" w:rsidRDefault="00521F07">
      <w:pPr>
        <w:pStyle w:val="ConsPlusNormal"/>
        <w:jc w:val="both"/>
      </w:pPr>
      <w:r>
        <w:t xml:space="preserve">(п. 9 введен </w:t>
      </w:r>
      <w:hyperlink r:id="rId18" w:history="1">
        <w:r>
          <w:rPr>
            <w:color w:val="0000FF"/>
          </w:rPr>
          <w:t>постановлением</w:t>
        </w:r>
      </w:hyperlink>
      <w:r>
        <w:t xml:space="preserve"> Администрации города Сургута от 18.11.2020 N 8372)</w:t>
      </w:r>
    </w:p>
    <w:p w:rsidR="00521F07" w:rsidRDefault="00521F07">
      <w:pPr>
        <w:pStyle w:val="ConsPlusNormal"/>
        <w:spacing w:before="280"/>
        <w:ind w:firstLine="540"/>
        <w:jc w:val="both"/>
      </w:pPr>
      <w:r>
        <w:t xml:space="preserve">10. Копия решения об отказе в образовании технической комиссии в течение 10 календарных дней направляется (вручается) департаментом архитектуры и градостроительства Администрации города лицу (органу), указанному в </w:t>
      </w:r>
      <w:hyperlink w:anchor="P59" w:history="1">
        <w:r>
          <w:rPr>
            <w:color w:val="0000FF"/>
          </w:rPr>
          <w:t>подпунктах 1</w:t>
        </w:r>
      </w:hyperlink>
      <w:r>
        <w:t xml:space="preserve">, </w:t>
      </w:r>
      <w:hyperlink w:anchor="P60" w:history="1">
        <w:r>
          <w:rPr>
            <w:color w:val="0000FF"/>
          </w:rPr>
          <w:t>2</w:t>
        </w:r>
      </w:hyperlink>
      <w:r>
        <w:t xml:space="preserve">, </w:t>
      </w:r>
      <w:hyperlink w:anchor="P61" w:history="1">
        <w:r>
          <w:rPr>
            <w:color w:val="0000FF"/>
          </w:rPr>
          <w:t>3 пункта 1 раздела II</w:t>
        </w:r>
      </w:hyperlink>
      <w:r>
        <w:t xml:space="preserve"> настоящего порядка.</w:t>
      </w:r>
    </w:p>
    <w:p w:rsidR="00521F07" w:rsidRDefault="00521F07">
      <w:pPr>
        <w:pStyle w:val="ConsPlusNormal"/>
        <w:jc w:val="both"/>
      </w:pPr>
      <w:r>
        <w:t xml:space="preserve">(п. 10 введен </w:t>
      </w:r>
      <w:hyperlink r:id="rId19" w:history="1">
        <w:r>
          <w:rPr>
            <w:color w:val="0000FF"/>
          </w:rPr>
          <w:t>постановлением</w:t>
        </w:r>
      </w:hyperlink>
      <w:r>
        <w:t xml:space="preserve"> Администрации города Сургута от 18.11.2020 N 8372)</w:t>
      </w:r>
    </w:p>
    <w:p w:rsidR="00521F07" w:rsidRDefault="00521F07">
      <w:pPr>
        <w:pStyle w:val="ConsPlusNormal"/>
        <w:jc w:val="both"/>
      </w:pPr>
    </w:p>
    <w:p w:rsidR="00521F07" w:rsidRDefault="00521F07">
      <w:pPr>
        <w:pStyle w:val="ConsPlusTitle"/>
        <w:jc w:val="center"/>
        <w:outlineLvl w:val="1"/>
      </w:pPr>
      <w:bookmarkStart w:id="8" w:name="P99"/>
      <w:bookmarkEnd w:id="8"/>
      <w:r>
        <w:t>Раздел IV. ЗАДАЧИ И ФУНКЦИИ ТЕХНИЧЕСКОЙ КОМИССИИ</w:t>
      </w:r>
    </w:p>
    <w:p w:rsidR="00521F07" w:rsidRDefault="00521F07">
      <w:pPr>
        <w:pStyle w:val="ConsPlusNormal"/>
        <w:jc w:val="center"/>
      </w:pPr>
      <w:r>
        <w:t xml:space="preserve">(в ред. </w:t>
      </w:r>
      <w:hyperlink r:id="rId20" w:history="1">
        <w:r>
          <w:rPr>
            <w:color w:val="0000FF"/>
          </w:rPr>
          <w:t>постановления</w:t>
        </w:r>
      </w:hyperlink>
      <w:r>
        <w:t xml:space="preserve"> Администрации города Сургута</w:t>
      </w:r>
    </w:p>
    <w:p w:rsidR="00521F07" w:rsidRDefault="00521F07">
      <w:pPr>
        <w:pStyle w:val="ConsPlusNormal"/>
        <w:jc w:val="center"/>
      </w:pPr>
      <w:r>
        <w:t>от 18.11.2020 N 8372)</w:t>
      </w:r>
    </w:p>
    <w:p w:rsidR="00521F07" w:rsidRDefault="00521F07">
      <w:pPr>
        <w:pStyle w:val="ConsPlusNormal"/>
        <w:jc w:val="both"/>
      </w:pPr>
    </w:p>
    <w:p w:rsidR="00521F07" w:rsidRDefault="00521F07">
      <w:pPr>
        <w:pStyle w:val="ConsPlusNormal"/>
        <w:ind w:firstLine="540"/>
        <w:jc w:val="both"/>
      </w:pPr>
      <w:r>
        <w:t>В целях установления причин нарушения законодательства о градостроительной деятельности</w:t>
      </w:r>
      <w:bookmarkStart w:id="9" w:name="_GoBack"/>
      <w:bookmarkEnd w:id="9"/>
      <w:r>
        <w:t xml:space="preserve"> техническая комиссия решает следующие задачи:</w:t>
      </w:r>
    </w:p>
    <w:p w:rsidR="00521F07" w:rsidRDefault="00521F07">
      <w:pPr>
        <w:pStyle w:val="ConsPlusNormal"/>
        <w:spacing w:before="280"/>
        <w:ind w:firstLine="540"/>
        <w:jc w:val="both"/>
      </w:pPr>
      <w:r>
        <w:t xml:space="preserve">-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в области использования атомной энергии,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hyperlink r:id="rId21" w:history="1">
        <w:r>
          <w:rPr>
            <w:color w:val="0000FF"/>
          </w:rPr>
          <w:t>пункте 1 статьи 46</w:t>
        </w:r>
      </w:hyperlink>
      <w:r>
        <w:t xml:space="preserve"> Федерального закона "О техническом регулировании";</w:t>
      </w:r>
    </w:p>
    <w:p w:rsidR="00521F07" w:rsidRDefault="00521F07">
      <w:pPr>
        <w:pStyle w:val="ConsPlusNormal"/>
        <w:spacing w:before="280"/>
        <w:ind w:firstLine="540"/>
        <w:jc w:val="both"/>
      </w:pPr>
      <w:r>
        <w:t>- устанавливает характер причиненного вреда и определяет его размер;</w:t>
      </w:r>
    </w:p>
    <w:p w:rsidR="00521F07" w:rsidRDefault="00521F07">
      <w:pPr>
        <w:pStyle w:val="ConsPlusNormal"/>
        <w:spacing w:before="280"/>
        <w:ind w:firstLine="540"/>
        <w:jc w:val="both"/>
      </w:pPr>
      <w:r>
        <w:t>-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521F07" w:rsidRDefault="00521F07">
      <w:pPr>
        <w:pStyle w:val="ConsPlusNormal"/>
        <w:spacing w:before="280"/>
        <w:ind w:firstLine="540"/>
        <w:jc w:val="both"/>
      </w:pPr>
      <w:r>
        <w:t>- определяет необходимые меры по восстановлению благоприятных условий жизнедеятельности человека.</w:t>
      </w:r>
    </w:p>
    <w:p w:rsidR="00521F07" w:rsidRDefault="00521F07">
      <w:pPr>
        <w:pStyle w:val="ConsPlusNormal"/>
        <w:spacing w:before="280"/>
        <w:ind w:firstLine="540"/>
        <w:jc w:val="both"/>
      </w:pPr>
      <w:r>
        <w:t>Для установления причин нарушения законодательства о градостроительной деятельности и определения лиц, допустивших такое нарушение, техническая комиссия осуществляет следующие функции:</w:t>
      </w:r>
    </w:p>
    <w:p w:rsidR="00521F07" w:rsidRDefault="00521F07">
      <w:pPr>
        <w:pStyle w:val="ConsPlusNormal"/>
        <w:spacing w:before="280"/>
        <w:ind w:firstLine="540"/>
        <w:jc w:val="both"/>
      </w:pPr>
      <w:r>
        <w:t xml:space="preserve">- запрашивает и изучает материалы инженерных изысканий, всю исходно-разрешительную и проектную документацию, на основании которой </w:t>
      </w:r>
      <w:r>
        <w:lastRenderedPageBreak/>
        <w:t>осуществляется строительство (реконструкция, капитальный ремонт) объекта либо осуществлялось строительство эксплуатируемого объекта;</w:t>
      </w:r>
    </w:p>
    <w:p w:rsidR="00521F07" w:rsidRDefault="00521F07">
      <w:pPr>
        <w:pStyle w:val="ConsPlusNormal"/>
        <w:spacing w:before="280"/>
        <w:ind w:firstLine="540"/>
        <w:jc w:val="both"/>
      </w:pPr>
      <w:r>
        <w:t>- устанавливает наличие документов, подтверждающих согласование проектной документации с государственными надзорными органами в соответствии с архитектурно-планировочным заданием и действующим законодательством, наличие положительных заключений государственных экспертиз проектной документации, наличие других необходимых для строительства и эксплуатации объекта документов;</w:t>
      </w:r>
    </w:p>
    <w:p w:rsidR="00521F07" w:rsidRDefault="00521F07">
      <w:pPr>
        <w:pStyle w:val="ConsPlusNormal"/>
        <w:spacing w:before="280"/>
        <w:ind w:firstLine="540"/>
        <w:jc w:val="both"/>
      </w:pPr>
      <w:r>
        <w:t>- осуществляет проверку исполнительной документации по объекту строительства;</w:t>
      </w:r>
    </w:p>
    <w:p w:rsidR="00521F07" w:rsidRDefault="00521F07">
      <w:pPr>
        <w:pStyle w:val="ConsPlusNormal"/>
        <w:spacing w:before="280"/>
        <w:ind w:firstLine="540"/>
        <w:jc w:val="both"/>
      </w:pPr>
      <w:r>
        <w:t>-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521F07" w:rsidRDefault="00521F07">
      <w:pPr>
        <w:pStyle w:val="ConsPlusNormal"/>
        <w:spacing w:before="280"/>
        <w:ind w:firstLine="540"/>
        <w:jc w:val="both"/>
      </w:pPr>
      <w:r>
        <w:t>-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521F07" w:rsidRDefault="00521F07">
      <w:pPr>
        <w:pStyle w:val="ConsPlusNormal"/>
        <w:spacing w:before="280"/>
        <w:ind w:firstLine="540"/>
        <w:jc w:val="both"/>
      </w:pPr>
      <w:r>
        <w:t>- производит осмотр здания, сооружения,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521F07" w:rsidRDefault="00521F07">
      <w:pPr>
        <w:pStyle w:val="ConsPlusNormal"/>
        <w:spacing w:before="280"/>
        <w:ind w:firstLine="540"/>
        <w:jc w:val="both"/>
      </w:pPr>
      <w:r>
        <w:t>- устанавливает наличие и полноту документов о вводе в эксплуатацию,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w:t>
      </w:r>
    </w:p>
    <w:p w:rsidR="00521F07" w:rsidRDefault="00521F07">
      <w:pPr>
        <w:pStyle w:val="ConsPlusNormal"/>
        <w:spacing w:before="280"/>
        <w:ind w:firstLine="540"/>
        <w:jc w:val="both"/>
      </w:pPr>
      <w:r>
        <w:t>- запрашивает документы и материалы, необходимые для установления причин нарушения законодательства о градостроительной деятельности, в том числе правоустанавливающие документы на осуществление градостроительной деятельности, предпринимает все необходимые действия для установления причин нарушения законодательства о градостроительной деятельности.</w:t>
      </w:r>
    </w:p>
    <w:p w:rsidR="00521F07" w:rsidRDefault="00521F07">
      <w:pPr>
        <w:pStyle w:val="ConsPlusNormal"/>
        <w:jc w:val="both"/>
      </w:pPr>
    </w:p>
    <w:p w:rsidR="00521F07" w:rsidRDefault="00521F07">
      <w:pPr>
        <w:pStyle w:val="ConsPlusTitle"/>
        <w:jc w:val="center"/>
        <w:outlineLvl w:val="1"/>
      </w:pPr>
      <w:r>
        <w:t>Раздел V. ПОРЯДОК ДЕЯТЕЛЬНОСТИ ТЕХНИЧЕСКОЙ КОМИССИИ</w:t>
      </w:r>
    </w:p>
    <w:p w:rsidR="00521F07" w:rsidRDefault="00521F07">
      <w:pPr>
        <w:pStyle w:val="ConsPlusNormal"/>
        <w:jc w:val="both"/>
      </w:pPr>
    </w:p>
    <w:p w:rsidR="00521F07" w:rsidRDefault="00521F07">
      <w:pPr>
        <w:pStyle w:val="ConsPlusNormal"/>
        <w:ind w:firstLine="540"/>
        <w:jc w:val="both"/>
      </w:pPr>
      <w:r>
        <w:t xml:space="preserve">1. Деятельностью технической комиссии руководит председатель, </w:t>
      </w:r>
      <w:r>
        <w:lastRenderedPageBreak/>
        <w:t>который принимает необходимые меры по обеспечению выполнения возложенных задач, организует ее работу, распределяет обязанности среди членов технической комиссии.</w:t>
      </w:r>
    </w:p>
    <w:p w:rsidR="00521F07" w:rsidRDefault="00521F07">
      <w:pPr>
        <w:pStyle w:val="ConsPlusNormal"/>
        <w:spacing w:before="280"/>
        <w:ind w:firstLine="540"/>
        <w:jc w:val="both"/>
      </w:pPr>
      <w:r>
        <w:t>2. В отсутствие председателя его обязанности исполняет заместитель председателя.</w:t>
      </w:r>
    </w:p>
    <w:p w:rsidR="00521F07" w:rsidRDefault="00521F07">
      <w:pPr>
        <w:pStyle w:val="ConsPlusNormal"/>
        <w:spacing w:before="280"/>
        <w:ind w:firstLine="540"/>
        <w:jc w:val="both"/>
      </w:pPr>
      <w:r>
        <w:t>3. Секретарь комиссии ведет протоколы заседаний технической комиссии, направляет членом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521F07" w:rsidRDefault="00521F07">
      <w:pPr>
        <w:pStyle w:val="ConsPlusNormal"/>
        <w:spacing w:before="280"/>
        <w:ind w:firstLine="540"/>
        <w:jc w:val="both"/>
      </w:pPr>
      <w:r>
        <w:t xml:space="preserve">4. Периодичность проведения заседаний технической комиссии определяется председателем исходя из необходимости.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указанных в </w:t>
      </w:r>
      <w:hyperlink w:anchor="P99" w:history="1">
        <w:r>
          <w:rPr>
            <w:color w:val="0000FF"/>
          </w:rPr>
          <w:t>разделе IV</w:t>
        </w:r>
      </w:hyperlink>
      <w:r>
        <w:t xml:space="preserve"> порядка.</w:t>
      </w:r>
    </w:p>
    <w:p w:rsidR="00521F07" w:rsidRDefault="00521F07">
      <w:pPr>
        <w:pStyle w:val="ConsPlusNormal"/>
        <w:spacing w:before="280"/>
        <w:ind w:firstLine="540"/>
        <w:jc w:val="both"/>
      </w:pPr>
      <w:r>
        <w:t>5. Обеспечение деятельности технической комиссии возлагается на департамент архитектуры и градостроительства Администрации города, который осуществляет:</w:t>
      </w:r>
    </w:p>
    <w:p w:rsidR="00521F07" w:rsidRDefault="00521F07">
      <w:pPr>
        <w:pStyle w:val="ConsPlusNormal"/>
        <w:spacing w:before="280"/>
        <w:ind w:firstLine="540"/>
        <w:jc w:val="both"/>
      </w:pPr>
      <w:r>
        <w:t>1) своевременную подготовку проектов распоряжений Администрации города о создании технической комиссии и об утверждении ее заключения;</w:t>
      </w:r>
    </w:p>
    <w:p w:rsidR="00521F07" w:rsidRDefault="00521F07">
      <w:pPr>
        <w:pStyle w:val="ConsPlusNormal"/>
        <w:spacing w:before="280"/>
        <w:ind w:firstLine="540"/>
        <w:jc w:val="both"/>
      </w:pPr>
      <w:r>
        <w:t>2) материально-техническое обеспечение ее деятельности;</w:t>
      </w:r>
    </w:p>
    <w:p w:rsidR="00521F07" w:rsidRDefault="00521F07">
      <w:pPr>
        <w:pStyle w:val="ConsPlusNormal"/>
        <w:spacing w:before="280"/>
        <w:ind w:firstLine="540"/>
        <w:jc w:val="both"/>
      </w:pPr>
      <w:r>
        <w:t>3) опубликование заключения технической комиссии.</w:t>
      </w:r>
    </w:p>
    <w:p w:rsidR="00521F07" w:rsidRDefault="00521F07">
      <w:pPr>
        <w:pStyle w:val="ConsPlusNormal"/>
        <w:spacing w:before="280"/>
        <w:ind w:firstLine="540"/>
        <w:jc w:val="both"/>
      </w:pPr>
      <w:r>
        <w:t>6. По итогам деятельности технической комиссии в установленный распоряжением о ее создании срок технической комиссии осуществляется подготовка заключения, содержащего следующие выводы:</w:t>
      </w:r>
    </w:p>
    <w:p w:rsidR="00521F07" w:rsidRDefault="00521F07">
      <w:pPr>
        <w:pStyle w:val="ConsPlusNormal"/>
        <w:spacing w:before="28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21F07" w:rsidRDefault="00521F07">
      <w:pPr>
        <w:pStyle w:val="ConsPlusNormal"/>
        <w:spacing w:before="280"/>
        <w:ind w:firstLine="540"/>
        <w:jc w:val="both"/>
      </w:pPr>
      <w:r>
        <w:t>2) об обстоятельствах, указывающих на виновность лиц;</w:t>
      </w:r>
    </w:p>
    <w:p w:rsidR="00521F07" w:rsidRDefault="00521F07">
      <w:pPr>
        <w:pStyle w:val="ConsPlusNormal"/>
        <w:spacing w:before="280"/>
        <w:ind w:firstLine="540"/>
        <w:jc w:val="both"/>
      </w:pPr>
      <w:r>
        <w:lastRenderedPageBreak/>
        <w:t>3) о необходимых мерах по восстановлению благоприятных условий жизнедеятельности человека.</w:t>
      </w:r>
    </w:p>
    <w:p w:rsidR="00521F07" w:rsidRDefault="00521F07">
      <w:pPr>
        <w:pStyle w:val="ConsPlusNormal"/>
        <w:spacing w:before="280"/>
        <w:ind w:firstLine="540"/>
        <w:jc w:val="both"/>
      </w:pPr>
      <w:r>
        <w:t>7. Заключение технической комиссии, подписанное всеми членами технической комиссии, подлежит утверждению председателем технической комиссии и опубликованию в средствах массовой информации в течение десяти календарных дней с даты его утверждения.</w:t>
      </w:r>
    </w:p>
    <w:p w:rsidR="00521F07" w:rsidRDefault="00521F07">
      <w:pPr>
        <w:pStyle w:val="ConsPlusNormal"/>
        <w:jc w:val="both"/>
      </w:pPr>
      <w:r>
        <w:t xml:space="preserve">(в ред. </w:t>
      </w:r>
      <w:hyperlink r:id="rId22" w:history="1">
        <w:r>
          <w:rPr>
            <w:color w:val="0000FF"/>
          </w:rPr>
          <w:t>постановления</w:t>
        </w:r>
      </w:hyperlink>
      <w:r>
        <w:t xml:space="preserve"> Администрации города Сургута от 18.11.2020 N 8372)</w:t>
      </w:r>
    </w:p>
    <w:p w:rsidR="00521F07" w:rsidRDefault="00521F07">
      <w:pPr>
        <w:pStyle w:val="ConsPlusNormal"/>
        <w:spacing w:before="280"/>
        <w:ind w:firstLine="540"/>
        <w:jc w:val="both"/>
      </w:pPr>
      <w:r>
        <w:t>В срок не более семи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
    <w:p w:rsidR="00521F07" w:rsidRDefault="00521F07">
      <w:pPr>
        <w:pStyle w:val="ConsPlusNormal"/>
        <w:spacing w:before="280"/>
        <w:ind w:firstLine="540"/>
        <w:jc w:val="both"/>
      </w:pPr>
      <w:r>
        <w:t>8. На основании заключения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города.</w:t>
      </w:r>
    </w:p>
    <w:p w:rsidR="00521F07" w:rsidRDefault="00521F07">
      <w:pPr>
        <w:pStyle w:val="ConsPlusNormal"/>
        <w:spacing w:before="280"/>
        <w:ind w:firstLine="540"/>
        <w:jc w:val="both"/>
      </w:pPr>
      <w:r>
        <w:t>9.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w:t>
      </w:r>
    </w:p>
    <w:p w:rsidR="00521F07" w:rsidRDefault="00521F07">
      <w:pPr>
        <w:pStyle w:val="ConsPlusNormal"/>
        <w:spacing w:before="280"/>
        <w:ind w:firstLine="540"/>
        <w:jc w:val="both"/>
      </w:pPr>
      <w:r>
        <w:t xml:space="preserve">10. Лица, указанные в </w:t>
      </w:r>
      <w:hyperlink w:anchor="P89" w:history="1">
        <w:r>
          <w:rPr>
            <w:color w:val="0000FF"/>
          </w:rPr>
          <w:t>пункте 7 раздела III</w:t>
        </w:r>
      </w:hyperlink>
      <w:r>
        <w:t xml:space="preserve"> порядка, в случае несогласия с заключением технической комиссии могут оспорить его в судебном порядке.</w:t>
      </w:r>
    </w:p>
    <w:p w:rsidR="00521F07" w:rsidRDefault="00521F07">
      <w:pPr>
        <w:pStyle w:val="ConsPlusNormal"/>
        <w:jc w:val="both"/>
      </w:pPr>
    </w:p>
    <w:p w:rsidR="00521F07" w:rsidRDefault="00521F07">
      <w:pPr>
        <w:pStyle w:val="ConsPlusNormal"/>
        <w:jc w:val="both"/>
      </w:pPr>
    </w:p>
    <w:p w:rsidR="00521F07" w:rsidRDefault="00521F07">
      <w:pPr>
        <w:pStyle w:val="ConsPlusNormal"/>
        <w:pBdr>
          <w:top w:val="single" w:sz="6" w:space="0" w:color="auto"/>
        </w:pBdr>
        <w:spacing w:before="100" w:after="100"/>
        <w:jc w:val="both"/>
        <w:rPr>
          <w:sz w:val="2"/>
          <w:szCs w:val="2"/>
        </w:rPr>
      </w:pPr>
    </w:p>
    <w:p w:rsidR="007E58AB" w:rsidRDefault="007E58AB"/>
    <w:sectPr w:rsidR="007E58AB" w:rsidSect="00412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07"/>
    <w:rsid w:val="00521F07"/>
    <w:rsid w:val="007E58AB"/>
    <w:rsid w:val="00895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32737-1209-4EE7-96EC-71D77FC4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F07"/>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521F07"/>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521F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A6E83DFBAE7B1B28B51F7C26E504AB59FA1C2FBA09651DEAD547B82F96D29DF9D92E7F1D744D3DB18E56131F7B9C4962MFp4G" TargetMode="External"/><Relationship Id="rId13" Type="http://schemas.openxmlformats.org/officeDocument/2006/relationships/hyperlink" Target="consultantplus://offline/ref=50A6E83DFBAE7B1B28B51F7C26E504AB59FA1C2FBA096710EBD347B82F96D29DF9D92E7F0F741531B18A48131B6ECA1824A061390DC77B2E83CD7314M4pFG" TargetMode="External"/><Relationship Id="rId18" Type="http://schemas.openxmlformats.org/officeDocument/2006/relationships/hyperlink" Target="consultantplus://offline/ref=50A6E83DFBAE7B1B28B51F7C26E504AB59FA1C2FBA096710EBD347B82F96D29DF9D92E7F0F741531B18A4813156ECA1824A061390DC77B2E83CD7314M4pFG" TargetMode="External"/><Relationship Id="rId3" Type="http://schemas.openxmlformats.org/officeDocument/2006/relationships/webSettings" Target="webSettings.xml"/><Relationship Id="rId21" Type="http://schemas.openxmlformats.org/officeDocument/2006/relationships/hyperlink" Target="consultantplus://offline/ref=50A6E83DFBAE7B1B28B50171308953A45CF64023B80C6D4EB28041EF70C6D4C8B999282A4A341364E0CE1D1E1D61804962EB6E390BMDp8G" TargetMode="External"/><Relationship Id="rId7" Type="http://schemas.openxmlformats.org/officeDocument/2006/relationships/hyperlink" Target="consultantplus://offline/ref=50A6E83DFBAE7B1B28B50171308953A45CF44A22BD0A6D4EB28041EF70C6D4C8AB9970264C340630B3944A131FM6p4G" TargetMode="External"/><Relationship Id="rId12" Type="http://schemas.openxmlformats.org/officeDocument/2006/relationships/hyperlink" Target="consultantplus://offline/ref=50A6E83DFBAE7B1B28B51F7C26E504AB59FA1C2FBA0B631AE9D347B82F96D29DF9D92E7F1D744D3DB18E56131F7B9C4962MFp4G" TargetMode="External"/><Relationship Id="rId17" Type="http://schemas.openxmlformats.org/officeDocument/2006/relationships/hyperlink" Target="consultantplus://offline/ref=50A6E83DFBAE7B1B28B51F7C26E504AB59FA1C2FBA096710EBD347B82F96D29DF9D92E7F0F741531B18A48131A6ECA1824A061390DC77B2E83CD7314M4pFG" TargetMode="External"/><Relationship Id="rId2" Type="http://schemas.openxmlformats.org/officeDocument/2006/relationships/settings" Target="settings.xml"/><Relationship Id="rId16" Type="http://schemas.openxmlformats.org/officeDocument/2006/relationships/hyperlink" Target="consultantplus://offline/ref=50A6E83DFBAE7B1B28B50171308953A45CF64120BF0D6D4EB28041EF70C6D4C8B999282A4C301137B0811C425930934964EB6C3B17DB7B2EM9pCG" TargetMode="External"/><Relationship Id="rId20" Type="http://schemas.openxmlformats.org/officeDocument/2006/relationships/hyperlink" Target="consultantplus://offline/ref=50A6E83DFBAE7B1B28B51F7C26E504AB59FA1C2FBA096710EBD347B82F96D29DF9D92E7F0F741531B18A4812196ECA1824A061390DC77B2E83CD7314M4pFG" TargetMode="External"/><Relationship Id="rId1" Type="http://schemas.openxmlformats.org/officeDocument/2006/relationships/styles" Target="styles.xml"/><Relationship Id="rId6" Type="http://schemas.openxmlformats.org/officeDocument/2006/relationships/hyperlink" Target="consultantplus://offline/ref=50A6E83DFBAE7B1B28B50171308953A45CF64120BF0D6D4EB28041EF70C6D4C8B999282A4C301137B0811C425930934964EB6C3B17DB7B2EM9pCG" TargetMode="External"/><Relationship Id="rId11" Type="http://schemas.openxmlformats.org/officeDocument/2006/relationships/hyperlink" Target="consultantplus://offline/ref=50A6E83DFBAE7B1B28B51F7C26E504AB59FA1C2FBA0B641CE6D247B82F96D29DF9D92E7F1D744D3DB18E56131F7B9C4962MFp4G" TargetMode="External"/><Relationship Id="rId24" Type="http://schemas.openxmlformats.org/officeDocument/2006/relationships/theme" Target="theme/theme1.xml"/><Relationship Id="rId5" Type="http://schemas.openxmlformats.org/officeDocument/2006/relationships/hyperlink" Target="consultantplus://offline/ref=50A6E83DFBAE7B1B28B51F7C26E504AB59FA1C2FBA096710EBD347B82F96D29DF9D92E7F0F741531B18A4813186ECA1824A061390DC77B2E83CD7314M4pFG" TargetMode="External"/><Relationship Id="rId15" Type="http://schemas.openxmlformats.org/officeDocument/2006/relationships/hyperlink" Target="consultantplus://offline/ref=50A6E83DFBAE7B1B28B50171308953A45CF64120BF0D6D4EB28041EF70C6D4C8B999282A4C301137B1811C425930934964EB6C3B17DB7B2EM9pCG" TargetMode="External"/><Relationship Id="rId23" Type="http://schemas.openxmlformats.org/officeDocument/2006/relationships/fontTable" Target="fontTable.xml"/><Relationship Id="rId10" Type="http://schemas.openxmlformats.org/officeDocument/2006/relationships/hyperlink" Target="consultantplus://offline/ref=50A6E83DFBAE7B1B28B51F7C26E504AB59FA1C2FBA0B631FEED447B82F96D29DF9D92E7F1D744D3DB18E56131F7B9C4962MFp4G" TargetMode="External"/><Relationship Id="rId19" Type="http://schemas.openxmlformats.org/officeDocument/2006/relationships/hyperlink" Target="consultantplus://offline/ref=50A6E83DFBAE7B1B28B51F7C26E504AB59FA1C2FBA096710EBD347B82F96D29DF9D92E7F0F741531B18A48121E6ECA1824A061390DC77B2E83CD7314M4p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A6E83DFBAE7B1B28B51F7C26E504AB59FA1C2FBA096319E9D347B82F96D29DF9D92E7F1D744D3DB18E56131F7B9C4962MFp4G" TargetMode="External"/><Relationship Id="rId14" Type="http://schemas.openxmlformats.org/officeDocument/2006/relationships/hyperlink" Target="consultantplus://offline/ref=50A6E83DFBAE7B1B28B50171308953A45CF64120BF0D6D4EB28041EF70C6D4C8B99928284E32103BE5DB0C4610659A5760F7723B09DBM7pAG" TargetMode="External"/><Relationship Id="rId22" Type="http://schemas.openxmlformats.org/officeDocument/2006/relationships/hyperlink" Target="consultantplus://offline/ref=50A6E83DFBAE7B1B28B51F7C26E504AB59FA1C2FBA096710EBD347B82F96D29DF9D92E7F0F741531B18A48101D6ECA1824A061390DC77B2E83CD7314M4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3345</Words>
  <Characters>19068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Соловей Данил Александрович</dc:creator>
  <cp:keywords/>
  <dc:description/>
  <cp:lastModifiedBy>Соловей Данил Александрович</cp:lastModifiedBy>
  <cp:revision>2</cp:revision>
  <dcterms:created xsi:type="dcterms:W3CDTF">2021-02-04T06:54:00Z</dcterms:created>
  <dcterms:modified xsi:type="dcterms:W3CDTF">2021-02-04T06:54:00Z</dcterms:modified>
</cp:coreProperties>
</file>