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F71CA3" w:rsidRPr="008B49C5" w:rsidTr="001B028D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F71CA3" w:rsidRPr="008B49C5" w:rsidRDefault="00F71CA3" w:rsidP="001B028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672492901" r:id="rId8"/>
              </w:object>
            </w:r>
          </w:p>
          <w:p w:rsidR="00F71CA3" w:rsidRPr="008B49C5" w:rsidRDefault="00F71CA3" w:rsidP="001B028D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F71CA3" w:rsidRPr="008B49C5" w:rsidRDefault="00F71CA3" w:rsidP="001B028D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F71CA3" w:rsidRDefault="00F71CA3" w:rsidP="001B028D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F71CA3" w:rsidRPr="008B49C5" w:rsidRDefault="00F71CA3" w:rsidP="001B028D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F71CA3" w:rsidRPr="008B49C5" w:rsidRDefault="00F71CA3" w:rsidP="001B028D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71CA3" w:rsidRPr="008B49C5" w:rsidRDefault="00F71CA3" w:rsidP="001B028D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F71CA3" w:rsidRPr="008B49C5" w:rsidRDefault="00F71CA3" w:rsidP="001B028D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71CA3" w:rsidRPr="008B49C5" w:rsidRDefault="00F71CA3" w:rsidP="001B028D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F71CA3" w:rsidRPr="008B49C5" w:rsidRDefault="00F71CA3" w:rsidP="001B028D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71CA3" w:rsidRPr="008B49C5" w:rsidRDefault="00F71CA3" w:rsidP="001B028D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F71CA3" w:rsidRPr="00DE0A97" w:rsidRDefault="00F71CA3" w:rsidP="001B028D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F71CA3" w:rsidRDefault="00F71CA3" w:rsidP="00F71CA3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p w:rsidR="000F7A33" w:rsidRPr="005009C7" w:rsidRDefault="005009C7" w:rsidP="00F71CA3">
      <w:pPr>
        <w:ind w:firstLine="0"/>
        <w:jc w:val="left"/>
        <w:rPr>
          <w:rFonts w:eastAsia="Times New Roman"/>
          <w:szCs w:val="20"/>
          <w:u w:val="single"/>
          <w:lang w:eastAsia="x-none"/>
        </w:rPr>
      </w:pPr>
      <w:r>
        <w:rPr>
          <w:rFonts w:eastAsia="Times New Roman"/>
          <w:szCs w:val="20"/>
          <w:lang w:eastAsia="x-none"/>
        </w:rPr>
        <w:t>«</w:t>
      </w:r>
      <w:proofErr w:type="gramStart"/>
      <w:r w:rsidRPr="005009C7">
        <w:rPr>
          <w:rFonts w:eastAsia="Times New Roman"/>
          <w:szCs w:val="20"/>
          <w:u w:val="single"/>
          <w:lang w:eastAsia="x-none"/>
        </w:rPr>
        <w:t>18</w:t>
      </w:r>
      <w:r>
        <w:rPr>
          <w:rFonts w:eastAsia="Times New Roman"/>
          <w:szCs w:val="20"/>
          <w:lang w:eastAsia="x-none"/>
        </w:rPr>
        <w:t xml:space="preserve"> </w:t>
      </w:r>
      <w:r w:rsidR="000F7A33">
        <w:rPr>
          <w:rFonts w:eastAsia="Times New Roman"/>
          <w:szCs w:val="20"/>
          <w:lang w:eastAsia="x-none"/>
        </w:rPr>
        <w:t>»</w:t>
      </w:r>
      <w:proofErr w:type="gramEnd"/>
      <w:r w:rsidR="000F7A33">
        <w:rPr>
          <w:rFonts w:eastAsia="Times New Roman"/>
          <w:szCs w:val="20"/>
          <w:lang w:eastAsia="x-none"/>
        </w:rPr>
        <w:t xml:space="preserve"> </w:t>
      </w:r>
      <w:r>
        <w:rPr>
          <w:rFonts w:eastAsia="Times New Roman"/>
          <w:szCs w:val="20"/>
          <w:lang w:eastAsia="x-none"/>
        </w:rPr>
        <w:t xml:space="preserve">  </w:t>
      </w:r>
      <w:r>
        <w:rPr>
          <w:rFonts w:eastAsia="Times New Roman"/>
          <w:szCs w:val="20"/>
          <w:u w:val="single"/>
          <w:lang w:eastAsia="x-none"/>
        </w:rPr>
        <w:t xml:space="preserve">  01        </w:t>
      </w:r>
      <w:r w:rsidR="0004757D">
        <w:rPr>
          <w:rFonts w:eastAsia="Times New Roman"/>
          <w:szCs w:val="20"/>
          <w:lang w:eastAsia="x-none"/>
        </w:rPr>
        <w:t xml:space="preserve"> 20</w:t>
      </w:r>
      <w:r>
        <w:rPr>
          <w:rFonts w:eastAsia="Times New Roman"/>
          <w:szCs w:val="20"/>
          <w:u w:val="single"/>
          <w:lang w:eastAsia="x-none"/>
        </w:rPr>
        <w:t>21</w:t>
      </w:r>
      <w:r w:rsidR="000F7A33">
        <w:rPr>
          <w:rFonts w:eastAsia="Times New Roman"/>
          <w:szCs w:val="20"/>
          <w:lang w:eastAsia="x-none"/>
        </w:rPr>
        <w:t xml:space="preserve">                                                               </w:t>
      </w:r>
      <w:r>
        <w:rPr>
          <w:rFonts w:eastAsia="Times New Roman"/>
          <w:szCs w:val="20"/>
          <w:lang w:eastAsia="x-none"/>
        </w:rPr>
        <w:t xml:space="preserve">№ </w:t>
      </w:r>
      <w:r>
        <w:rPr>
          <w:rFonts w:eastAsia="Times New Roman"/>
          <w:szCs w:val="20"/>
          <w:u w:val="single"/>
          <w:lang w:eastAsia="x-none"/>
        </w:rPr>
        <w:t>08-03-4/1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F71CA3" w:rsidRPr="0040383E" w:rsidTr="001B028D">
        <w:trPr>
          <w:trHeight w:val="217"/>
        </w:trPr>
        <w:tc>
          <w:tcPr>
            <w:tcW w:w="5103" w:type="dxa"/>
            <w:shd w:val="clear" w:color="auto" w:fill="auto"/>
          </w:tcPr>
          <w:p w:rsidR="000F7A33" w:rsidRDefault="000F7A33" w:rsidP="00F71CA3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</w:p>
          <w:p w:rsidR="000F7A33" w:rsidRDefault="000F7A33" w:rsidP="00F71CA3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</w:p>
          <w:p w:rsidR="00F71CA3" w:rsidRPr="00D13825" w:rsidRDefault="00F71CA3" w:rsidP="00F71CA3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rPr>
                <w:rFonts w:eastAsia="Times New Roman"/>
                <w:szCs w:val="20"/>
                <w:lang w:val="x-none" w:eastAsia="x-none"/>
              </w:rPr>
              <w:t>О внесении изменени</w:t>
            </w:r>
            <w:r>
              <w:rPr>
                <w:rFonts w:eastAsia="Times New Roman"/>
                <w:szCs w:val="20"/>
                <w:lang w:eastAsia="x-none"/>
              </w:rPr>
              <w:t>й</w:t>
            </w:r>
            <w:r w:rsidRPr="00D13825">
              <w:rPr>
                <w:rFonts w:eastAsia="Times New Roman"/>
                <w:szCs w:val="20"/>
                <w:lang w:val="x-none" w:eastAsia="x-none"/>
              </w:rPr>
              <w:t xml:space="preserve"> в приказ департамента финансов</w:t>
            </w:r>
            <w:r>
              <w:rPr>
                <w:rFonts w:eastAsia="Times New Roman"/>
                <w:szCs w:val="20"/>
                <w:lang w:eastAsia="x-none"/>
              </w:rPr>
              <w:t xml:space="preserve"> Администрации города </w:t>
            </w:r>
            <w:r w:rsidRPr="00D13825">
              <w:rPr>
                <w:rFonts w:eastAsia="Times New Roman"/>
                <w:szCs w:val="20"/>
                <w:lang w:val="x-none" w:eastAsia="x-none"/>
              </w:rPr>
              <w:t xml:space="preserve"> от </w:t>
            </w:r>
            <w:r>
              <w:rPr>
                <w:rFonts w:eastAsia="Times New Roman"/>
                <w:szCs w:val="20"/>
                <w:lang w:eastAsia="x-none"/>
              </w:rPr>
              <w:t>13.03.2014</w:t>
            </w:r>
            <w:r w:rsidRPr="00D13825">
              <w:rPr>
                <w:rFonts w:eastAsia="Times New Roman"/>
                <w:szCs w:val="20"/>
                <w:lang w:val="x-none" w:eastAsia="x-none"/>
              </w:rPr>
              <w:t xml:space="preserve"> </w:t>
            </w:r>
          </w:p>
          <w:p w:rsidR="00F71CA3" w:rsidRPr="0040383E" w:rsidRDefault="00F71CA3" w:rsidP="00F71CA3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rPr>
                <w:rFonts w:eastAsia="Times New Roman"/>
                <w:szCs w:val="20"/>
                <w:lang w:val="x-none" w:eastAsia="x-none"/>
              </w:rPr>
              <w:t>№ 22</w:t>
            </w:r>
            <w:r w:rsidRPr="00D13825">
              <w:rPr>
                <w:rFonts w:eastAsia="Times New Roman"/>
                <w:szCs w:val="20"/>
                <w:lang w:val="x-none" w:eastAsia="x-none"/>
              </w:rPr>
              <w:t xml:space="preserve"> «О</w:t>
            </w:r>
            <w:r>
              <w:rPr>
                <w:rFonts w:eastAsia="Times New Roman"/>
                <w:szCs w:val="20"/>
                <w:lang w:eastAsia="x-none"/>
              </w:rPr>
              <w:t>б утверждении порядка санкционирования расходов муниципальных автономных учреждений, лицевые счета которым открыты в департаменте финансов, и муниципальных бюджетных учреждений, источником финансового обеспечения которых являются субсидии, полученные в соответствии               с абзацем вторым пункта 1 статьи 78.1    и статьей 78.2 Бюджетного кодекса Российской Федерации»</w:t>
            </w:r>
          </w:p>
        </w:tc>
        <w:bookmarkStart w:id="0" w:name="_GoBack"/>
        <w:bookmarkEnd w:id="0"/>
      </w:tr>
    </w:tbl>
    <w:p w:rsidR="00F71CA3" w:rsidRDefault="00F71CA3" w:rsidP="00F71CA3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F71CA3" w:rsidRPr="008B49C5" w:rsidRDefault="00F71CA3" w:rsidP="00F71CA3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F71CA3" w:rsidRPr="008B49C5" w:rsidRDefault="00F71CA3" w:rsidP="00F71CA3">
      <w:pPr>
        <w:rPr>
          <w:rFonts w:eastAsia="Times New Roman"/>
          <w:szCs w:val="24"/>
          <w:lang w:eastAsia="ru-RU"/>
        </w:rPr>
      </w:pPr>
      <w:r w:rsidRPr="00F71CA3">
        <w:rPr>
          <w:rFonts w:eastAsia="Times New Roman"/>
          <w:lang w:eastAsia="ru-RU"/>
        </w:rPr>
        <w:t xml:space="preserve">В соответствии с частью 3.10 статьи 2 Федерального закона </w:t>
      </w:r>
      <w:r>
        <w:rPr>
          <w:rFonts w:eastAsia="Times New Roman"/>
          <w:lang w:eastAsia="ru-RU"/>
        </w:rPr>
        <w:t xml:space="preserve">                                  </w:t>
      </w:r>
      <w:r w:rsidRPr="00F71CA3">
        <w:rPr>
          <w:rFonts w:eastAsia="Times New Roman"/>
          <w:lang w:eastAsia="ru-RU"/>
        </w:rPr>
        <w:t xml:space="preserve">от 03.11.2006 №174-ФЗ «Об автономных учреждениях», частью 16 статьи 30 Федерального закона от 08.05.2010 № 83-ФЗ «О внесении изменений </w:t>
      </w:r>
      <w:r>
        <w:rPr>
          <w:rFonts w:eastAsia="Times New Roman"/>
          <w:lang w:eastAsia="ru-RU"/>
        </w:rPr>
        <w:t xml:space="preserve">                             </w:t>
      </w:r>
      <w:r w:rsidRPr="00F71CA3">
        <w:rPr>
          <w:rFonts w:eastAsia="Times New Roman"/>
          <w:lang w:eastAsia="ru-RU"/>
        </w:rPr>
        <w:t xml:space="preserve">в отдельные законодательные акты Российской Федерации в связи </w:t>
      </w:r>
      <w:r>
        <w:rPr>
          <w:rFonts w:eastAsia="Times New Roman"/>
          <w:lang w:eastAsia="ru-RU"/>
        </w:rPr>
        <w:t xml:space="preserve">                                    </w:t>
      </w:r>
      <w:r w:rsidRPr="00F71CA3">
        <w:rPr>
          <w:rFonts w:eastAsia="Times New Roman"/>
          <w:lang w:eastAsia="ru-RU"/>
        </w:rPr>
        <w:t>с совершенствованием правового положения государственных (муниципальных) учреждений»</w:t>
      </w:r>
    </w:p>
    <w:p w:rsidR="00F71CA3" w:rsidRPr="008B49C5" w:rsidRDefault="00F71CA3" w:rsidP="00F71CA3">
      <w:pPr>
        <w:rPr>
          <w:rFonts w:eastAsia="Times New Roman"/>
          <w:szCs w:val="24"/>
          <w:lang w:eastAsia="ru-RU"/>
        </w:rPr>
      </w:pPr>
    </w:p>
    <w:p w:rsidR="00F71CA3" w:rsidRPr="008B49C5" w:rsidRDefault="00F71CA3" w:rsidP="00F71CA3">
      <w:pPr>
        <w:jc w:val="left"/>
        <w:rPr>
          <w:rFonts w:eastAsia="Times New Roman"/>
          <w:b/>
          <w:szCs w:val="24"/>
          <w:lang w:eastAsia="ru-RU"/>
        </w:rPr>
      </w:pPr>
      <w:r w:rsidRPr="008B49C5">
        <w:rPr>
          <w:rFonts w:eastAsia="Times New Roman"/>
          <w:b/>
          <w:szCs w:val="24"/>
          <w:lang w:eastAsia="ru-RU"/>
        </w:rPr>
        <w:t>ПРИКАЗЫВАЮ:</w:t>
      </w:r>
    </w:p>
    <w:p w:rsidR="00F71CA3" w:rsidRDefault="00F71CA3" w:rsidP="000F7A33">
      <w:pPr>
        <w:rPr>
          <w:rFonts w:eastAsia="Times New Roman"/>
          <w:lang w:eastAsia="ru-RU"/>
        </w:rPr>
      </w:pPr>
      <w:r w:rsidRPr="008B49C5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 </w:t>
      </w:r>
      <w:r w:rsidRPr="00D13825">
        <w:rPr>
          <w:rFonts w:eastAsia="Times New Roman"/>
          <w:lang w:eastAsia="ru-RU"/>
        </w:rPr>
        <w:t xml:space="preserve">Внести в приказ департамента финансов от </w:t>
      </w:r>
      <w:r>
        <w:rPr>
          <w:rFonts w:eastAsia="Times New Roman"/>
          <w:lang w:eastAsia="ru-RU"/>
        </w:rPr>
        <w:t xml:space="preserve">13.03.2014                                               № 22 </w:t>
      </w:r>
      <w:r w:rsidRPr="00D13825">
        <w:rPr>
          <w:rFonts w:eastAsia="Times New Roman"/>
          <w:szCs w:val="20"/>
          <w:lang w:val="x-none" w:eastAsia="x-none"/>
        </w:rPr>
        <w:t>«О</w:t>
      </w:r>
      <w:r>
        <w:rPr>
          <w:rFonts w:eastAsia="Times New Roman"/>
          <w:szCs w:val="20"/>
          <w:lang w:eastAsia="x-none"/>
        </w:rPr>
        <w:t xml:space="preserve">б утверждении порядка санкционирования расходов муниципальных автономных учреждений, лицевые счета которым открыты в департаменте финансов, и муниципальных бюджетных учреждений, источником </w:t>
      </w:r>
      <w:r>
        <w:rPr>
          <w:rFonts w:eastAsia="Times New Roman"/>
          <w:szCs w:val="20"/>
          <w:lang w:eastAsia="x-none"/>
        </w:rPr>
        <w:lastRenderedPageBreak/>
        <w:t>финансового обеспечения которых являются субсидии, полученные                               в соответствии с абзацем вторым пункта 1 статьи 78.1 и статьей 78.2 Бюджетного  кодекса  Российской  Федерации»</w:t>
      </w:r>
      <w:r>
        <w:rPr>
          <w:rFonts w:eastAsia="Times New Roman"/>
          <w:lang w:eastAsia="ru-RU"/>
        </w:rPr>
        <w:t xml:space="preserve">  (с изменениями от 04.08.2014  № 134, 23.03.2016 № 08-ПО-19/16-0-0, 07.03.2017 № 08-ПО-48/17-0, 05.02.2018                                  № 08-ПО-29/18-0, 09.01.2019 № 08-03-3/9) следующие изменения:</w:t>
      </w:r>
    </w:p>
    <w:p w:rsidR="00F71CA3" w:rsidRDefault="00F71CA3" w:rsidP="00F71CA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2 приложения к приказу изложить в следующей редакции:</w:t>
      </w:r>
    </w:p>
    <w:p w:rsidR="00F71CA3" w:rsidRDefault="00F71CA3" w:rsidP="00F71CA3">
      <w:pPr>
        <w:rPr>
          <w:bCs/>
        </w:rPr>
      </w:pPr>
      <w:r>
        <w:rPr>
          <w:rFonts w:eastAsia="Times New Roman"/>
          <w:lang w:eastAsia="ru-RU"/>
        </w:rPr>
        <w:t xml:space="preserve">«2. Учет операций со средствами учреждений осуществляется департаментом финансов на </w:t>
      </w:r>
      <w:r>
        <w:t>казначейском счете для осуществления                                  и отражения операций с денежными средствами бюджетных и автономных учреждений</w:t>
      </w:r>
      <w:r>
        <w:rPr>
          <w:rFonts w:eastAsia="Times New Roman"/>
          <w:lang w:eastAsia="ru-RU"/>
        </w:rPr>
        <w:t xml:space="preserve">, открытом департаменту финансов </w:t>
      </w:r>
      <w:r>
        <w:t xml:space="preserve">в </w:t>
      </w:r>
      <w:r>
        <w:rPr>
          <w:bCs/>
        </w:rPr>
        <w:t>Управлении Федерального казначейства по Ханты-Мансийскому автономному округу – Югре».</w:t>
      </w:r>
    </w:p>
    <w:p w:rsidR="00F71CA3" w:rsidRDefault="00F71CA3" w:rsidP="00F71CA3">
      <w:pPr>
        <w:rPr>
          <w:bCs/>
        </w:rPr>
      </w:pPr>
      <w:r>
        <w:rPr>
          <w:bCs/>
        </w:rPr>
        <w:t>1.2. Пункт 3 приложения к приказу изложить в следующей редакции:</w:t>
      </w:r>
    </w:p>
    <w:p w:rsidR="00F71CA3" w:rsidRDefault="00F71CA3" w:rsidP="00F71CA3">
      <w:r>
        <w:rPr>
          <w:bCs/>
        </w:rPr>
        <w:t>«3. Операции с целевыми субсидиями, поступающими учреждениям, учитываются на лицевых счетах по учету субсидий на иные цели, для учета операций с субсидиями на капитальные вложения, открываемых учреждениям               в департаменте финансов в соответствии с Порядком</w:t>
      </w:r>
      <w:r w:rsidRPr="00080D30">
        <w:t xml:space="preserve"> </w:t>
      </w:r>
      <w:r>
        <w:t>открытия и ведения лицевых счетов департаментом финансов Администрации города Сургута, утвержденным приказом департамента финансов».</w:t>
      </w:r>
    </w:p>
    <w:p w:rsidR="00F71CA3" w:rsidRDefault="00F71CA3" w:rsidP="00F71CA3">
      <w:r>
        <w:t>1.3. Пункт 6</w:t>
      </w:r>
      <w:r>
        <w:rPr>
          <w:vertAlign w:val="superscript"/>
        </w:rPr>
        <w:t xml:space="preserve">1 </w:t>
      </w:r>
      <w:r>
        <w:t>приложения к приказу изложить в следующей редакции:</w:t>
      </w:r>
    </w:p>
    <w:p w:rsidR="00F71CA3" w:rsidRDefault="00F71CA3" w:rsidP="00F71CA3">
      <w:r>
        <w:t>«</w:t>
      </w:r>
      <w:r w:rsidRPr="00AC5F42">
        <w:t>6</w:t>
      </w:r>
      <w:r w:rsidRPr="00AC5F42">
        <w:rPr>
          <w:vertAlign w:val="superscript"/>
        </w:rPr>
        <w:t>1</w:t>
      </w:r>
      <w:r w:rsidRPr="00AC5F42">
        <w:t xml:space="preserve">. При составлении «Сведений» учреждением </w:t>
      </w:r>
      <w:r>
        <w:t xml:space="preserve">в них </w:t>
      </w:r>
      <w:r w:rsidRPr="00AC5F42">
        <w:t>указываются:</w:t>
      </w:r>
    </w:p>
    <w:p w:rsidR="00F71CA3" w:rsidRPr="00AC5F42" w:rsidRDefault="00F71CA3" w:rsidP="00F71CA3">
      <w:r>
        <w:t>в табличной части:</w:t>
      </w:r>
    </w:p>
    <w:p w:rsidR="00F71CA3" w:rsidRPr="00AC5F42" w:rsidRDefault="00F71CA3" w:rsidP="00F71CA3">
      <w:pPr>
        <w:ind w:firstLine="510"/>
      </w:pPr>
      <w:r>
        <w:t xml:space="preserve">   в графе 1 – </w:t>
      </w:r>
      <w:r w:rsidRPr="005068B9">
        <w:t>цель предоставления субсидии</w:t>
      </w:r>
      <w:r>
        <w:t xml:space="preserve"> и (или) наименование дополнительной детализации цели предоставления субсидии в соответствии           с муниципальными правовыми актами Администрации города                                         об утверждении аналитических кодов субсидий для учета операций                                 с целевыми субсидиями</w:t>
      </w:r>
      <w:r w:rsidRPr="00AC5F42">
        <w:t>;</w:t>
      </w:r>
    </w:p>
    <w:p w:rsidR="00F71CA3" w:rsidRPr="005068B9" w:rsidRDefault="00F71CA3" w:rsidP="00F71CA3">
      <w:pPr>
        <w:ind w:firstLine="510"/>
      </w:pPr>
      <w:r>
        <w:t xml:space="preserve">   </w:t>
      </w:r>
      <w:r w:rsidRPr="00AC5F42">
        <w:t xml:space="preserve">в графе 2 - </w:t>
      </w:r>
      <w:r>
        <w:t xml:space="preserve"> </w:t>
      </w:r>
      <w:r w:rsidRPr="00AC5F42">
        <w:t xml:space="preserve">код </w:t>
      </w:r>
      <w:r w:rsidRPr="005068B9">
        <w:t>субсидии в соответствии с муниципальными правовыми актами Администрации города об утверждении аналитических кодов субсидий для учета операций с целевыми субсидиями;</w:t>
      </w:r>
    </w:p>
    <w:p w:rsidR="00F71CA3" w:rsidRDefault="00F71CA3" w:rsidP="00F71CA3">
      <w:r>
        <w:t xml:space="preserve">в графе 3 - код по бюджетной классификации Российской Федерации, исходя из экономического содержания планируемых поступлений и </w:t>
      </w:r>
      <w:proofErr w:type="gramStart"/>
      <w:r>
        <w:t xml:space="preserve">выплат,   </w:t>
      </w:r>
      <w:proofErr w:type="gramEnd"/>
      <w:r>
        <w:t xml:space="preserve">                                                                                                      в части:</w:t>
      </w:r>
    </w:p>
    <w:p w:rsidR="00F71CA3" w:rsidRDefault="00F71CA3" w:rsidP="00F71CA3">
      <w:pPr>
        <w:ind w:firstLine="567"/>
      </w:pPr>
      <w:r>
        <w:t xml:space="preserve">  планируемых поступлений</w:t>
      </w:r>
      <w:r>
        <w:rPr>
          <w:vertAlign w:val="superscript"/>
        </w:rPr>
        <w:t xml:space="preserve"> </w:t>
      </w:r>
      <w:r>
        <w:t>целевых субсидий - по коду аналитической группы подвида доходов бюджетов;</w:t>
      </w:r>
    </w:p>
    <w:p w:rsidR="00F71CA3" w:rsidRDefault="00F71CA3" w:rsidP="00F71CA3">
      <w:r>
        <w:t>планируемых целевых расходов - по коду видов расходов классификации расходов бюджетов;</w:t>
      </w:r>
    </w:p>
    <w:p w:rsidR="00F71CA3" w:rsidRDefault="00F71CA3" w:rsidP="00F71CA3">
      <w:pPr>
        <w:ind w:firstLine="567"/>
      </w:pPr>
      <w:r>
        <w:t xml:space="preserve">  поступлений от возврата дебиторской задолженности прошлых лет, потребность в использовании которых подтверждена, - по коду аналитической группы вида источников финансирования дефицитов бюджетов;</w:t>
      </w:r>
    </w:p>
    <w:p w:rsidR="00F71CA3" w:rsidRPr="00AC5F42" w:rsidRDefault="00F71CA3" w:rsidP="00F71CA3">
      <w:pPr>
        <w:ind w:firstLine="510"/>
      </w:pPr>
      <w:r>
        <w:t xml:space="preserve">   </w:t>
      </w:r>
      <w:r w:rsidRPr="00AC5F42">
        <w:t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</w:t>
      </w:r>
      <w:r w:rsidR="000F7A33">
        <w:t xml:space="preserve">ную </w:t>
      </w:r>
      <w:proofErr w:type="gramStart"/>
      <w:r>
        <w:t xml:space="preserve">программу,   </w:t>
      </w:r>
      <w:proofErr w:type="gramEnd"/>
      <w:r>
        <w:t xml:space="preserve">                                                                                                                                       </w:t>
      </w:r>
      <w:r w:rsidRPr="00AC5F42">
        <w:t xml:space="preserve">на строительство (реконструкцию, в том числе с элементами реставрации, </w:t>
      </w:r>
      <w:r w:rsidRPr="00AC5F42">
        <w:lastRenderedPageBreak/>
        <w:t>техническое перевооружение) или приобретение которого предоставляется целевая субсидия (при наличии);</w:t>
      </w:r>
    </w:p>
    <w:p w:rsidR="00F71CA3" w:rsidRPr="00AC5F42" w:rsidRDefault="00F71CA3" w:rsidP="000F7A33">
      <w:pPr>
        <w:ind w:firstLine="510"/>
      </w:pPr>
      <w:r>
        <w:t xml:space="preserve">   в графах </w:t>
      </w:r>
      <w:r w:rsidRPr="00AC5F42">
        <w:t xml:space="preserve">5,7 - </w:t>
      </w:r>
      <w:r>
        <w:t xml:space="preserve"> </w:t>
      </w:r>
      <w:r w:rsidRPr="00AC5F42">
        <w:t>код субсидии, присвоенный в прошлых фин</w:t>
      </w:r>
      <w:r>
        <w:t xml:space="preserve">ансовых периодах в случае, если </w:t>
      </w:r>
      <w:r w:rsidRPr="00AC5F42">
        <w:t>коды субсидии, присвоенн</w:t>
      </w:r>
      <w:r>
        <w:t xml:space="preserve">ые для учета операций                         </w:t>
      </w:r>
      <w:r w:rsidRPr="00AC5F42">
        <w:t>с целевой субсидией в прошлые годы и в новом финансовом году, различаются;</w:t>
      </w:r>
    </w:p>
    <w:p w:rsidR="00F71CA3" w:rsidRPr="00AC5F42" w:rsidRDefault="00F71CA3" w:rsidP="00F71CA3">
      <w:pPr>
        <w:tabs>
          <w:tab w:val="left" w:pos="709"/>
        </w:tabs>
        <w:ind w:firstLine="510"/>
      </w:pPr>
      <w:r>
        <w:t xml:space="preserve">   </w:t>
      </w:r>
      <w:r w:rsidRPr="00AC5F42">
        <w:t xml:space="preserve">в графе 6 -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</w:t>
      </w:r>
      <w:r>
        <w:t>использовании</w:t>
      </w:r>
      <w:r w:rsidRPr="00AC5F42">
        <w:t xml:space="preserve"> их на те же цели;</w:t>
      </w:r>
    </w:p>
    <w:p w:rsidR="00F71CA3" w:rsidRPr="00AC5F42" w:rsidRDefault="00F71CA3" w:rsidP="00F71CA3">
      <w:pPr>
        <w:ind w:firstLine="510"/>
      </w:pPr>
      <w:r>
        <w:t xml:space="preserve">   </w:t>
      </w:r>
      <w:r w:rsidRPr="00AC5F42">
        <w:t>в графе 8 - суммы возвра</w:t>
      </w:r>
      <w:r>
        <w:t xml:space="preserve">щенной учреждению задолженности                                      </w:t>
      </w:r>
      <w:r w:rsidRPr="00AC5F42">
        <w:t xml:space="preserve">по выплатам, произведенным из средств субсидии в прошлых финансовых периодах, по которым в установленном порядке подтверждена потребность       </w:t>
      </w:r>
      <w:r>
        <w:t xml:space="preserve">                   </w:t>
      </w:r>
      <w:r w:rsidRPr="00AC5F42">
        <w:t xml:space="preserve"> в </w:t>
      </w:r>
      <w:r>
        <w:t>использовании</w:t>
      </w:r>
      <w:r w:rsidRPr="00AC5F42">
        <w:t xml:space="preserve"> их на те же цели;</w:t>
      </w:r>
    </w:p>
    <w:p w:rsidR="00F71CA3" w:rsidRPr="00AC5F42" w:rsidRDefault="00F71CA3" w:rsidP="00F71CA3">
      <w:r w:rsidRPr="00AC5F42">
        <w:t xml:space="preserve">в графах 9,10 - суммы планируемых в текущем финансовом году поступлений </w:t>
      </w:r>
      <w:r>
        <w:t xml:space="preserve">и выплат </w:t>
      </w:r>
      <w:r w:rsidRPr="00AC5F42">
        <w:t xml:space="preserve">целевых субсидий.    </w:t>
      </w:r>
    </w:p>
    <w:p w:rsidR="00F71CA3" w:rsidRPr="00AC5F42" w:rsidRDefault="00F71CA3" w:rsidP="00F71CA3">
      <w:r w:rsidRPr="00AC5F42">
        <w:t>В случае если учреждению предоставляются несколько целевых субсидий, показатели вып</w:t>
      </w:r>
      <w:r>
        <w:t xml:space="preserve">лат в «Сведениях» отражаются </w:t>
      </w:r>
      <w:r w:rsidRPr="00AC5F42">
        <w:t>без формирования промежуточных ит</w:t>
      </w:r>
      <w:r>
        <w:t>огов по каждой целевой субсидии».</w:t>
      </w:r>
    </w:p>
    <w:p w:rsidR="00F71CA3" w:rsidRPr="00784815" w:rsidRDefault="00F71CA3" w:rsidP="00F71CA3">
      <w:pPr>
        <w:rPr>
          <w:bCs/>
        </w:rPr>
      </w:pPr>
      <w:r>
        <w:t xml:space="preserve">1.4.  В абзаце третьем пункта 7 приложения к приказу слова «Порядком открытия и ведения лицевых счетов муниципальным бюджетным </w:t>
      </w:r>
      <w:r w:rsidR="000F7A33">
        <w:t xml:space="preserve">                                    </w:t>
      </w:r>
      <w:r>
        <w:t>и автономным учреждениям, утвержденным приказом департамента ф</w:t>
      </w:r>
      <w:r w:rsidR="008B069A">
        <w:t xml:space="preserve">инансов от 23.01.2014 </w:t>
      </w:r>
      <w:r>
        <w:t>№ 4» заменить словами «</w:t>
      </w:r>
      <w:r>
        <w:rPr>
          <w:bCs/>
        </w:rPr>
        <w:t>Порядком</w:t>
      </w:r>
      <w:r w:rsidRPr="00080D30">
        <w:t xml:space="preserve"> </w:t>
      </w:r>
      <w:r>
        <w:t>открытия и ведения лицевых счетов департаментом финансов Администрации города Сургута, утвержденным приказом департамента финансов».</w:t>
      </w:r>
    </w:p>
    <w:p w:rsidR="00F71CA3" w:rsidRDefault="00F71CA3" w:rsidP="00F71CA3">
      <w:r>
        <w:t>1.5. Пункт 10.1 приложения к приказу изложить в следующей редакции:</w:t>
      </w:r>
    </w:p>
    <w:p w:rsidR="00F71CA3" w:rsidRDefault="00F71CA3" w:rsidP="00F71CA3">
      <w:r>
        <w:t xml:space="preserve">«10.1. </w:t>
      </w:r>
      <w:r w:rsidRPr="00CC2325">
        <w:t>Н</w:t>
      </w:r>
      <w:r>
        <w:t xml:space="preserve">е позднее </w:t>
      </w:r>
      <w:r w:rsidRPr="00CC2325">
        <w:t>второго рабочего дня</w:t>
      </w:r>
      <w:r>
        <w:t>, следующего за днем предоставления Сведений, проверяет их:</w:t>
      </w:r>
    </w:p>
    <w:p w:rsidR="00F71CA3" w:rsidRDefault="00F71CA3" w:rsidP="00F71CA3">
      <w:pPr>
        <w:ind w:firstLine="567"/>
      </w:pPr>
      <w:r>
        <w:t xml:space="preserve">  - на соответствие ЭП лиц, подписавших ЭД «Сведения» карточке образцов подписей;</w:t>
      </w:r>
    </w:p>
    <w:p w:rsidR="00F71CA3" w:rsidRDefault="00F71CA3" w:rsidP="00F71CA3">
      <w:pPr>
        <w:ind w:firstLine="567"/>
      </w:pPr>
      <w:r>
        <w:t xml:space="preserve">  - </w:t>
      </w:r>
      <w:r w:rsidRPr="00B81049">
        <w:t xml:space="preserve">на соответствие кода субсидии, цели предоставления субсидии </w:t>
      </w:r>
      <w:r>
        <w:t xml:space="preserve">                                </w:t>
      </w:r>
      <w:r w:rsidRPr="00B81049">
        <w:t>и (или) наименования дополнительной детализации цели предост</w:t>
      </w:r>
      <w:r>
        <w:t xml:space="preserve">авления субсидии коду субсидии и </w:t>
      </w:r>
      <w:r w:rsidRPr="00B81049">
        <w:t xml:space="preserve">цели предоставления субсидии и (или) наименованию дополнительной детализации цели предоставления субсидии, </w:t>
      </w:r>
      <w:r>
        <w:t xml:space="preserve">утвержденными муниципальными правовыми актами Администрации города об утверждении аналитических кодов субсидий для учета операций </w:t>
      </w:r>
      <w:r w:rsidR="000F7A33">
        <w:t xml:space="preserve">                                </w:t>
      </w:r>
      <w:r>
        <w:t>с целевыми субсидиями</w:t>
      </w:r>
      <w:r w:rsidRPr="00B81049">
        <w:t>».</w:t>
      </w:r>
      <w:r>
        <w:t xml:space="preserve"> </w:t>
      </w:r>
    </w:p>
    <w:p w:rsidR="00F71CA3" w:rsidRDefault="00F71CA3" w:rsidP="00F71CA3">
      <w:pPr>
        <w:tabs>
          <w:tab w:val="left" w:pos="709"/>
        </w:tabs>
        <w:ind w:firstLine="567"/>
      </w:pPr>
      <w:r>
        <w:t xml:space="preserve">  1.6. Пункт 12.1 приложения к приказу изложить в следующей редакции: </w:t>
      </w:r>
    </w:p>
    <w:p w:rsidR="00F71CA3" w:rsidRDefault="00F71CA3" w:rsidP="00F71CA3">
      <w:pPr>
        <w:tabs>
          <w:tab w:val="left" w:pos="709"/>
        </w:tabs>
        <w:ind w:firstLine="567"/>
      </w:pPr>
      <w:r>
        <w:t xml:space="preserve">  «12.1. Скан-копия формируется на любом оборудовании (планшетный              или поточный сканер, ксерокс и т.п.), позволяющем осуществить сканирование оригинала документа в соответствии со следующими требованиями:</w:t>
      </w:r>
    </w:p>
    <w:p w:rsidR="00F71CA3" w:rsidRDefault="00F71CA3" w:rsidP="00F71CA3">
      <w:pPr>
        <w:ind w:firstLine="567"/>
      </w:pPr>
      <w:r>
        <w:t xml:space="preserve">  - изображение (скан-копия) должно содержать все реквизиты оригинала документа, быть четким, легко читаемым;</w:t>
      </w:r>
    </w:p>
    <w:p w:rsidR="00F71CA3" w:rsidRDefault="00F71CA3" w:rsidP="00F71CA3">
      <w:pPr>
        <w:ind w:firstLine="567"/>
      </w:pPr>
      <w:r>
        <w:lastRenderedPageBreak/>
        <w:t xml:space="preserve">  - разрешение сканирования 200*200 </w:t>
      </w:r>
      <w:proofErr w:type="spellStart"/>
      <w:r>
        <w:t>dpi</w:t>
      </w:r>
      <w:proofErr w:type="spellEnd"/>
      <w:r>
        <w:t xml:space="preserve"> (в случае невозможности передачи четкости изображения при сканировании 200*200 </w:t>
      </w:r>
      <w:proofErr w:type="spellStart"/>
      <w:r>
        <w:t>dpi</w:t>
      </w:r>
      <w:proofErr w:type="spellEnd"/>
      <w:r>
        <w:t xml:space="preserve"> допускается сканирование с разрешением 300*300 </w:t>
      </w:r>
      <w:proofErr w:type="spellStart"/>
      <w:r>
        <w:t>dpi</w:t>
      </w:r>
      <w:proofErr w:type="spellEnd"/>
      <w:r>
        <w:t>);</w:t>
      </w:r>
    </w:p>
    <w:p w:rsidR="00F71CA3" w:rsidRDefault="00F71CA3" w:rsidP="00F71CA3">
      <w:pPr>
        <w:ind w:firstLine="567"/>
      </w:pPr>
      <w:r>
        <w:t xml:space="preserve">  - формат формируемого файла: *.</w:t>
      </w:r>
      <w:proofErr w:type="spellStart"/>
      <w:r>
        <w:t>pdf</w:t>
      </w:r>
      <w:proofErr w:type="spellEnd"/>
      <w:r>
        <w:t xml:space="preserve">, </w:t>
      </w:r>
      <w:proofErr w:type="gramStart"/>
      <w:r>
        <w:t>*.</w:t>
      </w:r>
      <w:proofErr w:type="spellStart"/>
      <w:r>
        <w:t>dgvu</w:t>
      </w:r>
      <w:proofErr w:type="spellEnd"/>
      <w:proofErr w:type="gramEnd"/>
      <w:r>
        <w:t>;</w:t>
      </w:r>
    </w:p>
    <w:p w:rsidR="00F71CA3" w:rsidRDefault="00F71CA3" w:rsidP="000F7A33">
      <w:pPr>
        <w:ind w:firstLine="567"/>
      </w:pPr>
      <w:r>
        <w:t xml:space="preserve">  - размер одной страницы файла не должен превышать 200 Кб; - размер одного файла не должен превышать 7 Мб;</w:t>
      </w:r>
    </w:p>
    <w:p w:rsidR="00F71CA3" w:rsidRDefault="00F71CA3" w:rsidP="00F71CA3">
      <w:pPr>
        <w:ind w:firstLine="567"/>
      </w:pPr>
      <w:r>
        <w:t xml:space="preserve">  - рекомендуется придерживаться правила: один документ = один файл;</w:t>
      </w:r>
    </w:p>
    <w:p w:rsidR="00F71CA3" w:rsidRDefault="00F71CA3" w:rsidP="00F71CA3">
      <w:pPr>
        <w:ind w:firstLine="567"/>
      </w:pPr>
      <w:r>
        <w:t xml:space="preserve">  - сканирование осуществляется в черно-белом либо цветном режиме, обеспечивающем требуемое качество и размер файла.</w:t>
      </w:r>
    </w:p>
    <w:p w:rsidR="00F71CA3" w:rsidRPr="00B81049" w:rsidRDefault="00F71CA3" w:rsidP="00F71CA3">
      <w:pPr>
        <w:ind w:firstLine="567"/>
      </w:pPr>
      <w:r>
        <w:t xml:space="preserve">  В случае отсутствия оборудования, позволяющего осуществить сканирование непосредственно в формат файла, указанный в пункте 12.1 настоящего Порядка, и (или) для уменьшения размера файла скан-копии, допускается использование программного обеспечения, позволяющего перевести сканируемое изображение в указанный формат».</w:t>
      </w:r>
    </w:p>
    <w:p w:rsidR="00F71CA3" w:rsidRDefault="00F71CA3" w:rsidP="00F71CA3">
      <w:r>
        <w:t>1.7. Пункт 13 приложения к приказу изложить в следующей редакции:</w:t>
      </w:r>
    </w:p>
    <w:p w:rsidR="00F71CA3" w:rsidRDefault="00F71CA3" w:rsidP="00F71CA3">
      <w:pPr>
        <w:tabs>
          <w:tab w:val="left" w:pos="960"/>
        </w:tabs>
        <w:ind w:firstLine="0"/>
      </w:pPr>
      <w:r>
        <w:t xml:space="preserve">          «13.  Для санкционирования расходов за счет средств целевых субсидий, уполномоченный работник отдела кассовых </w:t>
      </w:r>
      <w:r>
        <w:rPr>
          <w:color w:val="000000"/>
        </w:rPr>
        <w:t xml:space="preserve">выплат не позднее </w:t>
      </w:r>
      <w:r w:rsidRPr="00DB0C3A">
        <w:rPr>
          <w:color w:val="000000"/>
        </w:rPr>
        <w:t>второго рабочего дня,</w:t>
      </w:r>
      <w:r w:rsidRPr="00DB0C3A">
        <w:t xml:space="preserve"> следующего</w:t>
      </w:r>
      <w:r>
        <w:t xml:space="preserve"> за днем представления Заявок, осуществляет </w:t>
      </w:r>
      <w:r w:rsidR="000F7A33">
        <w:t xml:space="preserve">                       </w:t>
      </w:r>
      <w:r w:rsidR="008B069A">
        <w:t xml:space="preserve">их проверку </w:t>
      </w:r>
      <w:r>
        <w:t>по следующим направлениям:</w:t>
      </w:r>
    </w:p>
    <w:p w:rsidR="00F71CA3" w:rsidRPr="003D3CE7" w:rsidRDefault="00F71CA3" w:rsidP="00F71CA3">
      <w:pPr>
        <w:tabs>
          <w:tab w:val="left" w:pos="709"/>
          <w:tab w:val="left" w:pos="1260"/>
        </w:tabs>
      </w:pPr>
      <w:r w:rsidRPr="003D3CE7">
        <w:t>- наличие указанных в Заявке кода видов расходов классифик</w:t>
      </w:r>
      <w:r w:rsidR="008B069A">
        <w:t xml:space="preserve">ации расходов бюджетов (далее - </w:t>
      </w:r>
      <w:r w:rsidRPr="003D3CE7">
        <w:t>код видов расходов), кода субсидии                                           и их соответствие коду видов расходов, коду субсидии, указанным                                              в «Сведениях» по соответствующему коду субсидии;</w:t>
      </w:r>
    </w:p>
    <w:p w:rsidR="00F71CA3" w:rsidRDefault="00F71CA3" w:rsidP="00F71CA3">
      <w:r>
        <w:t xml:space="preserve">- соответствие указанного в Заявках кода видов расходов текстовому назначению платежа, исходя из содержания текста назначения </w:t>
      </w:r>
      <w:proofErr w:type="gramStart"/>
      <w:r>
        <w:t xml:space="preserve">платежа,  </w:t>
      </w:r>
      <w:r w:rsidR="000F7A33">
        <w:t xml:space="preserve"> </w:t>
      </w:r>
      <w:proofErr w:type="gramEnd"/>
      <w:r w:rsidR="000F7A33">
        <w:t xml:space="preserve">                                    </w:t>
      </w:r>
      <w:r>
        <w:t xml:space="preserve">                                                                           в соответствии с утвержденным Министерством финансов Российской Федерации порядком применения бюджетной классификации Российской Федерации; </w:t>
      </w:r>
    </w:p>
    <w:p w:rsidR="00F71CA3" w:rsidRPr="00473669" w:rsidRDefault="00F71CA3" w:rsidP="00F71CA3">
      <w:r>
        <w:t xml:space="preserve">- </w:t>
      </w:r>
      <w:r w:rsidRPr="00473669">
        <w:t xml:space="preserve">соответствие реквизитов (наименование, номер, дата, реквизиты </w:t>
      </w:r>
      <w:r w:rsidR="008B069A">
        <w:t xml:space="preserve">получателя платежа) документа - </w:t>
      </w:r>
      <w:r w:rsidRPr="00473669">
        <w:t xml:space="preserve">основания реквизитам, указанным </w:t>
      </w:r>
      <w:r>
        <w:t xml:space="preserve">                                    </w:t>
      </w:r>
      <w:r w:rsidRPr="00473669">
        <w:t>в Заявке;</w:t>
      </w:r>
    </w:p>
    <w:p w:rsidR="00F71CA3" w:rsidRPr="00473669" w:rsidRDefault="00F71CA3" w:rsidP="00F71CA3">
      <w:pPr>
        <w:ind w:firstLine="357"/>
      </w:pPr>
      <w:r>
        <w:t xml:space="preserve">     - соответствие содержания операций</w:t>
      </w:r>
      <w:r w:rsidRPr="00473669">
        <w:t xml:space="preserve"> по </w:t>
      </w:r>
      <w:r>
        <w:t xml:space="preserve">оплате денежных обязательств учреждения, связанных с </w:t>
      </w:r>
      <w:r w:rsidRPr="00473669">
        <w:t>поставкой товаров, выполнением работ, оказанием услуг, исходя из документов - оснований, коду видов расходов и содержанию текс</w:t>
      </w:r>
      <w:r>
        <w:t>та назначения платежа, указанным</w:t>
      </w:r>
      <w:r w:rsidRPr="00473669">
        <w:t xml:space="preserve"> в Заявке;</w:t>
      </w:r>
    </w:p>
    <w:p w:rsidR="00F71CA3" w:rsidRPr="003D3CE7" w:rsidRDefault="00F71CA3" w:rsidP="00F71CA3">
      <w:pPr>
        <w:ind w:firstLine="357"/>
      </w:pPr>
      <w:r w:rsidRPr="003D3CE7">
        <w:t xml:space="preserve">     - </w:t>
      </w:r>
      <w:proofErr w:type="spellStart"/>
      <w:r w:rsidRPr="003D3CE7">
        <w:t>непревышение</w:t>
      </w:r>
      <w:proofErr w:type="spellEnd"/>
      <w:r w:rsidRPr="003D3CE7">
        <w:t xml:space="preserve"> суммы, указанной в Заявке, над суммой остатка планируемых выплат, указанной в «Сведениях» по соответствующему коду видов расходов, коду субсидии, учтенной на </w:t>
      </w:r>
      <w:r w:rsidRPr="003D3CE7">
        <w:rPr>
          <w:bCs/>
        </w:rPr>
        <w:t>лицевых счетах по учету субсидий на иные цели, для учета операций с субсидиями на капитальные вложения</w:t>
      </w:r>
      <w:r w:rsidRPr="003D3CE7">
        <w:t>;</w:t>
      </w:r>
    </w:p>
    <w:p w:rsidR="00F71CA3" w:rsidRPr="00473669" w:rsidRDefault="00F71CA3" w:rsidP="00F71CA3">
      <w:r>
        <w:t xml:space="preserve">- </w:t>
      </w:r>
      <w:proofErr w:type="spellStart"/>
      <w:r w:rsidRPr="00473669">
        <w:t>непревышение</w:t>
      </w:r>
      <w:proofErr w:type="spellEnd"/>
      <w:r w:rsidRPr="00473669">
        <w:t xml:space="preserve"> предельных размеров авансовых платежей, определенных в соответствии с муниципальным правовым актом, регулирующим бюджетные правоотношения для получателей бюджетных средст</w:t>
      </w:r>
      <w:r>
        <w:t>в;</w:t>
      </w:r>
    </w:p>
    <w:p w:rsidR="00F71CA3" w:rsidRDefault="00F71CA3" w:rsidP="00F71CA3">
      <w:pPr>
        <w:ind w:firstLine="0"/>
      </w:pPr>
      <w:r>
        <w:lastRenderedPageBreak/>
        <w:t xml:space="preserve">          - </w:t>
      </w:r>
      <w:r w:rsidRPr="00473669">
        <w:t xml:space="preserve">соответствие содержания операций по </w:t>
      </w:r>
      <w:r>
        <w:t>оплате денежных обязательств</w:t>
      </w:r>
      <w:r w:rsidRPr="00473669">
        <w:t xml:space="preserve"> </w:t>
      </w:r>
      <w:r w:rsidRPr="009317B7">
        <w:t>учреждения целям предоставления</w:t>
      </w:r>
      <w:r>
        <w:t xml:space="preserve"> субсидий, установленным Порядком определения объема и условий предоставления муниципальным бюджетным         и автономным учреждениям субсидий на иные цели, утвержденным Постановлением Администрации города».</w:t>
      </w:r>
    </w:p>
    <w:p w:rsidR="00F71CA3" w:rsidRDefault="00F71CA3" w:rsidP="00F71CA3">
      <w:pPr>
        <w:tabs>
          <w:tab w:val="left" w:pos="709"/>
        </w:tabs>
        <w:ind w:firstLine="0"/>
      </w:pPr>
      <w:r>
        <w:t xml:space="preserve">          1.8.  Пункт 14 приложения к приказу изложить в следующей редакции:</w:t>
      </w:r>
    </w:p>
    <w:p w:rsidR="00F71CA3" w:rsidRDefault="00F71CA3" w:rsidP="00F71CA3">
      <w:pPr>
        <w:ind w:firstLine="0"/>
      </w:pPr>
      <w:r>
        <w:t xml:space="preserve">          «14. В случае несоблюдения требований, установленных в пунктах                         12 и 13 настоящего Порядка, уполномоченный работник отдела кассовых выплат отказывает Заявку, с указанием причины отказа в системе АЦК </w:t>
      </w:r>
      <w:r w:rsidR="000F7A33">
        <w:t xml:space="preserve">                           </w:t>
      </w:r>
      <w:r>
        <w:t xml:space="preserve">не позднее двух рабочих дней, следующих за днем </w:t>
      </w:r>
      <w:r w:rsidRPr="00024398">
        <w:t>предоставления</w:t>
      </w:r>
      <w:r>
        <w:t xml:space="preserve"> Заявки».</w:t>
      </w:r>
    </w:p>
    <w:p w:rsidR="00F71CA3" w:rsidRDefault="00F71CA3" w:rsidP="00F71CA3">
      <w:pPr>
        <w:tabs>
          <w:tab w:val="left" w:pos="709"/>
        </w:tabs>
        <w:ind w:firstLine="0"/>
      </w:pPr>
      <w:r>
        <w:t xml:space="preserve">          1.9.  Пункт 15 приложения к приказу изложить в следующей редакции:</w:t>
      </w:r>
    </w:p>
    <w:p w:rsidR="00F71CA3" w:rsidRPr="00567E5D" w:rsidRDefault="00F71CA3" w:rsidP="00F71CA3">
      <w:pPr>
        <w:tabs>
          <w:tab w:val="left" w:pos="709"/>
        </w:tabs>
        <w:ind w:firstLine="0"/>
      </w:pPr>
      <w:r>
        <w:t xml:space="preserve">          «15. Уполномоченный работник отдела кассовых выплат                                            при положительном результате проверки, предусмотренной пунктами                           12 и 13 настоящего Порядка не позднее второго рабочего дня, следующего                      за днем предоставления Заявки, принимает ее к исполнению. Операции                           по формированию распоряжений о совершении казначейских платежей осуществляются в соответствии с Порядком проведения кассовых операций</w:t>
      </w:r>
      <w:r w:rsidR="000F7A33">
        <w:t xml:space="preserve">  </w:t>
      </w:r>
      <w:r>
        <w:t xml:space="preserve"> со средствами муниципальных бюджетных и автономных учреждений, утвержденным приказом департамента финансов».  </w:t>
      </w:r>
    </w:p>
    <w:p w:rsidR="00F71CA3" w:rsidRPr="00992FAF" w:rsidRDefault="00F71CA3" w:rsidP="00F71C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6159EB">
        <w:rPr>
          <w:rFonts w:ascii="Times New Roman" w:hAnsi="Times New Roman"/>
          <w:sz w:val="28"/>
          <w:szCs w:val="28"/>
        </w:rPr>
        <w:t>. Настоящий приказ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  <w:t>с 01.01.2021.</w:t>
      </w:r>
    </w:p>
    <w:p w:rsidR="00F71CA3" w:rsidRPr="00AF1A6C" w:rsidRDefault="00F71CA3" w:rsidP="00F71CA3">
      <w:r>
        <w:t>3</w:t>
      </w:r>
      <w:r w:rsidRPr="00AF1A6C">
        <w:t>. Отделу кассовых выплат бюджетных и автономных учреждений управления исполнения расходов предоставить настоящий приказ:</w:t>
      </w:r>
    </w:p>
    <w:p w:rsidR="00F71CA3" w:rsidRPr="00AF1A6C" w:rsidRDefault="00F71CA3" w:rsidP="00F71CA3">
      <w:r w:rsidRPr="00AF1A6C">
        <w:t xml:space="preserve">- в управление документационного и </w:t>
      </w:r>
      <w:r>
        <w:t>организационного</w:t>
      </w:r>
      <w:r w:rsidRPr="00AF1A6C">
        <w:t xml:space="preserve">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F71CA3" w:rsidRPr="00AF1A6C" w:rsidRDefault="00F71CA3" w:rsidP="00F71CA3">
      <w:r>
        <w:t xml:space="preserve">- </w:t>
      </w:r>
      <w:r w:rsidRPr="00AF1A6C">
        <w:t>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</w:t>
      </w:r>
      <w:proofErr w:type="spellStart"/>
      <w:r w:rsidRPr="00AF1A6C">
        <w:t>Сургутские</w:t>
      </w:r>
      <w:proofErr w:type="spellEnd"/>
      <w:r w:rsidRPr="00AF1A6C">
        <w:t xml:space="preserve"> ведомости»;</w:t>
      </w:r>
    </w:p>
    <w:p w:rsidR="00F71CA3" w:rsidRPr="001354A7" w:rsidRDefault="00F71CA3" w:rsidP="00F71CA3">
      <w:r w:rsidRPr="00AF1A6C">
        <w:t xml:space="preserve">- в </w:t>
      </w:r>
      <w:proofErr w:type="spellStart"/>
      <w:r w:rsidRPr="00AF1A6C">
        <w:t>справочно</w:t>
      </w:r>
      <w:proofErr w:type="spellEnd"/>
      <w:r w:rsidRPr="00AF1A6C">
        <w:t xml:space="preserve"> – правовые системы.</w:t>
      </w:r>
    </w:p>
    <w:p w:rsidR="00F71CA3" w:rsidRDefault="00F71CA3" w:rsidP="00F71CA3">
      <w:pPr>
        <w:tabs>
          <w:tab w:val="left" w:pos="709"/>
        </w:tabs>
        <w:ind w:firstLine="567"/>
      </w:pPr>
      <w:r>
        <w:t xml:space="preserve">  4. </w:t>
      </w:r>
      <w:r w:rsidRPr="00C246FB">
        <w:t xml:space="preserve">Контроль за выполнением настоящего приказа возложить </w:t>
      </w:r>
      <w:r w:rsidRPr="00C246FB">
        <w:br/>
        <w:t xml:space="preserve">на заместителя директора департамента финансов </w:t>
      </w:r>
      <w:proofErr w:type="spellStart"/>
      <w:r w:rsidRPr="00C246FB">
        <w:t>Смолдыреву</w:t>
      </w:r>
      <w:proofErr w:type="spellEnd"/>
      <w:r w:rsidRPr="00C246FB">
        <w:t xml:space="preserve"> С.Б.</w:t>
      </w:r>
    </w:p>
    <w:p w:rsidR="00F71CA3" w:rsidRDefault="00F71CA3" w:rsidP="00F71CA3">
      <w:pPr>
        <w:rPr>
          <w:rFonts w:eastAsia="Times New Roman"/>
          <w:lang w:eastAsia="ru-RU"/>
        </w:rPr>
      </w:pPr>
    </w:p>
    <w:p w:rsidR="00F71CA3" w:rsidRDefault="00F71CA3" w:rsidP="00F71CA3">
      <w:pPr>
        <w:rPr>
          <w:rFonts w:eastAsia="Times New Roman"/>
          <w:lang w:eastAsia="ru-RU"/>
        </w:rPr>
      </w:pPr>
    </w:p>
    <w:p w:rsidR="00F71CA3" w:rsidRPr="00C62682" w:rsidRDefault="00F71CA3" w:rsidP="00F71CA3">
      <w:pPr>
        <w:rPr>
          <w:rFonts w:eastAsia="Times New Roman"/>
          <w:lang w:eastAsia="ru-RU"/>
        </w:rPr>
      </w:pPr>
    </w:p>
    <w:p w:rsidR="00F71CA3" w:rsidRPr="008B49C5" w:rsidRDefault="00F71CA3" w:rsidP="00F71CA3">
      <w:pPr>
        <w:ind w:firstLine="0"/>
        <w:jc w:val="left"/>
        <w:rPr>
          <w:rFonts w:eastAsia="Times New Roman"/>
          <w:lang w:eastAsia="x-none"/>
        </w:rPr>
      </w:pPr>
      <w:r w:rsidRPr="008B49C5">
        <w:rPr>
          <w:rFonts w:eastAsia="Times New Roman"/>
          <w:lang w:eastAsia="x-none"/>
        </w:rPr>
        <w:t>Д</w:t>
      </w:r>
      <w:proofErr w:type="spellStart"/>
      <w:r w:rsidRPr="008B49C5">
        <w:rPr>
          <w:rFonts w:eastAsia="Times New Roman"/>
          <w:lang w:val="x-none" w:eastAsia="x-none"/>
        </w:rPr>
        <w:t>иректо</w:t>
      </w:r>
      <w:r w:rsidRPr="008B49C5">
        <w:rPr>
          <w:rFonts w:eastAsia="Times New Roman"/>
          <w:lang w:eastAsia="x-none"/>
        </w:rPr>
        <w:t>р</w:t>
      </w:r>
      <w:proofErr w:type="spellEnd"/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>
        <w:rPr>
          <w:rFonts w:eastAsia="Times New Roman"/>
          <w:lang w:val="x-none" w:eastAsia="x-none"/>
        </w:rPr>
        <w:t xml:space="preserve">    </w:t>
      </w:r>
      <w:r>
        <w:rPr>
          <w:rFonts w:eastAsia="Times New Roman"/>
          <w:lang w:eastAsia="x-none"/>
        </w:rPr>
        <w:t xml:space="preserve">       </w:t>
      </w:r>
      <w:r w:rsidRPr="008B49C5">
        <w:rPr>
          <w:rFonts w:eastAsia="Times New Roman"/>
          <w:lang w:val="x-none" w:eastAsia="x-none"/>
        </w:rPr>
        <w:t xml:space="preserve"> </w:t>
      </w:r>
      <w:r>
        <w:rPr>
          <w:rFonts w:eastAsia="Times New Roman"/>
          <w:lang w:eastAsia="x-none"/>
        </w:rPr>
        <w:t>М.А. Новикова</w:t>
      </w:r>
    </w:p>
    <w:p w:rsidR="00BF3C27" w:rsidRDefault="00BF3C27"/>
    <w:sectPr w:rsidR="00BF3C27" w:rsidSect="000F7A33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56" w:rsidRDefault="00BE4856" w:rsidP="000F7A33">
      <w:r>
        <w:separator/>
      </w:r>
    </w:p>
  </w:endnote>
  <w:endnote w:type="continuationSeparator" w:id="0">
    <w:p w:rsidR="00BE4856" w:rsidRDefault="00BE4856" w:rsidP="000F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56" w:rsidRDefault="00BE4856" w:rsidP="000F7A33">
      <w:r>
        <w:separator/>
      </w:r>
    </w:p>
  </w:footnote>
  <w:footnote w:type="continuationSeparator" w:id="0">
    <w:p w:rsidR="00BE4856" w:rsidRDefault="00BE4856" w:rsidP="000F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894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F7A33" w:rsidRPr="000F7A33" w:rsidRDefault="000F7A33" w:rsidP="000F7A33">
        <w:pPr>
          <w:pStyle w:val="a4"/>
          <w:jc w:val="center"/>
          <w:rPr>
            <w:sz w:val="20"/>
            <w:szCs w:val="20"/>
          </w:rPr>
        </w:pPr>
        <w:r w:rsidRPr="000F7A33">
          <w:rPr>
            <w:sz w:val="20"/>
            <w:szCs w:val="20"/>
          </w:rPr>
          <w:fldChar w:fldCharType="begin"/>
        </w:r>
        <w:r w:rsidRPr="000F7A33">
          <w:rPr>
            <w:sz w:val="20"/>
            <w:szCs w:val="20"/>
          </w:rPr>
          <w:instrText>PAGE   \* MERGEFORMAT</w:instrText>
        </w:r>
        <w:r w:rsidRPr="000F7A33">
          <w:rPr>
            <w:sz w:val="20"/>
            <w:szCs w:val="20"/>
          </w:rPr>
          <w:fldChar w:fldCharType="separate"/>
        </w:r>
        <w:r w:rsidR="0004757D">
          <w:rPr>
            <w:noProof/>
            <w:sz w:val="20"/>
            <w:szCs w:val="20"/>
          </w:rPr>
          <w:t>5</w:t>
        </w:r>
        <w:r w:rsidRPr="000F7A33">
          <w:rPr>
            <w:sz w:val="20"/>
            <w:szCs w:val="20"/>
          </w:rPr>
          <w:fldChar w:fldCharType="end"/>
        </w:r>
      </w:p>
    </w:sdtContent>
  </w:sdt>
  <w:p w:rsidR="000F7A33" w:rsidRDefault="000F7A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98"/>
    <w:rsid w:val="0004757D"/>
    <w:rsid w:val="000F7A33"/>
    <w:rsid w:val="001E7B41"/>
    <w:rsid w:val="00243559"/>
    <w:rsid w:val="005009C7"/>
    <w:rsid w:val="00897F65"/>
    <w:rsid w:val="008B069A"/>
    <w:rsid w:val="00A47125"/>
    <w:rsid w:val="00BE4856"/>
    <w:rsid w:val="00BF3C27"/>
    <w:rsid w:val="00E25298"/>
    <w:rsid w:val="00F7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CE30"/>
  <w15:chartTrackingRefBased/>
  <w15:docId w15:val="{6F0F100A-E05D-4E45-85F1-355EE446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A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A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F7A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A33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F7A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A33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97F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F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A9A4-31EC-4173-8857-643D9934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1869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Чепель Наталья Михайловна</dc:creator>
  <cp:keywords/>
  <dc:description/>
  <cp:lastModifiedBy>Чепель Наталья Михайловна</cp:lastModifiedBy>
  <cp:revision>9</cp:revision>
  <cp:lastPrinted>2021-01-18T05:15:00Z</cp:lastPrinted>
  <dcterms:created xsi:type="dcterms:W3CDTF">2021-01-18T04:42:00Z</dcterms:created>
  <dcterms:modified xsi:type="dcterms:W3CDTF">2021-01-18T11:35:00Z</dcterms:modified>
</cp:coreProperties>
</file>