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D7" w:rsidRPr="00815B03" w:rsidRDefault="00692BD7" w:rsidP="00FC5BF0">
      <w:pPr>
        <w:pStyle w:val="Style1"/>
        <w:widowControl/>
        <w:jc w:val="center"/>
        <w:rPr>
          <w:rStyle w:val="FontStyle21"/>
        </w:rPr>
      </w:pPr>
      <w:r w:rsidRPr="00815B03">
        <w:rPr>
          <w:rStyle w:val="FontStyle21"/>
        </w:rPr>
        <w:t>Отчет</w:t>
      </w:r>
    </w:p>
    <w:p w:rsidR="00692BD7" w:rsidRPr="00815B03" w:rsidRDefault="00692BD7" w:rsidP="00FC5BF0">
      <w:pPr>
        <w:pStyle w:val="Style2"/>
        <w:widowControl/>
        <w:spacing w:line="240" w:lineRule="auto"/>
        <w:ind w:left="211" w:firstLine="902"/>
        <w:jc w:val="center"/>
        <w:rPr>
          <w:rStyle w:val="FontStyle21"/>
        </w:rPr>
      </w:pPr>
      <w:r w:rsidRPr="00815B03">
        <w:rPr>
          <w:rStyle w:val="FontStyle21"/>
        </w:rPr>
        <w:t xml:space="preserve">о реализации вектора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Культура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 xml:space="preserve"> направления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Человеческий капитал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 xml:space="preserve"> Стратегии социально-экономического развития муниципального образования городской округ Сургут Ханты-Мансийского автономного округа </w:t>
      </w:r>
      <w:r w:rsidR="00927CE4">
        <w:rPr>
          <w:rStyle w:val="FontStyle21"/>
        </w:rPr>
        <w:t>–</w:t>
      </w:r>
      <w:r w:rsidRPr="00815B03">
        <w:rPr>
          <w:rStyle w:val="FontStyle21"/>
        </w:rPr>
        <w:t xml:space="preserve"> Югры на период</w:t>
      </w:r>
      <w:r w:rsidR="00927CE4">
        <w:rPr>
          <w:rStyle w:val="FontStyle21"/>
        </w:rPr>
        <w:br/>
      </w:r>
      <w:r w:rsidRPr="00815B03">
        <w:rPr>
          <w:rStyle w:val="FontStyle21"/>
        </w:rPr>
        <w:t>до 2036 с целевыми ориентирами до 2050 года</w:t>
      </w:r>
    </w:p>
    <w:p w:rsidR="00692BD7" w:rsidRPr="00815B03" w:rsidRDefault="00692BD7" w:rsidP="00FC5BF0">
      <w:pPr>
        <w:pStyle w:val="Style6"/>
        <w:widowControl/>
        <w:jc w:val="center"/>
        <w:rPr>
          <w:rStyle w:val="FontStyle21"/>
        </w:rPr>
      </w:pPr>
      <w:r w:rsidRPr="00815B03">
        <w:rPr>
          <w:rStyle w:val="FontStyle21"/>
        </w:rPr>
        <w:t>в I полугодии 2024 года</w:t>
      </w:r>
    </w:p>
    <w:p w:rsidR="00692BD7" w:rsidRPr="00815B03" w:rsidRDefault="00692BD7" w:rsidP="00FC5BF0">
      <w:pPr>
        <w:pStyle w:val="Style5"/>
        <w:widowControl/>
        <w:spacing w:line="240" w:lineRule="auto"/>
        <w:ind w:left="566" w:firstLine="0"/>
        <w:jc w:val="left"/>
        <w:rPr>
          <w:sz w:val="26"/>
          <w:szCs w:val="26"/>
        </w:rPr>
      </w:pPr>
    </w:p>
    <w:p w:rsidR="00692BD7" w:rsidRPr="00927CE4" w:rsidRDefault="00692BD7" w:rsidP="00FC5BF0">
      <w:pPr>
        <w:pStyle w:val="Style5"/>
        <w:widowControl/>
        <w:spacing w:line="240" w:lineRule="auto"/>
        <w:ind w:left="566" w:firstLine="0"/>
        <w:jc w:val="left"/>
        <w:rPr>
          <w:rStyle w:val="FontStyle21"/>
        </w:rPr>
      </w:pPr>
      <w:r w:rsidRPr="00927CE4">
        <w:rPr>
          <w:rStyle w:val="FontStyle21"/>
        </w:rPr>
        <w:t>Раздел I. Цель и задачи вектора</w:t>
      </w:r>
    </w:p>
    <w:p w:rsidR="00692BD7" w:rsidRPr="00927CE4" w:rsidRDefault="00692BD7" w:rsidP="00FC5BF0">
      <w:pPr>
        <w:pStyle w:val="Style5"/>
        <w:widowControl/>
        <w:spacing w:line="240" w:lineRule="auto"/>
        <w:rPr>
          <w:rStyle w:val="FontStyle21"/>
        </w:rPr>
      </w:pPr>
      <w:r w:rsidRPr="00927CE4">
        <w:rPr>
          <w:rStyle w:val="FontStyle21"/>
        </w:rPr>
        <w:t xml:space="preserve">Цель вектора </w:t>
      </w:r>
      <w:r w:rsidR="00927CE4">
        <w:rPr>
          <w:rStyle w:val="FontStyle21"/>
        </w:rPr>
        <w:t>–</w:t>
      </w:r>
      <w:r w:rsidRPr="00927CE4">
        <w:rPr>
          <w:rStyle w:val="FontStyle21"/>
        </w:rPr>
        <w:t xml:space="preserve"> создание современной культурной среды для обеспечения доступа жителей к культурным ценностям и услугам.</w:t>
      </w:r>
    </w:p>
    <w:p w:rsidR="00692BD7" w:rsidRPr="00927CE4" w:rsidRDefault="00692BD7" w:rsidP="00FC5BF0">
      <w:pPr>
        <w:pStyle w:val="Style5"/>
        <w:widowControl/>
        <w:spacing w:line="240" w:lineRule="auto"/>
        <w:ind w:left="571" w:firstLine="0"/>
        <w:jc w:val="left"/>
        <w:rPr>
          <w:rStyle w:val="FontStyle21"/>
        </w:rPr>
      </w:pPr>
      <w:r w:rsidRPr="00927CE4">
        <w:rPr>
          <w:rStyle w:val="FontStyle21"/>
        </w:rPr>
        <w:t>Задачами, направленными на достижение цели, являются:</w:t>
      </w:r>
    </w:p>
    <w:p w:rsidR="00692BD7" w:rsidRPr="00927CE4" w:rsidRDefault="00692BD7" w:rsidP="00FC5BF0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40" w:lineRule="auto"/>
        <w:rPr>
          <w:rStyle w:val="FontStyle21"/>
        </w:rPr>
      </w:pPr>
      <w:r w:rsidRPr="00927CE4">
        <w:rPr>
          <w:rStyle w:val="FontStyle21"/>
        </w:rPr>
        <w:t>повышение качества услуг в сфере культуры, модернизация имущественного комплекса учреждений;</w:t>
      </w:r>
    </w:p>
    <w:p w:rsidR="00692BD7" w:rsidRPr="00927CE4" w:rsidRDefault="00692BD7" w:rsidP="00FC5BF0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40" w:lineRule="auto"/>
        <w:rPr>
          <w:rStyle w:val="FontStyle21"/>
        </w:rPr>
      </w:pPr>
      <w:r w:rsidRPr="00927CE4">
        <w:rPr>
          <w:rStyle w:val="FontStyle21"/>
        </w:rPr>
        <w:t>разработка и внедрение новых форматов проведения культурно-массовых мероприятий для всех возрастных групп с учетом современных тенденций по сохранению и укреплению традиционных российских духовно-нравственных ценностей;</w:t>
      </w:r>
    </w:p>
    <w:p w:rsidR="00692BD7" w:rsidRPr="00927CE4" w:rsidRDefault="00692BD7" w:rsidP="00FC5BF0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40" w:lineRule="auto"/>
        <w:rPr>
          <w:rStyle w:val="FontStyle21"/>
        </w:rPr>
      </w:pPr>
      <w:r w:rsidRPr="00927CE4">
        <w:rPr>
          <w:rStyle w:val="FontStyle21"/>
        </w:rPr>
        <w:t>привлечение инвестиций, направленных на развитие культуры, в том числе посредством муниципально-частного партнерства;</w:t>
      </w:r>
    </w:p>
    <w:p w:rsidR="00692BD7" w:rsidRPr="00927CE4" w:rsidRDefault="00692BD7" w:rsidP="00FC5BF0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40" w:lineRule="auto"/>
        <w:rPr>
          <w:rStyle w:val="FontStyle21"/>
        </w:rPr>
      </w:pPr>
      <w:r w:rsidRPr="00927CE4">
        <w:rPr>
          <w:rStyle w:val="FontStyle21"/>
        </w:rPr>
        <w:t>продвижение на региональном и всероссийском уровнях масштабных культурных проектов и событий;</w:t>
      </w:r>
    </w:p>
    <w:p w:rsidR="00692BD7" w:rsidRPr="00927CE4" w:rsidRDefault="00692BD7" w:rsidP="00FC5BF0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40" w:lineRule="auto"/>
        <w:rPr>
          <w:rStyle w:val="FontStyle21"/>
        </w:rPr>
      </w:pPr>
      <w:r w:rsidRPr="00927CE4">
        <w:rPr>
          <w:rStyle w:val="FontStyle21"/>
        </w:rPr>
        <w:t>расширение использования современных инновационных информационных и коммуникационных технологий в сфере культуры.</w:t>
      </w:r>
    </w:p>
    <w:p w:rsidR="00692BD7" w:rsidRPr="00927CE4" w:rsidRDefault="00692BD7" w:rsidP="00FC5BF0">
      <w:pPr>
        <w:pStyle w:val="Style5"/>
        <w:widowControl/>
        <w:spacing w:line="240" w:lineRule="auto"/>
        <w:ind w:firstLine="557"/>
        <w:rPr>
          <w:sz w:val="26"/>
          <w:szCs w:val="26"/>
        </w:rPr>
      </w:pPr>
    </w:p>
    <w:p w:rsidR="00692BD7" w:rsidRPr="00927CE4" w:rsidRDefault="00692BD7" w:rsidP="00FC5BF0">
      <w:pPr>
        <w:pStyle w:val="Style5"/>
        <w:widowControl/>
        <w:spacing w:line="240" w:lineRule="auto"/>
        <w:ind w:firstLine="557"/>
        <w:rPr>
          <w:rStyle w:val="FontStyle21"/>
        </w:rPr>
      </w:pPr>
      <w:r w:rsidRPr="00927CE4">
        <w:rPr>
          <w:rStyle w:val="FontStyle21"/>
        </w:rPr>
        <w:t xml:space="preserve">Раздел II.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Ханты-Мансийского автономного округа </w:t>
      </w:r>
      <w:r w:rsidR="00927CE4">
        <w:rPr>
          <w:rStyle w:val="FontStyle21"/>
        </w:rPr>
        <w:t>–</w:t>
      </w:r>
      <w:r w:rsidRPr="00927CE4">
        <w:rPr>
          <w:rStyle w:val="FontStyle21"/>
        </w:rPr>
        <w:t xml:space="preserve"> Югры</w:t>
      </w:r>
    </w:p>
    <w:p w:rsidR="00692BD7" w:rsidRPr="00815B03" w:rsidRDefault="00692BD7" w:rsidP="00FC5BF0">
      <w:pPr>
        <w:pStyle w:val="Style5"/>
        <w:widowControl/>
        <w:spacing w:line="240" w:lineRule="auto"/>
        <w:ind w:firstLine="557"/>
        <w:rPr>
          <w:rStyle w:val="FontStyle21"/>
        </w:rPr>
      </w:pPr>
      <w:r w:rsidRPr="00927CE4">
        <w:rPr>
          <w:rStyle w:val="FontStyle21"/>
        </w:rPr>
        <w:t>Результаты достижения плановых значений</w:t>
      </w:r>
      <w:r w:rsidRPr="00815B03">
        <w:rPr>
          <w:rStyle w:val="FontStyle21"/>
        </w:rPr>
        <w:t xml:space="preserve"> целевых показателей Стратегии социально-экономического развития муниципального образования городской округ Сургут за I полугодие 2024 года представлены в приложении 1.</w:t>
      </w:r>
    </w:p>
    <w:p w:rsidR="00235FD9" w:rsidRPr="00815B03" w:rsidRDefault="00235FD9" w:rsidP="00235FD9">
      <w:pPr>
        <w:ind w:firstLine="567"/>
        <w:jc w:val="both"/>
        <w:rPr>
          <w:sz w:val="26"/>
          <w:szCs w:val="26"/>
        </w:rPr>
      </w:pPr>
      <w:r w:rsidRPr="00815B03">
        <w:rPr>
          <w:sz w:val="26"/>
          <w:szCs w:val="26"/>
        </w:rPr>
        <w:t xml:space="preserve">Показатель </w:t>
      </w:r>
      <w:r w:rsidR="003228A3">
        <w:rPr>
          <w:sz w:val="26"/>
          <w:szCs w:val="26"/>
        </w:rPr>
        <w:t>«</w:t>
      </w:r>
      <w:r w:rsidRPr="00815B03">
        <w:rPr>
          <w:sz w:val="26"/>
          <w:szCs w:val="26"/>
        </w:rPr>
        <w:t>Обеспеченность населения организациями культуры, %</w:t>
      </w:r>
      <w:r w:rsidR="003228A3">
        <w:rPr>
          <w:sz w:val="26"/>
          <w:szCs w:val="26"/>
        </w:rPr>
        <w:t>»</w:t>
      </w:r>
      <w:r w:rsidRPr="00815B03">
        <w:rPr>
          <w:sz w:val="26"/>
          <w:szCs w:val="26"/>
        </w:rPr>
        <w:t xml:space="preserve"> характеризует обеспеченность населения театрами, учреждениями клубного типа, библиотеками, музеями в сравнении с нормативами, содержащимися в местных нормативах градостроительного проектирования, региональных нормативах градостроительного проектирования Ханты-Мансийского автономного округа – Югры, иных ведомственных нормативах и рассчитывается как среднее арифметическое данных видов обеспеченности. В настоящее время обеспеченность культурно-досуговыми учреждениями составляет 10</w:t>
      </w:r>
      <w:r w:rsidR="003228A3">
        <w:rPr>
          <w:sz w:val="26"/>
          <w:szCs w:val="26"/>
        </w:rPr>
        <w:t>3</w:t>
      </w:r>
      <w:r w:rsidRPr="00815B03">
        <w:rPr>
          <w:sz w:val="26"/>
          <w:szCs w:val="26"/>
        </w:rPr>
        <w:t>,</w:t>
      </w:r>
      <w:r w:rsidR="003228A3">
        <w:rPr>
          <w:sz w:val="26"/>
          <w:szCs w:val="26"/>
        </w:rPr>
        <w:t>3</w:t>
      </w:r>
      <w:r w:rsidRPr="00815B03">
        <w:rPr>
          <w:sz w:val="26"/>
          <w:szCs w:val="26"/>
        </w:rPr>
        <w:t>% (КДУ – 1</w:t>
      </w:r>
      <w:r w:rsidR="00516DC3">
        <w:rPr>
          <w:sz w:val="26"/>
          <w:szCs w:val="26"/>
        </w:rPr>
        <w:t>88</w:t>
      </w:r>
      <w:r w:rsidRPr="00815B03">
        <w:rPr>
          <w:sz w:val="26"/>
          <w:szCs w:val="26"/>
        </w:rPr>
        <w:t>,</w:t>
      </w:r>
      <w:r w:rsidR="00516DC3">
        <w:rPr>
          <w:sz w:val="26"/>
          <w:szCs w:val="26"/>
        </w:rPr>
        <w:t>5</w:t>
      </w:r>
      <w:r w:rsidRPr="00815B03">
        <w:rPr>
          <w:sz w:val="26"/>
          <w:szCs w:val="26"/>
        </w:rPr>
        <w:t>%, музеи – 100%, театры – 9</w:t>
      </w:r>
      <w:r w:rsidR="00516DC3">
        <w:rPr>
          <w:sz w:val="26"/>
          <w:szCs w:val="26"/>
        </w:rPr>
        <w:t>4</w:t>
      </w:r>
      <w:r w:rsidRPr="00815B03">
        <w:rPr>
          <w:sz w:val="26"/>
          <w:szCs w:val="26"/>
        </w:rPr>
        <w:t>,3%, библиотеки – 3</w:t>
      </w:r>
      <w:r w:rsidR="00516DC3">
        <w:rPr>
          <w:sz w:val="26"/>
          <w:szCs w:val="26"/>
        </w:rPr>
        <w:t>0</w:t>
      </w:r>
      <w:r w:rsidRPr="00815B03">
        <w:rPr>
          <w:sz w:val="26"/>
          <w:szCs w:val="26"/>
        </w:rPr>
        <w:t>,</w:t>
      </w:r>
      <w:r w:rsidR="00516DC3">
        <w:rPr>
          <w:sz w:val="26"/>
          <w:szCs w:val="26"/>
        </w:rPr>
        <w:t>2</w:t>
      </w:r>
      <w:r w:rsidRPr="00815B03">
        <w:rPr>
          <w:sz w:val="26"/>
          <w:szCs w:val="26"/>
        </w:rPr>
        <w:t>%).</w:t>
      </w:r>
    </w:p>
    <w:p w:rsidR="00692BD7" w:rsidRPr="00815B03" w:rsidRDefault="00692BD7" w:rsidP="00235FD9">
      <w:pPr>
        <w:ind w:firstLine="567"/>
        <w:jc w:val="both"/>
        <w:rPr>
          <w:rStyle w:val="FontStyle21"/>
        </w:rPr>
      </w:pPr>
      <w:r w:rsidRPr="00815B03">
        <w:rPr>
          <w:rStyle w:val="FontStyle21"/>
        </w:rPr>
        <w:t xml:space="preserve">Плановое </w:t>
      </w:r>
      <w:r w:rsidRPr="00C837D4">
        <w:rPr>
          <w:rStyle w:val="FontStyle21"/>
        </w:rPr>
        <w:t xml:space="preserve">значение целевого показателя </w:t>
      </w:r>
      <w:r w:rsidR="003228A3">
        <w:rPr>
          <w:rStyle w:val="FontStyle21"/>
        </w:rPr>
        <w:t>«</w:t>
      </w:r>
      <w:r w:rsidRPr="00C837D4">
        <w:rPr>
          <w:rStyle w:val="FontStyle21"/>
        </w:rPr>
        <w:t>Рост количества посещений</w:t>
      </w:r>
      <w:r w:rsidR="00FC5BF0" w:rsidRPr="00C837D4">
        <w:rPr>
          <w:rStyle w:val="FontStyle21"/>
        </w:rPr>
        <w:t xml:space="preserve"> </w:t>
      </w:r>
      <w:r w:rsidRPr="00C837D4">
        <w:rPr>
          <w:rStyle w:val="FontStyle21"/>
        </w:rPr>
        <w:t>жителями города культурных мероприятий</w:t>
      </w:r>
      <w:r w:rsidR="003228A3">
        <w:rPr>
          <w:rStyle w:val="FontStyle21"/>
        </w:rPr>
        <w:t>»</w:t>
      </w:r>
      <w:r w:rsidRPr="00C837D4">
        <w:rPr>
          <w:rStyle w:val="FontStyle21"/>
        </w:rPr>
        <w:t xml:space="preserve"> </w:t>
      </w:r>
      <w:r w:rsidR="00787B95" w:rsidRPr="00C837D4">
        <w:rPr>
          <w:rStyle w:val="FontStyle21"/>
        </w:rPr>
        <w:t xml:space="preserve">за I полугодие 2024 года </w:t>
      </w:r>
      <w:r w:rsidRPr="00C837D4">
        <w:rPr>
          <w:rStyle w:val="FontStyle21"/>
        </w:rPr>
        <w:t>достигнуто</w:t>
      </w:r>
      <w:r w:rsidR="00787B95" w:rsidRPr="00C837D4">
        <w:rPr>
          <w:rStyle w:val="FontStyle21"/>
        </w:rPr>
        <w:t xml:space="preserve"> </w:t>
      </w:r>
      <w:r w:rsidRPr="00C837D4">
        <w:rPr>
          <w:rStyle w:val="FontStyle21"/>
        </w:rPr>
        <w:t xml:space="preserve">на </w:t>
      </w:r>
      <w:r w:rsidR="00C837D4" w:rsidRPr="00C837D4">
        <w:rPr>
          <w:rStyle w:val="FontStyle21"/>
        </w:rPr>
        <w:t>2</w:t>
      </w:r>
      <w:r w:rsidR="003D285E">
        <w:rPr>
          <w:rStyle w:val="FontStyle21"/>
        </w:rPr>
        <w:t>7</w:t>
      </w:r>
      <w:r w:rsidRPr="00C837D4">
        <w:rPr>
          <w:rStyle w:val="FontStyle21"/>
        </w:rPr>
        <w:t>,</w:t>
      </w:r>
      <w:r w:rsidR="003D285E">
        <w:rPr>
          <w:rStyle w:val="FontStyle21"/>
        </w:rPr>
        <w:t>2</w:t>
      </w:r>
      <w:r w:rsidRPr="00C837D4">
        <w:rPr>
          <w:rStyle w:val="FontStyle21"/>
        </w:rPr>
        <w:t xml:space="preserve"> % и составило </w:t>
      </w:r>
      <w:r w:rsidR="00F37328" w:rsidRPr="00C837D4">
        <w:rPr>
          <w:rStyle w:val="FontStyle21"/>
        </w:rPr>
        <w:t>5</w:t>
      </w:r>
      <w:r w:rsidR="003D285E">
        <w:rPr>
          <w:rStyle w:val="FontStyle21"/>
        </w:rPr>
        <w:t>4</w:t>
      </w:r>
      <w:r w:rsidRPr="00C837D4">
        <w:rPr>
          <w:rStyle w:val="FontStyle21"/>
        </w:rPr>
        <w:t>,</w:t>
      </w:r>
      <w:r w:rsidR="003D285E">
        <w:rPr>
          <w:rStyle w:val="FontStyle21"/>
        </w:rPr>
        <w:t>3</w:t>
      </w:r>
      <w:r w:rsidRPr="00C837D4">
        <w:rPr>
          <w:rStyle w:val="FontStyle21"/>
        </w:rPr>
        <w:t>% при плановом значении 20</w:t>
      </w:r>
      <w:r w:rsidR="00C837D4" w:rsidRPr="00C837D4">
        <w:rPr>
          <w:rStyle w:val="FontStyle21"/>
        </w:rPr>
        <w:t>0</w:t>
      </w:r>
      <w:r w:rsidRPr="00C837D4">
        <w:rPr>
          <w:rStyle w:val="FontStyle21"/>
        </w:rPr>
        <w:t>%</w:t>
      </w:r>
      <w:r w:rsidR="00F37328" w:rsidRPr="00C837D4">
        <w:rPr>
          <w:rStyle w:val="FontStyle21"/>
        </w:rPr>
        <w:t xml:space="preserve"> к 2026 </w:t>
      </w:r>
      <w:r w:rsidR="00F37328">
        <w:rPr>
          <w:rStyle w:val="FontStyle21"/>
        </w:rPr>
        <w:t>году</w:t>
      </w:r>
      <w:r w:rsidRPr="00815B03">
        <w:rPr>
          <w:rStyle w:val="FontStyle21"/>
        </w:rPr>
        <w:t>.</w:t>
      </w:r>
    </w:p>
    <w:p w:rsidR="00692BD7" w:rsidRPr="00815B03" w:rsidRDefault="00692BD7" w:rsidP="000C460F">
      <w:pPr>
        <w:pStyle w:val="Style5"/>
        <w:widowControl/>
        <w:spacing w:line="240" w:lineRule="auto"/>
        <w:ind w:firstLine="567"/>
        <w:rPr>
          <w:rStyle w:val="FontStyle21"/>
        </w:rPr>
      </w:pPr>
      <w:r w:rsidRPr="00815B03">
        <w:rPr>
          <w:rStyle w:val="FontStyle21"/>
        </w:rPr>
        <w:t xml:space="preserve">Инфраструктурная обеспеченность города Сургута объектами культуры остается недостаточной.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Детская музыкальная школа № 3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 xml:space="preserve"> и муниципальное автономное учреждение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 xml:space="preserve">Театр актера и куклы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Петрушка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 xml:space="preserve"> располагаются на арендованных площадях, муниципальное бюджетное учреждение культуры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Сургутский художественный музей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 xml:space="preserve"> располагается в здании муниципального бюджетного учреждения культуры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Сургутский краеведческий музей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 xml:space="preserve"> на основании договора безвозмездного пользования.</w:t>
      </w:r>
    </w:p>
    <w:p w:rsidR="00051B62" w:rsidRPr="00815B03" w:rsidRDefault="00051B62" w:rsidP="000C460F">
      <w:pPr>
        <w:pStyle w:val="Style5"/>
        <w:widowControl/>
        <w:spacing w:line="240" w:lineRule="auto"/>
        <w:ind w:firstLine="567"/>
        <w:rPr>
          <w:rStyle w:val="FontStyle21"/>
        </w:rPr>
      </w:pPr>
      <w:r w:rsidRPr="00815B03">
        <w:rPr>
          <w:rStyle w:val="FontStyle21"/>
        </w:rPr>
        <w:t xml:space="preserve">В рамках реализации флагманского проекта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 xml:space="preserve">Сургут </w:t>
      </w:r>
      <w:r w:rsidR="003228A3">
        <w:rPr>
          <w:rStyle w:val="FontStyle21"/>
        </w:rPr>
        <w:t>–</w:t>
      </w:r>
      <w:r w:rsidRPr="00815B03">
        <w:rPr>
          <w:rStyle w:val="FontStyle21"/>
        </w:rPr>
        <w:t xml:space="preserve"> культурное пространство ХМАО </w:t>
      </w:r>
      <w:r w:rsidR="003228A3">
        <w:rPr>
          <w:rStyle w:val="FontStyle21"/>
        </w:rPr>
        <w:t xml:space="preserve">– </w:t>
      </w:r>
      <w:r w:rsidRPr="00815B03">
        <w:rPr>
          <w:rStyle w:val="FontStyle21"/>
        </w:rPr>
        <w:t>Югры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 xml:space="preserve"> предусмотрены мероприятия:</w:t>
      </w:r>
    </w:p>
    <w:p w:rsidR="00051B62" w:rsidRPr="00815B03" w:rsidRDefault="000C460F" w:rsidP="00CE153D">
      <w:pPr>
        <w:pStyle w:val="Style13"/>
        <w:widowControl/>
        <w:spacing w:line="240" w:lineRule="auto"/>
        <w:ind w:left="5" w:firstLine="562"/>
        <w:rPr>
          <w:rStyle w:val="FontStyle21"/>
        </w:rPr>
      </w:pPr>
      <w:r w:rsidRPr="00815B03">
        <w:rPr>
          <w:rStyle w:val="FontStyle21"/>
        </w:rPr>
        <w:t xml:space="preserve">1) </w:t>
      </w:r>
      <w:r w:rsidR="00051B62" w:rsidRPr="00815B03">
        <w:rPr>
          <w:rStyle w:val="FontStyle21"/>
        </w:rPr>
        <w:t xml:space="preserve">реконструкция объектов: к 2028 году </w:t>
      </w:r>
      <w:r w:rsidR="003228A3">
        <w:rPr>
          <w:rStyle w:val="FontStyle21"/>
        </w:rPr>
        <w:t>–</w:t>
      </w:r>
      <w:r w:rsidR="00051B62" w:rsidRPr="00815B03">
        <w:rPr>
          <w:rStyle w:val="FontStyle21"/>
        </w:rPr>
        <w:t xml:space="preserve"> 1 объект (МАУ </w:t>
      </w:r>
      <w:r w:rsidR="003228A3">
        <w:rPr>
          <w:rStyle w:val="FontStyle21"/>
        </w:rPr>
        <w:t>«</w:t>
      </w:r>
      <w:r w:rsidR="00051B62" w:rsidRPr="00815B03">
        <w:rPr>
          <w:rStyle w:val="FontStyle21"/>
        </w:rPr>
        <w:t>Городской культурный центр</w:t>
      </w:r>
      <w:r w:rsidR="003228A3">
        <w:rPr>
          <w:rStyle w:val="FontStyle21"/>
        </w:rPr>
        <w:t>»</w:t>
      </w:r>
      <w:r w:rsidR="00051B62" w:rsidRPr="00815B03">
        <w:rPr>
          <w:rStyle w:val="FontStyle21"/>
        </w:rPr>
        <w:t xml:space="preserve">) – </w:t>
      </w:r>
      <w:r w:rsidR="003228A3">
        <w:rPr>
          <w:rStyle w:val="FontStyle22"/>
          <w:sz w:val="26"/>
          <w:szCs w:val="26"/>
        </w:rPr>
        <w:t>в</w:t>
      </w:r>
      <w:r w:rsidR="00051B62" w:rsidRPr="00815B03">
        <w:rPr>
          <w:rStyle w:val="FontStyle22"/>
          <w:sz w:val="26"/>
          <w:szCs w:val="26"/>
        </w:rPr>
        <w:t>ыполнение ПИР завершен</w:t>
      </w:r>
      <w:r w:rsidR="00CE153D">
        <w:rPr>
          <w:rStyle w:val="FontStyle22"/>
          <w:sz w:val="26"/>
          <w:szCs w:val="26"/>
        </w:rPr>
        <w:t>о</w:t>
      </w:r>
      <w:r w:rsidR="00051B62" w:rsidRPr="00815B03">
        <w:rPr>
          <w:rStyle w:val="FontStyle22"/>
          <w:sz w:val="26"/>
          <w:szCs w:val="26"/>
        </w:rPr>
        <w:t xml:space="preserve"> в марте 2023 года в рамках муниципального контракта от 02.07.2020 №11П/2020 между МКУ </w:t>
      </w:r>
      <w:r w:rsidR="003228A3">
        <w:rPr>
          <w:rStyle w:val="FontStyle22"/>
          <w:sz w:val="26"/>
          <w:szCs w:val="26"/>
        </w:rPr>
        <w:t>«</w:t>
      </w:r>
      <w:r w:rsidR="00051B62" w:rsidRPr="00815B03">
        <w:rPr>
          <w:rStyle w:val="FontStyle22"/>
          <w:sz w:val="26"/>
          <w:szCs w:val="26"/>
        </w:rPr>
        <w:t xml:space="preserve">Управление капитального </w:t>
      </w:r>
      <w:r w:rsidR="00051B62" w:rsidRPr="00815B03">
        <w:rPr>
          <w:rStyle w:val="FontStyle22"/>
          <w:sz w:val="26"/>
          <w:szCs w:val="26"/>
        </w:rPr>
        <w:lastRenderedPageBreak/>
        <w:t>строительства</w:t>
      </w:r>
      <w:r w:rsidR="003228A3">
        <w:rPr>
          <w:rStyle w:val="FontStyle22"/>
          <w:sz w:val="26"/>
          <w:szCs w:val="26"/>
        </w:rPr>
        <w:t>»</w:t>
      </w:r>
      <w:r w:rsidR="00051B62" w:rsidRPr="00815B03">
        <w:rPr>
          <w:rStyle w:val="FontStyle22"/>
          <w:sz w:val="26"/>
          <w:szCs w:val="26"/>
        </w:rPr>
        <w:t xml:space="preserve"> и ООО </w:t>
      </w:r>
      <w:r w:rsidR="003228A3">
        <w:rPr>
          <w:rStyle w:val="FontStyle22"/>
          <w:sz w:val="26"/>
          <w:szCs w:val="26"/>
        </w:rPr>
        <w:t>«</w:t>
      </w:r>
      <w:r w:rsidR="00051B62" w:rsidRPr="00815B03">
        <w:rPr>
          <w:rStyle w:val="FontStyle22"/>
          <w:sz w:val="26"/>
          <w:szCs w:val="26"/>
        </w:rPr>
        <w:t>Стройуслуга</w:t>
      </w:r>
      <w:r w:rsidR="003228A3">
        <w:rPr>
          <w:rStyle w:val="FontStyle22"/>
          <w:sz w:val="26"/>
          <w:szCs w:val="26"/>
        </w:rPr>
        <w:t>»</w:t>
      </w:r>
      <w:r w:rsidR="00051B62" w:rsidRPr="00815B03">
        <w:rPr>
          <w:rStyle w:val="FontStyle22"/>
          <w:sz w:val="26"/>
          <w:szCs w:val="26"/>
        </w:rPr>
        <w:t>.</w:t>
      </w:r>
      <w:r w:rsidRPr="00815B03">
        <w:rPr>
          <w:rStyle w:val="FontStyle22"/>
          <w:sz w:val="26"/>
          <w:szCs w:val="26"/>
        </w:rPr>
        <w:t xml:space="preserve"> </w:t>
      </w:r>
      <w:r w:rsidR="00051B62" w:rsidRPr="00815B03">
        <w:rPr>
          <w:rStyle w:val="FontStyle22"/>
          <w:sz w:val="26"/>
          <w:szCs w:val="26"/>
        </w:rPr>
        <w:t xml:space="preserve">Проектно-сметная документация проходит государственную экспертизу. Занесены сведения об инвестиционном проекте со сроком строительства 2024-2027 годы в программном обеспечении </w:t>
      </w:r>
      <w:r w:rsidR="003228A3">
        <w:rPr>
          <w:rStyle w:val="FontStyle22"/>
          <w:sz w:val="26"/>
          <w:szCs w:val="26"/>
        </w:rPr>
        <w:t>«</w:t>
      </w:r>
      <w:r w:rsidR="00051B62" w:rsidRPr="00815B03">
        <w:rPr>
          <w:rStyle w:val="FontStyle22"/>
          <w:sz w:val="26"/>
          <w:szCs w:val="26"/>
        </w:rPr>
        <w:t xml:space="preserve">Оценка инвестиционных проектов Ханты-Мансийского автономного округа </w:t>
      </w:r>
      <w:r w:rsidR="003228A3">
        <w:rPr>
          <w:rStyle w:val="FontStyle22"/>
          <w:sz w:val="26"/>
          <w:szCs w:val="26"/>
        </w:rPr>
        <w:t>–</w:t>
      </w:r>
      <w:r w:rsidR="00051B62" w:rsidRPr="00815B03">
        <w:rPr>
          <w:rStyle w:val="FontStyle22"/>
          <w:sz w:val="26"/>
          <w:szCs w:val="26"/>
        </w:rPr>
        <w:t xml:space="preserve"> Югры</w:t>
      </w:r>
      <w:r w:rsidR="003228A3">
        <w:rPr>
          <w:rStyle w:val="FontStyle22"/>
          <w:sz w:val="26"/>
          <w:szCs w:val="26"/>
        </w:rPr>
        <w:t>»</w:t>
      </w:r>
      <w:r w:rsidR="00051B62" w:rsidRPr="00815B03">
        <w:rPr>
          <w:rStyle w:val="FontStyle22"/>
          <w:sz w:val="26"/>
          <w:szCs w:val="26"/>
        </w:rPr>
        <w:t xml:space="preserve"> для его дальнейшего согласования окружными департаментами. Объект предложен для включения в федеральную адресную инвестиционную программу, государственную программу Ханты-Мансийского автономного округа -Югры </w:t>
      </w:r>
      <w:r w:rsidR="003228A3">
        <w:rPr>
          <w:rStyle w:val="FontStyle22"/>
          <w:sz w:val="26"/>
          <w:szCs w:val="26"/>
        </w:rPr>
        <w:t>«</w:t>
      </w:r>
      <w:r w:rsidR="00051B62" w:rsidRPr="00815B03">
        <w:rPr>
          <w:rStyle w:val="FontStyle22"/>
          <w:sz w:val="26"/>
          <w:szCs w:val="26"/>
        </w:rPr>
        <w:t>Строительство</w:t>
      </w:r>
      <w:r w:rsidR="003228A3">
        <w:rPr>
          <w:rStyle w:val="FontStyle22"/>
          <w:sz w:val="26"/>
          <w:szCs w:val="26"/>
        </w:rPr>
        <w:t>»;</w:t>
      </w:r>
    </w:p>
    <w:p w:rsidR="00051B62" w:rsidRPr="00815B03" w:rsidRDefault="00051B62" w:rsidP="000C460F">
      <w:pPr>
        <w:pStyle w:val="Style5"/>
        <w:widowControl/>
        <w:spacing w:line="240" w:lineRule="auto"/>
        <w:ind w:firstLine="567"/>
        <w:rPr>
          <w:rStyle w:val="FontStyle21"/>
        </w:rPr>
      </w:pPr>
      <w:r w:rsidRPr="00815B03">
        <w:rPr>
          <w:rStyle w:val="FontStyle21"/>
        </w:rPr>
        <w:t>2)</w:t>
      </w:r>
      <w:r w:rsidR="003228A3">
        <w:rPr>
          <w:rStyle w:val="FontStyle21"/>
        </w:rPr>
        <w:t xml:space="preserve"> </w:t>
      </w:r>
      <w:r w:rsidRPr="00815B03">
        <w:rPr>
          <w:rStyle w:val="FontStyle21"/>
        </w:rPr>
        <w:t xml:space="preserve">создание объектов: к 2036 году </w:t>
      </w:r>
      <w:r w:rsidR="003228A3">
        <w:rPr>
          <w:rStyle w:val="FontStyle21"/>
        </w:rPr>
        <w:t>–</w:t>
      </w:r>
      <w:r w:rsidRPr="00815B03">
        <w:rPr>
          <w:rStyle w:val="FontStyle21"/>
        </w:rPr>
        <w:t xml:space="preserve"> 4 объекта (театр актера и куклы, отдельное здание для МБУК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Сургутский художественный музей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 xml:space="preserve">, отдельное здание для МБУК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Сургутский краеведческий музей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>, экспозиционно -выставочные площади);</w:t>
      </w:r>
      <w:r w:rsidR="00CE153D">
        <w:rPr>
          <w:rStyle w:val="FontStyle21"/>
        </w:rPr>
        <w:t xml:space="preserve"> </w:t>
      </w:r>
      <w:r w:rsidRPr="00815B03">
        <w:rPr>
          <w:rStyle w:val="FontStyle21"/>
        </w:rPr>
        <w:t>к 2050 году - 1 объект (библиотечный центр)</w:t>
      </w:r>
      <w:r w:rsidR="000C460F" w:rsidRPr="00815B03">
        <w:rPr>
          <w:rStyle w:val="FontStyle21"/>
        </w:rPr>
        <w:t xml:space="preserve"> – </w:t>
      </w:r>
      <w:r w:rsidR="003228A3">
        <w:rPr>
          <w:rStyle w:val="FontStyle21"/>
        </w:rPr>
        <w:t>с</w:t>
      </w:r>
      <w:r w:rsidR="000C460F" w:rsidRPr="00815B03">
        <w:rPr>
          <w:rStyle w:val="FontStyle21"/>
        </w:rPr>
        <w:t xml:space="preserve">редства на выполнение проектной документации на строительство театра актера и куклы выделены на 2025 год, предусмотрены в рамках муниципальной программы </w:t>
      </w:r>
      <w:r w:rsidR="003228A3">
        <w:rPr>
          <w:rStyle w:val="FontStyle21"/>
        </w:rPr>
        <w:t>«</w:t>
      </w:r>
      <w:r w:rsidR="000C460F" w:rsidRPr="00815B03">
        <w:rPr>
          <w:rStyle w:val="FontStyle21"/>
        </w:rPr>
        <w:t>Развитие культуры в городе Сургуте на период до 2030 года</w:t>
      </w:r>
      <w:r w:rsidR="003228A3">
        <w:rPr>
          <w:rStyle w:val="FontStyle21"/>
        </w:rPr>
        <w:t>»</w:t>
      </w:r>
      <w:r w:rsidR="000C460F" w:rsidRPr="00815B03">
        <w:rPr>
          <w:rStyle w:val="FontStyle21"/>
        </w:rPr>
        <w:t>, утвержденной постановлением Администрации города от 13.12.2013 № 8976. Администрацией города проводится работа по включению объекта строительства в государственные программы.</w:t>
      </w:r>
    </w:p>
    <w:p w:rsidR="00051B62" w:rsidRPr="00815B03" w:rsidRDefault="000C460F" w:rsidP="000C460F">
      <w:pPr>
        <w:pStyle w:val="Style5"/>
        <w:widowControl/>
        <w:spacing w:line="240" w:lineRule="auto"/>
        <w:ind w:firstLine="566"/>
        <w:rPr>
          <w:rStyle w:val="FontStyle21"/>
        </w:rPr>
      </w:pPr>
      <w:r w:rsidRPr="00815B03">
        <w:rPr>
          <w:rStyle w:val="FontStyle21"/>
        </w:rPr>
        <w:t>Также Стратегией предусмотрено:</w:t>
      </w:r>
    </w:p>
    <w:p w:rsidR="000C460F" w:rsidRPr="00815B03" w:rsidRDefault="000C460F" w:rsidP="000C460F">
      <w:pPr>
        <w:pStyle w:val="Style5"/>
        <w:widowControl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rStyle w:val="FontStyle21"/>
        </w:rPr>
      </w:pPr>
      <w:r w:rsidRPr="00815B03">
        <w:rPr>
          <w:rStyle w:val="FontStyle21"/>
        </w:rPr>
        <w:t xml:space="preserve">реконструкция объектов: к 2026 году </w:t>
      </w:r>
      <w:r w:rsidR="003228A3">
        <w:rPr>
          <w:rStyle w:val="FontStyle21"/>
        </w:rPr>
        <w:t>–</w:t>
      </w:r>
      <w:r w:rsidRPr="00815B03">
        <w:rPr>
          <w:rStyle w:val="FontStyle21"/>
        </w:rPr>
        <w:t xml:space="preserve"> 1 объект (музейно-выставочное здание мемориального комплекса геологов-первопроходцев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Дом Ф.К. Салманова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 xml:space="preserve"> МБУК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Сургутский краеведческий музей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>)</w:t>
      </w:r>
      <w:r w:rsidR="003228A3">
        <w:rPr>
          <w:rStyle w:val="FontStyle21"/>
        </w:rPr>
        <w:t>.</w:t>
      </w:r>
      <w:r w:rsidRPr="00815B03">
        <w:rPr>
          <w:rStyle w:val="FontStyle21"/>
        </w:rPr>
        <w:t xml:space="preserve"> Дом Ф.К. Салманова включен в единый государственный реестр объектов культурного наследия народов Российской Федерации. Экспозиционные площади на объекте весьма ограничены, не удовлетворяют современным требованиям стандарта качества по представлению музейной услуги. Существует потребность в приобретении нежилого здания для размещения музейно-выставочного пространства на территории мемориального комплекса геологов-первопроходцев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Дом Ф.К. Салманова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 xml:space="preserve"> МБУК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Сургутский краеведческий музей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>, предназначенного для размещения экспозиционных площадей, проведения интерактивных занятий и других массовых мероприятий. Администрацией города проводится работа по включению объекта строительства в государственные программы;</w:t>
      </w:r>
    </w:p>
    <w:p w:rsidR="000C460F" w:rsidRPr="00815B03" w:rsidRDefault="000C460F" w:rsidP="000C460F">
      <w:pPr>
        <w:pStyle w:val="Style5"/>
        <w:widowControl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rStyle w:val="FontStyle21"/>
        </w:rPr>
      </w:pPr>
      <w:r w:rsidRPr="00815B03">
        <w:rPr>
          <w:rStyle w:val="FontStyle21"/>
        </w:rPr>
        <w:t>поэтапное создание объектов:</w:t>
      </w:r>
    </w:p>
    <w:p w:rsidR="000C460F" w:rsidRPr="00815B03" w:rsidRDefault="000C460F" w:rsidP="000C460F">
      <w:pPr>
        <w:pStyle w:val="Style5"/>
        <w:widowControl/>
        <w:tabs>
          <w:tab w:val="left" w:pos="851"/>
        </w:tabs>
        <w:spacing w:line="240" w:lineRule="auto"/>
        <w:ind w:firstLine="567"/>
        <w:rPr>
          <w:rStyle w:val="FontStyle21"/>
        </w:rPr>
      </w:pPr>
      <w:r w:rsidRPr="00815B03">
        <w:rPr>
          <w:rStyle w:val="FontStyle21"/>
        </w:rPr>
        <w:t xml:space="preserve">к 2031 году </w:t>
      </w:r>
      <w:r w:rsidR="003228A3">
        <w:rPr>
          <w:rStyle w:val="FontStyle21"/>
        </w:rPr>
        <w:t>–</w:t>
      </w:r>
      <w:r w:rsidRPr="00815B03">
        <w:rPr>
          <w:rStyle w:val="FontStyle21"/>
        </w:rPr>
        <w:t xml:space="preserve"> не менее 3 объектов, из них: 30% по индивидуальному проекту;</w:t>
      </w:r>
    </w:p>
    <w:p w:rsidR="000C460F" w:rsidRPr="00815B03" w:rsidRDefault="000C460F" w:rsidP="000C460F">
      <w:pPr>
        <w:pStyle w:val="Style5"/>
        <w:widowControl/>
        <w:tabs>
          <w:tab w:val="left" w:pos="851"/>
        </w:tabs>
        <w:spacing w:line="240" w:lineRule="auto"/>
        <w:ind w:firstLine="567"/>
        <w:rPr>
          <w:rStyle w:val="FontStyle21"/>
        </w:rPr>
      </w:pPr>
      <w:r w:rsidRPr="00815B03">
        <w:rPr>
          <w:rStyle w:val="FontStyle21"/>
        </w:rPr>
        <w:t xml:space="preserve">к 2036 году </w:t>
      </w:r>
      <w:r w:rsidR="003228A3">
        <w:rPr>
          <w:rStyle w:val="FontStyle21"/>
        </w:rPr>
        <w:t>–</w:t>
      </w:r>
      <w:r w:rsidRPr="00815B03">
        <w:rPr>
          <w:rStyle w:val="FontStyle21"/>
        </w:rPr>
        <w:t xml:space="preserve"> не менее 46 объектов, из них: 10% по индивидуальному проекту;</w:t>
      </w:r>
    </w:p>
    <w:p w:rsidR="000C460F" w:rsidRPr="00815B03" w:rsidRDefault="000C460F" w:rsidP="000C460F">
      <w:pPr>
        <w:pStyle w:val="Style5"/>
        <w:widowControl/>
        <w:tabs>
          <w:tab w:val="left" w:pos="851"/>
        </w:tabs>
        <w:spacing w:line="240" w:lineRule="auto"/>
        <w:ind w:firstLine="567"/>
        <w:rPr>
          <w:rStyle w:val="FontStyle21"/>
        </w:rPr>
      </w:pPr>
      <w:r w:rsidRPr="00815B03">
        <w:rPr>
          <w:rStyle w:val="FontStyle21"/>
        </w:rPr>
        <w:t xml:space="preserve">к 2044 году </w:t>
      </w:r>
      <w:r w:rsidR="003228A3">
        <w:rPr>
          <w:rStyle w:val="FontStyle21"/>
        </w:rPr>
        <w:t>–</w:t>
      </w:r>
      <w:r w:rsidRPr="00815B03">
        <w:rPr>
          <w:rStyle w:val="FontStyle21"/>
        </w:rPr>
        <w:t xml:space="preserve"> не менее 49 объектов, из них: 10% по индивидуальному проекту;</w:t>
      </w:r>
    </w:p>
    <w:p w:rsidR="000C460F" w:rsidRPr="00815B03" w:rsidRDefault="000C460F" w:rsidP="000C460F">
      <w:pPr>
        <w:pStyle w:val="Style5"/>
        <w:widowControl/>
        <w:tabs>
          <w:tab w:val="left" w:pos="851"/>
        </w:tabs>
        <w:spacing w:line="240" w:lineRule="auto"/>
        <w:ind w:firstLine="567"/>
        <w:rPr>
          <w:rStyle w:val="FontStyle21"/>
        </w:rPr>
      </w:pPr>
      <w:r w:rsidRPr="00815B03">
        <w:rPr>
          <w:rStyle w:val="FontStyle21"/>
        </w:rPr>
        <w:t xml:space="preserve">к 2050 году </w:t>
      </w:r>
      <w:r w:rsidR="003228A3">
        <w:rPr>
          <w:rStyle w:val="FontStyle21"/>
        </w:rPr>
        <w:t>–</w:t>
      </w:r>
      <w:r w:rsidRPr="00815B03">
        <w:rPr>
          <w:rStyle w:val="FontStyle21"/>
        </w:rPr>
        <w:t xml:space="preserve"> не менее 3 объектов, из них: 10% по индивидуальному проекту.</w:t>
      </w:r>
    </w:p>
    <w:p w:rsidR="000C460F" w:rsidRPr="00815B03" w:rsidRDefault="000C460F" w:rsidP="000C460F">
      <w:pPr>
        <w:pStyle w:val="Style5"/>
        <w:widowControl/>
        <w:spacing w:line="240" w:lineRule="auto"/>
        <w:rPr>
          <w:rStyle w:val="FontStyle21"/>
        </w:rPr>
      </w:pPr>
    </w:p>
    <w:p w:rsidR="00692BD7" w:rsidRPr="003228A3" w:rsidRDefault="00692BD7" w:rsidP="000C460F">
      <w:pPr>
        <w:pStyle w:val="Style5"/>
        <w:widowControl/>
        <w:spacing w:line="240" w:lineRule="auto"/>
        <w:rPr>
          <w:rStyle w:val="FontStyle21"/>
        </w:rPr>
      </w:pPr>
      <w:r w:rsidRPr="003228A3">
        <w:rPr>
          <w:rStyle w:val="FontStyle21"/>
        </w:rPr>
        <w:t>Раздел III. Анализ реализации мероприятий, флагманских проектов и проектов плана мероприятий по реализации Стратегии социально-экономического развития муниципального образования городской округ Сургут Ханты-Мансийского автономного округа - Югры.</w:t>
      </w:r>
    </w:p>
    <w:p w:rsidR="00692BD7" w:rsidRPr="003228A3" w:rsidRDefault="00692BD7" w:rsidP="000C460F">
      <w:pPr>
        <w:pStyle w:val="Style5"/>
        <w:widowControl/>
        <w:spacing w:line="240" w:lineRule="auto"/>
        <w:ind w:firstLine="566"/>
        <w:rPr>
          <w:rStyle w:val="FontStyle21"/>
        </w:rPr>
      </w:pPr>
      <w:r w:rsidRPr="003228A3">
        <w:rPr>
          <w:rStyle w:val="FontStyle21"/>
        </w:rPr>
        <w:t>Анализ реализации плана мероприятий по реализации Стратегии представлен в приложении 2 к отчету.</w:t>
      </w:r>
    </w:p>
    <w:p w:rsidR="00692BD7" w:rsidRPr="003228A3" w:rsidRDefault="00692BD7" w:rsidP="000C460F">
      <w:pPr>
        <w:pStyle w:val="Style5"/>
        <w:widowControl/>
        <w:spacing w:line="240" w:lineRule="auto"/>
        <w:ind w:firstLine="557"/>
        <w:rPr>
          <w:sz w:val="26"/>
          <w:szCs w:val="26"/>
        </w:rPr>
      </w:pPr>
    </w:p>
    <w:p w:rsidR="00692BD7" w:rsidRPr="00815B03" w:rsidRDefault="00692BD7" w:rsidP="000C460F">
      <w:pPr>
        <w:pStyle w:val="Style5"/>
        <w:widowControl/>
        <w:spacing w:line="240" w:lineRule="auto"/>
        <w:ind w:firstLine="557"/>
        <w:rPr>
          <w:rStyle w:val="FontStyle21"/>
        </w:rPr>
      </w:pPr>
      <w:r w:rsidRPr="003228A3">
        <w:rPr>
          <w:rStyle w:val="FontStyle21"/>
        </w:rPr>
        <w:t>Раздел IV. По результатам проведенного анализа можно сделать следующие выводы:</w:t>
      </w:r>
    </w:p>
    <w:p w:rsidR="00692BD7" w:rsidRPr="00815B03" w:rsidRDefault="00692BD7" w:rsidP="000C460F">
      <w:pPr>
        <w:pStyle w:val="Style5"/>
        <w:widowControl/>
        <w:spacing w:line="240" w:lineRule="auto"/>
        <w:rPr>
          <w:rStyle w:val="FontStyle21"/>
        </w:rPr>
      </w:pPr>
      <w:r w:rsidRPr="00815B03">
        <w:rPr>
          <w:rStyle w:val="FontStyle21"/>
        </w:rPr>
        <w:t xml:space="preserve">В течение </w:t>
      </w:r>
      <w:r w:rsidR="000C460F" w:rsidRPr="00815B03">
        <w:rPr>
          <w:rStyle w:val="FontStyle21"/>
          <w:lang w:val="en-US"/>
        </w:rPr>
        <w:t>I</w:t>
      </w:r>
      <w:r w:rsidR="000C460F" w:rsidRPr="00815B03">
        <w:rPr>
          <w:rStyle w:val="FontStyle21"/>
        </w:rPr>
        <w:t xml:space="preserve"> полугодия 2024 года</w:t>
      </w:r>
      <w:r w:rsidRPr="00815B03">
        <w:rPr>
          <w:rStyle w:val="FontStyle21"/>
        </w:rPr>
        <w:t xml:space="preserve"> реализация вектора </w:t>
      </w:r>
      <w:r w:rsidR="003228A3">
        <w:rPr>
          <w:rStyle w:val="FontStyle21"/>
        </w:rPr>
        <w:t>«</w:t>
      </w:r>
      <w:r w:rsidRPr="00815B03">
        <w:rPr>
          <w:rStyle w:val="FontStyle21"/>
        </w:rPr>
        <w:t>Культура</w:t>
      </w:r>
      <w:r w:rsidR="003228A3">
        <w:rPr>
          <w:rStyle w:val="FontStyle21"/>
        </w:rPr>
        <w:t>»</w:t>
      </w:r>
      <w:r w:rsidRPr="00815B03">
        <w:rPr>
          <w:rStyle w:val="FontStyle21"/>
        </w:rPr>
        <w:t xml:space="preserve"> осуществлялась в соответствии с целью и задачами, направленными на ее достижение.</w:t>
      </w:r>
    </w:p>
    <w:p w:rsidR="00692BD7" w:rsidRPr="00815B03" w:rsidRDefault="00692BD7" w:rsidP="000C460F">
      <w:pPr>
        <w:pStyle w:val="Style5"/>
        <w:widowControl/>
        <w:spacing w:line="240" w:lineRule="auto"/>
        <w:rPr>
          <w:rStyle w:val="FontStyle21"/>
        </w:rPr>
      </w:pPr>
      <w:r w:rsidRPr="00815B03">
        <w:rPr>
          <w:rStyle w:val="FontStyle21"/>
        </w:rPr>
        <w:t>Требует дальнейшего решения задача инфраструктурного обеспечения сферы культуры, вопрос строительства новых объектов остается приоритетным в рамках реализации Стратегии.</w:t>
      </w:r>
    </w:p>
    <w:p w:rsidR="00692BD7" w:rsidRDefault="00692BD7">
      <w:pPr>
        <w:pStyle w:val="Style5"/>
        <w:widowControl/>
        <w:rPr>
          <w:rStyle w:val="FontStyle21"/>
        </w:rPr>
        <w:sectPr w:rsidR="00692BD7" w:rsidSect="000C460F">
          <w:type w:val="continuous"/>
          <w:pgSz w:w="11906" w:h="16838" w:code="9"/>
          <w:pgMar w:top="993" w:right="707" w:bottom="360" w:left="1080" w:header="720" w:footer="720" w:gutter="0"/>
          <w:cols w:space="60"/>
          <w:noEndnote/>
          <w:docGrid w:linePitch="326"/>
        </w:sectPr>
      </w:pPr>
    </w:p>
    <w:p w:rsidR="00145B0E" w:rsidRPr="003E1298" w:rsidRDefault="00692BD7" w:rsidP="003E1298">
      <w:pPr>
        <w:pStyle w:val="Style6"/>
        <w:widowControl/>
        <w:ind w:left="10915"/>
        <w:rPr>
          <w:rStyle w:val="FontStyle21"/>
          <w:sz w:val="22"/>
          <w:szCs w:val="22"/>
        </w:rPr>
      </w:pPr>
      <w:r w:rsidRPr="003E1298">
        <w:rPr>
          <w:rStyle w:val="FontStyle21"/>
          <w:sz w:val="22"/>
          <w:szCs w:val="22"/>
        </w:rPr>
        <w:lastRenderedPageBreak/>
        <w:t>Приложение 1</w:t>
      </w:r>
      <w:r w:rsidR="003E1298" w:rsidRPr="003E1298">
        <w:rPr>
          <w:rStyle w:val="FontStyle21"/>
          <w:sz w:val="22"/>
          <w:szCs w:val="22"/>
        </w:rPr>
        <w:br/>
      </w:r>
      <w:r w:rsidRPr="003E1298">
        <w:rPr>
          <w:rStyle w:val="FontStyle21"/>
          <w:sz w:val="22"/>
          <w:szCs w:val="22"/>
        </w:rPr>
        <w:t xml:space="preserve">к отчету о реализации вектора </w:t>
      </w:r>
      <w:r w:rsidR="003228A3">
        <w:rPr>
          <w:rStyle w:val="FontStyle21"/>
          <w:sz w:val="22"/>
          <w:szCs w:val="22"/>
        </w:rPr>
        <w:t>«</w:t>
      </w:r>
      <w:r w:rsidRPr="003E1298">
        <w:rPr>
          <w:rStyle w:val="FontStyle21"/>
          <w:sz w:val="22"/>
          <w:szCs w:val="22"/>
        </w:rPr>
        <w:t>Культура</w:t>
      </w:r>
      <w:r w:rsidR="003228A3">
        <w:rPr>
          <w:rStyle w:val="FontStyle21"/>
          <w:sz w:val="22"/>
          <w:szCs w:val="22"/>
        </w:rPr>
        <w:t>»</w:t>
      </w:r>
      <w:r w:rsidRPr="003E1298">
        <w:rPr>
          <w:rStyle w:val="FontStyle21"/>
          <w:sz w:val="22"/>
          <w:szCs w:val="22"/>
        </w:rPr>
        <w:t xml:space="preserve"> направления </w:t>
      </w:r>
      <w:r w:rsidR="003228A3">
        <w:rPr>
          <w:rStyle w:val="FontStyle21"/>
          <w:sz w:val="22"/>
          <w:szCs w:val="22"/>
        </w:rPr>
        <w:t>«</w:t>
      </w:r>
      <w:r w:rsidRPr="003E1298">
        <w:rPr>
          <w:rStyle w:val="FontStyle21"/>
          <w:sz w:val="22"/>
          <w:szCs w:val="22"/>
        </w:rPr>
        <w:t>Человеческий капитал</w:t>
      </w:r>
      <w:r w:rsidR="003228A3">
        <w:rPr>
          <w:rStyle w:val="FontStyle21"/>
          <w:sz w:val="22"/>
          <w:szCs w:val="22"/>
        </w:rPr>
        <w:t>»</w:t>
      </w:r>
    </w:p>
    <w:p w:rsidR="00692BD7" w:rsidRPr="003E1298" w:rsidRDefault="00692BD7" w:rsidP="003E1298">
      <w:pPr>
        <w:pStyle w:val="Style6"/>
        <w:widowControl/>
        <w:ind w:left="10915"/>
        <w:rPr>
          <w:rStyle w:val="FontStyle21"/>
          <w:sz w:val="22"/>
          <w:szCs w:val="22"/>
        </w:rPr>
      </w:pPr>
      <w:r w:rsidRPr="003E1298">
        <w:rPr>
          <w:rStyle w:val="FontStyle21"/>
          <w:sz w:val="22"/>
          <w:szCs w:val="22"/>
        </w:rPr>
        <w:t>за I полугодие 2024 года</w:t>
      </w:r>
    </w:p>
    <w:p w:rsidR="00692BD7" w:rsidRPr="003E1298" w:rsidRDefault="00692BD7" w:rsidP="00145B0E">
      <w:pPr>
        <w:pStyle w:val="Style6"/>
        <w:widowControl/>
        <w:ind w:left="1315"/>
        <w:rPr>
          <w:sz w:val="22"/>
          <w:szCs w:val="22"/>
        </w:rPr>
      </w:pPr>
    </w:p>
    <w:p w:rsidR="00692BD7" w:rsidRDefault="00692BD7" w:rsidP="00145B0E">
      <w:pPr>
        <w:pStyle w:val="Style6"/>
        <w:widowControl/>
        <w:ind w:left="1315"/>
        <w:rPr>
          <w:rStyle w:val="FontStyle21"/>
        </w:rPr>
      </w:pPr>
      <w:r>
        <w:rPr>
          <w:rStyle w:val="FontStyle21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Ханты-Мансийского автономного округа - Югры</w:t>
      </w:r>
    </w:p>
    <w:p w:rsidR="00692BD7" w:rsidRDefault="00692BD7" w:rsidP="00145B0E">
      <w:pPr>
        <w:pStyle w:val="Style6"/>
        <w:widowControl/>
        <w:jc w:val="center"/>
        <w:rPr>
          <w:rStyle w:val="FontStyle21"/>
        </w:rPr>
      </w:pPr>
      <w:r>
        <w:rPr>
          <w:rStyle w:val="FontStyle21"/>
        </w:rPr>
        <w:t>на период до 2036 года с целевыми ориентирами до 2050 года</w:t>
      </w:r>
    </w:p>
    <w:p w:rsidR="00692BD7" w:rsidRDefault="00692BD7" w:rsidP="00145B0E">
      <w:pPr>
        <w:pStyle w:val="Style6"/>
        <w:widowControl/>
        <w:jc w:val="center"/>
        <w:rPr>
          <w:rStyle w:val="FontStyle21"/>
        </w:rPr>
      </w:pPr>
      <w:r>
        <w:rPr>
          <w:rStyle w:val="FontStyle21"/>
        </w:rPr>
        <w:t xml:space="preserve">за </w:t>
      </w:r>
      <w:r>
        <w:rPr>
          <w:rStyle w:val="FontStyle21"/>
          <w:lang w:val="en-US"/>
        </w:rPr>
        <w:t xml:space="preserve">I </w:t>
      </w:r>
      <w:r>
        <w:rPr>
          <w:rStyle w:val="FontStyle21"/>
        </w:rPr>
        <w:t>полугодие 2024 года</w:t>
      </w:r>
    </w:p>
    <w:p w:rsidR="00145B0E" w:rsidRDefault="00145B0E" w:rsidP="00145B0E">
      <w:pPr>
        <w:pStyle w:val="Style6"/>
        <w:widowControl/>
        <w:jc w:val="center"/>
        <w:rPr>
          <w:rStyle w:val="FontStyle21"/>
        </w:rPr>
      </w:pPr>
    </w:p>
    <w:p w:rsidR="00692BD7" w:rsidRDefault="00692BD7" w:rsidP="00145B0E">
      <w:pPr>
        <w:widowControl/>
        <w:rPr>
          <w:sz w:val="2"/>
          <w:szCs w:val="2"/>
        </w:rPr>
      </w:pPr>
    </w:p>
    <w:tbl>
      <w:tblPr>
        <w:tblW w:w="149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7"/>
        <w:gridCol w:w="1843"/>
        <w:gridCol w:w="2270"/>
        <w:gridCol w:w="2419"/>
      </w:tblGrid>
      <w:tr w:rsidR="00692BD7" w:rsidTr="00C837D4">
        <w:tc>
          <w:tcPr>
            <w:tcW w:w="8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2BD7" w:rsidRDefault="00692BD7" w:rsidP="00145B0E">
            <w:pPr>
              <w:pStyle w:val="Style17"/>
              <w:widowControl/>
              <w:spacing w:line="240" w:lineRule="auto"/>
              <w:ind w:left="3504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2BD7" w:rsidRDefault="00692BD7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План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2BD7" w:rsidRDefault="00692BD7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Факт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2BD7" w:rsidRDefault="00692BD7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Исполнение</w:t>
            </w:r>
          </w:p>
        </w:tc>
      </w:tr>
      <w:tr w:rsidR="00692BD7" w:rsidTr="00C837D4">
        <w:tc>
          <w:tcPr>
            <w:tcW w:w="8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Default="00692BD7" w:rsidP="00145B0E">
            <w:pPr>
              <w:pStyle w:val="Style16"/>
              <w:widowControl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Default="00692BD7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2026 год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Default="00692BD7" w:rsidP="00145B0E">
            <w:pPr>
              <w:pStyle w:val="Style17"/>
              <w:widowControl/>
              <w:spacing w:line="240" w:lineRule="auto"/>
              <w:ind w:left="422"/>
              <w:rPr>
                <w:rStyle w:val="FontStyle22"/>
              </w:rPr>
            </w:pPr>
            <w:r>
              <w:rPr>
                <w:rStyle w:val="FontStyle22"/>
              </w:rPr>
              <w:t>I полугодие 2024 года</w:t>
            </w:r>
          </w:p>
        </w:tc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Default="00692BD7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(%)</w:t>
            </w:r>
          </w:p>
        </w:tc>
      </w:tr>
      <w:tr w:rsidR="00692BD7" w:rsidTr="00C837D4">
        <w:tc>
          <w:tcPr>
            <w:tcW w:w="14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Default="00692BD7" w:rsidP="00145B0E">
            <w:pPr>
              <w:pStyle w:val="Style1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Глава 13. Направление </w:t>
            </w:r>
            <w:r w:rsidR="003228A3">
              <w:rPr>
                <w:rStyle w:val="FontStyle22"/>
              </w:rPr>
              <w:t>«</w:t>
            </w:r>
            <w:r>
              <w:rPr>
                <w:rStyle w:val="FontStyle22"/>
              </w:rPr>
              <w:t>Человеческий капитал</w:t>
            </w:r>
            <w:r w:rsidR="003228A3">
              <w:rPr>
                <w:rStyle w:val="FontStyle22"/>
              </w:rPr>
              <w:t>»</w:t>
            </w:r>
          </w:p>
        </w:tc>
      </w:tr>
      <w:tr w:rsidR="00692BD7" w:rsidTr="00C837D4">
        <w:tc>
          <w:tcPr>
            <w:tcW w:w="14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Default="00692BD7" w:rsidP="00145B0E">
            <w:pPr>
              <w:pStyle w:val="Style1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13.3. Вектор </w:t>
            </w:r>
            <w:r w:rsidR="003228A3">
              <w:rPr>
                <w:rStyle w:val="FontStyle22"/>
              </w:rPr>
              <w:t>«</w:t>
            </w:r>
            <w:r>
              <w:rPr>
                <w:rStyle w:val="FontStyle22"/>
              </w:rPr>
              <w:t>Культура</w:t>
            </w:r>
            <w:r w:rsidR="003228A3">
              <w:rPr>
                <w:rStyle w:val="FontStyle22"/>
              </w:rPr>
              <w:t>»</w:t>
            </w:r>
          </w:p>
        </w:tc>
      </w:tr>
      <w:tr w:rsidR="003E1298" w:rsidTr="00C837D4">
        <w:trPr>
          <w:trHeight w:val="774"/>
        </w:trPr>
        <w:tc>
          <w:tcPr>
            <w:tcW w:w="8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1298" w:rsidRDefault="003E1298" w:rsidP="003E1298">
            <w:pPr>
              <w:pStyle w:val="Style1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37. Уровень удовлетворенности населения доступностью и качеством услуг организаций культуры, % от числа опрошенных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1298" w:rsidRDefault="003E1298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56,2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1298" w:rsidRDefault="003E1298" w:rsidP="003E1298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Показатель рассчитывается по итогам года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1298" w:rsidRDefault="003E1298" w:rsidP="003E1298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Показатель рассчитывается по итогам года</w:t>
            </w:r>
          </w:p>
        </w:tc>
      </w:tr>
      <w:tr w:rsidR="00692BD7" w:rsidTr="00C837D4">
        <w:tc>
          <w:tcPr>
            <w:tcW w:w="8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Default="00692BD7" w:rsidP="00145B0E">
            <w:pPr>
              <w:pStyle w:val="Style1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38. Обеспеченность населения организациями культуры</w:t>
            </w:r>
            <w:r w:rsidR="00787B95">
              <w:rPr>
                <w:rStyle w:val="FontStyle22"/>
              </w:rPr>
              <w:t>,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Default="00692BD7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110,5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F37328" w:rsidRDefault="00692BD7" w:rsidP="003228A3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 w:rsidRPr="00F37328">
              <w:rPr>
                <w:rStyle w:val="FontStyle22"/>
              </w:rPr>
              <w:t>10</w:t>
            </w:r>
            <w:r w:rsidR="003228A3">
              <w:rPr>
                <w:rStyle w:val="FontStyle22"/>
              </w:rPr>
              <w:t>3</w:t>
            </w:r>
            <w:r w:rsidRPr="00F37328">
              <w:rPr>
                <w:rStyle w:val="FontStyle22"/>
              </w:rPr>
              <w:t>,</w:t>
            </w:r>
            <w:r w:rsidR="003228A3">
              <w:rPr>
                <w:rStyle w:val="FontStyle22"/>
              </w:rPr>
              <w:t>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F37328" w:rsidRDefault="00692BD7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 w:rsidRPr="00F37328">
              <w:rPr>
                <w:rStyle w:val="FontStyle22"/>
              </w:rPr>
              <w:t>96,6</w:t>
            </w:r>
          </w:p>
        </w:tc>
      </w:tr>
      <w:tr w:rsidR="003E1298" w:rsidTr="00C837D4">
        <w:trPr>
          <w:trHeight w:val="567"/>
        </w:trPr>
        <w:tc>
          <w:tcPr>
            <w:tcW w:w="8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298" w:rsidRDefault="003E1298" w:rsidP="003E1298">
            <w:pPr>
              <w:pStyle w:val="Style1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39</w:t>
            </w:r>
            <w:r>
              <w:rPr>
                <w:rStyle w:val="FontStyle22"/>
                <w:vertAlign w:val="superscript"/>
              </w:rPr>
              <w:t>1</w:t>
            </w:r>
            <w:r>
              <w:rPr>
                <w:rStyle w:val="FontStyle22"/>
              </w:rPr>
              <w:t>. Рост количества посещений жителями города культурных мероприятий по сравнению с уровнем 2019 года,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298" w:rsidRDefault="003E1298" w:rsidP="00C837D4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2</w:t>
            </w:r>
            <w:r w:rsidR="00C837D4">
              <w:rPr>
                <w:rStyle w:val="FontStyle22"/>
              </w:rPr>
              <w:t>0</w:t>
            </w:r>
            <w:r>
              <w:rPr>
                <w:rStyle w:val="FontStyle22"/>
              </w:rPr>
              <w:t>0,0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298" w:rsidRPr="00F37328" w:rsidRDefault="00F37328" w:rsidP="003D285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 w:rsidRPr="00F37328">
              <w:rPr>
                <w:rStyle w:val="FontStyle22"/>
              </w:rPr>
              <w:t>5</w:t>
            </w:r>
            <w:r w:rsidR="003D285E">
              <w:rPr>
                <w:rStyle w:val="FontStyle22"/>
              </w:rPr>
              <w:t>4</w:t>
            </w:r>
            <w:r w:rsidRPr="00F37328">
              <w:rPr>
                <w:rStyle w:val="FontStyle22"/>
              </w:rPr>
              <w:t>,</w:t>
            </w:r>
            <w:r w:rsidR="003D285E">
              <w:rPr>
                <w:rStyle w:val="FontStyle22"/>
              </w:rPr>
              <w:t>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298" w:rsidRPr="00F37328" w:rsidRDefault="00C837D4" w:rsidP="003D285E">
            <w:pPr>
              <w:pStyle w:val="Style16"/>
              <w:widowControl/>
              <w:jc w:val="center"/>
            </w:pPr>
            <w:r>
              <w:t>2</w:t>
            </w:r>
            <w:r w:rsidR="003D285E">
              <w:t>7</w:t>
            </w:r>
            <w:r w:rsidR="00F37328" w:rsidRPr="00F37328">
              <w:t>,</w:t>
            </w:r>
            <w:r w:rsidR="003D285E">
              <w:t>2</w:t>
            </w:r>
          </w:p>
        </w:tc>
      </w:tr>
    </w:tbl>
    <w:p w:rsidR="00692BD7" w:rsidRDefault="00692BD7" w:rsidP="00145B0E">
      <w:pPr>
        <w:pStyle w:val="Style15"/>
        <w:widowControl/>
        <w:spacing w:line="240" w:lineRule="auto"/>
        <w:ind w:right="11923"/>
        <w:rPr>
          <w:sz w:val="20"/>
          <w:szCs w:val="20"/>
        </w:rPr>
      </w:pPr>
    </w:p>
    <w:p w:rsidR="00692BD7" w:rsidRDefault="00692BD7" w:rsidP="003E1298">
      <w:pPr>
        <w:pStyle w:val="Style15"/>
        <w:widowControl/>
        <w:spacing w:line="240" w:lineRule="auto"/>
        <w:ind w:firstLine="0"/>
        <w:rPr>
          <w:rStyle w:val="FontStyle22"/>
        </w:rPr>
      </w:pPr>
      <w:r>
        <w:rPr>
          <w:rStyle w:val="FontStyle22"/>
        </w:rPr>
        <w:t>* - предварительные данные. Расчет показателя 39</w:t>
      </w:r>
      <w:r>
        <w:rPr>
          <w:rStyle w:val="FontStyle22"/>
          <w:vertAlign w:val="superscript"/>
        </w:rPr>
        <w:t>1</w:t>
      </w:r>
      <w:r>
        <w:rPr>
          <w:rStyle w:val="FontStyle22"/>
        </w:rPr>
        <w:t>:</w:t>
      </w:r>
    </w:p>
    <w:p w:rsidR="00692BD7" w:rsidRPr="00F37328" w:rsidRDefault="00692BD7" w:rsidP="003E1298">
      <w:pPr>
        <w:pStyle w:val="Style14"/>
        <w:widowControl/>
        <w:spacing w:line="293" w:lineRule="exact"/>
        <w:rPr>
          <w:rStyle w:val="FontStyle22"/>
        </w:rPr>
      </w:pPr>
      <w:r>
        <w:rPr>
          <w:rStyle w:val="FontStyle22"/>
        </w:rPr>
        <w:t xml:space="preserve">Количество посещений жителями города культурных мероприятий в 2024 году х 100% / количество посещений жителями города культурных мероприятий в 2019 </w:t>
      </w:r>
      <w:r w:rsidRPr="00F37328">
        <w:rPr>
          <w:rStyle w:val="FontStyle22"/>
        </w:rPr>
        <w:t xml:space="preserve">году = </w:t>
      </w:r>
      <w:r w:rsidR="00F37328" w:rsidRPr="00F37328">
        <w:rPr>
          <w:rStyle w:val="FontStyle22"/>
        </w:rPr>
        <w:t>1 1</w:t>
      </w:r>
      <w:r w:rsidR="003D285E">
        <w:rPr>
          <w:rStyle w:val="FontStyle22"/>
        </w:rPr>
        <w:t>27</w:t>
      </w:r>
      <w:r w:rsidR="00F37328" w:rsidRPr="00F37328">
        <w:rPr>
          <w:rStyle w:val="FontStyle22"/>
        </w:rPr>
        <w:t> </w:t>
      </w:r>
      <w:r w:rsidR="003D285E">
        <w:rPr>
          <w:rStyle w:val="FontStyle22"/>
        </w:rPr>
        <w:t>520</w:t>
      </w:r>
      <w:r w:rsidR="00F37328" w:rsidRPr="00F37328">
        <w:rPr>
          <w:rStyle w:val="FontStyle22"/>
        </w:rPr>
        <w:t xml:space="preserve"> </w:t>
      </w:r>
      <w:r w:rsidRPr="00F37328">
        <w:rPr>
          <w:rStyle w:val="FontStyle22"/>
        </w:rPr>
        <w:t xml:space="preserve">х 100 % / 2 075 117 = </w:t>
      </w:r>
      <w:r w:rsidR="00F37328" w:rsidRPr="00F37328">
        <w:rPr>
          <w:rStyle w:val="FontStyle22"/>
        </w:rPr>
        <w:t>5</w:t>
      </w:r>
      <w:r w:rsidR="003D285E">
        <w:rPr>
          <w:rStyle w:val="FontStyle22"/>
        </w:rPr>
        <w:t>4</w:t>
      </w:r>
      <w:r w:rsidRPr="00F37328">
        <w:rPr>
          <w:rStyle w:val="FontStyle22"/>
        </w:rPr>
        <w:t>,</w:t>
      </w:r>
      <w:r w:rsidR="003D285E">
        <w:rPr>
          <w:rStyle w:val="FontStyle22"/>
        </w:rPr>
        <w:t>3</w:t>
      </w:r>
      <w:r w:rsidRPr="00F37328">
        <w:rPr>
          <w:rStyle w:val="FontStyle22"/>
        </w:rPr>
        <w:t xml:space="preserve"> %</w:t>
      </w:r>
    </w:p>
    <w:p w:rsidR="00145B0E" w:rsidRPr="00F37328" w:rsidRDefault="00145B0E">
      <w:pPr>
        <w:pStyle w:val="Style14"/>
        <w:widowControl/>
        <w:spacing w:line="293" w:lineRule="exact"/>
        <w:rPr>
          <w:rStyle w:val="FontStyle22"/>
        </w:rPr>
      </w:pPr>
    </w:p>
    <w:p w:rsidR="00031FA1" w:rsidRDefault="00031FA1">
      <w:pPr>
        <w:widowControl/>
        <w:autoSpaceDE/>
        <w:autoSpaceDN/>
        <w:adjustRightInd/>
        <w:spacing w:after="160" w:line="259" w:lineRule="auto"/>
        <w:rPr>
          <w:rStyle w:val="FontStyle22"/>
        </w:rPr>
      </w:pPr>
      <w:r>
        <w:rPr>
          <w:rStyle w:val="FontStyle22"/>
        </w:rPr>
        <w:br w:type="page"/>
      </w:r>
    </w:p>
    <w:p w:rsidR="00145B0E" w:rsidRPr="003E1298" w:rsidRDefault="00692BD7" w:rsidP="003E1298">
      <w:pPr>
        <w:pStyle w:val="Style6"/>
        <w:widowControl/>
        <w:ind w:left="11199"/>
        <w:rPr>
          <w:rStyle w:val="FontStyle21"/>
          <w:sz w:val="22"/>
          <w:szCs w:val="22"/>
        </w:rPr>
      </w:pPr>
      <w:r w:rsidRPr="003E1298">
        <w:rPr>
          <w:rStyle w:val="FontStyle21"/>
          <w:sz w:val="22"/>
          <w:szCs w:val="22"/>
        </w:rPr>
        <w:lastRenderedPageBreak/>
        <w:t>Приложение 2</w:t>
      </w:r>
      <w:r w:rsidR="003E1298" w:rsidRPr="003E1298">
        <w:rPr>
          <w:rStyle w:val="FontStyle21"/>
          <w:sz w:val="22"/>
          <w:szCs w:val="22"/>
        </w:rPr>
        <w:br/>
      </w:r>
      <w:r w:rsidRPr="003E1298">
        <w:rPr>
          <w:rStyle w:val="FontStyle21"/>
          <w:sz w:val="22"/>
          <w:szCs w:val="22"/>
        </w:rPr>
        <w:t xml:space="preserve">к отчету о реализации вектора </w:t>
      </w:r>
      <w:r w:rsidR="003228A3">
        <w:rPr>
          <w:rStyle w:val="FontStyle21"/>
          <w:sz w:val="22"/>
          <w:szCs w:val="22"/>
        </w:rPr>
        <w:t>«</w:t>
      </w:r>
      <w:r w:rsidRPr="003E1298">
        <w:rPr>
          <w:rStyle w:val="FontStyle21"/>
          <w:sz w:val="22"/>
          <w:szCs w:val="22"/>
        </w:rPr>
        <w:t>Культура</w:t>
      </w:r>
      <w:r w:rsidR="003228A3">
        <w:rPr>
          <w:rStyle w:val="FontStyle21"/>
          <w:sz w:val="22"/>
          <w:szCs w:val="22"/>
        </w:rPr>
        <w:t>»</w:t>
      </w:r>
      <w:r w:rsidRPr="003E1298">
        <w:rPr>
          <w:rStyle w:val="FontStyle21"/>
          <w:sz w:val="22"/>
          <w:szCs w:val="22"/>
        </w:rPr>
        <w:t xml:space="preserve"> направления </w:t>
      </w:r>
      <w:r w:rsidR="003228A3">
        <w:rPr>
          <w:rStyle w:val="FontStyle21"/>
          <w:sz w:val="22"/>
          <w:szCs w:val="22"/>
        </w:rPr>
        <w:t>«</w:t>
      </w:r>
      <w:r w:rsidRPr="003E1298">
        <w:rPr>
          <w:rStyle w:val="FontStyle21"/>
          <w:sz w:val="22"/>
          <w:szCs w:val="22"/>
        </w:rPr>
        <w:t>Человеческий капитал</w:t>
      </w:r>
      <w:r w:rsidR="003228A3">
        <w:rPr>
          <w:rStyle w:val="FontStyle21"/>
          <w:sz w:val="22"/>
          <w:szCs w:val="22"/>
        </w:rPr>
        <w:t>»</w:t>
      </w:r>
    </w:p>
    <w:p w:rsidR="00692BD7" w:rsidRPr="003E1298" w:rsidRDefault="00692BD7" w:rsidP="003E1298">
      <w:pPr>
        <w:pStyle w:val="Style6"/>
        <w:widowControl/>
        <w:ind w:left="11199"/>
        <w:rPr>
          <w:rStyle w:val="FontStyle21"/>
          <w:sz w:val="22"/>
          <w:szCs w:val="22"/>
        </w:rPr>
      </w:pPr>
      <w:r w:rsidRPr="003E1298">
        <w:rPr>
          <w:rStyle w:val="FontStyle21"/>
          <w:sz w:val="22"/>
          <w:szCs w:val="22"/>
        </w:rPr>
        <w:t>за I полугодие 2024 года</w:t>
      </w:r>
    </w:p>
    <w:p w:rsidR="00692BD7" w:rsidRDefault="00692BD7" w:rsidP="00145B0E">
      <w:pPr>
        <w:pStyle w:val="Style19"/>
        <w:widowControl/>
        <w:spacing w:line="240" w:lineRule="auto"/>
        <w:ind w:left="1320" w:right="1008"/>
        <w:rPr>
          <w:sz w:val="20"/>
          <w:szCs w:val="20"/>
        </w:rPr>
      </w:pPr>
    </w:p>
    <w:p w:rsidR="00692BD7" w:rsidRDefault="00692BD7" w:rsidP="003E1298">
      <w:pPr>
        <w:pStyle w:val="Style19"/>
        <w:widowControl/>
        <w:spacing w:line="240" w:lineRule="auto"/>
        <w:ind w:firstLine="0"/>
        <w:jc w:val="center"/>
        <w:rPr>
          <w:rStyle w:val="FontStyle21"/>
        </w:rPr>
      </w:pPr>
      <w:r>
        <w:rPr>
          <w:rStyle w:val="FontStyle21"/>
        </w:rPr>
        <w:t>Результаты реализации плана мероприятий по реализации Стратегии социально-экономического развития муниципального образования городской округ Сургут Ханты-Мансийского автономного округа - Югры</w:t>
      </w:r>
    </w:p>
    <w:p w:rsidR="00692BD7" w:rsidRDefault="00692BD7" w:rsidP="00145B0E">
      <w:pPr>
        <w:pStyle w:val="Style6"/>
        <w:widowControl/>
        <w:ind w:left="571"/>
        <w:jc w:val="center"/>
        <w:rPr>
          <w:rStyle w:val="FontStyle21"/>
        </w:rPr>
      </w:pPr>
      <w:r>
        <w:rPr>
          <w:rStyle w:val="FontStyle21"/>
        </w:rPr>
        <w:t>за I полугодие 2024 года</w:t>
      </w:r>
    </w:p>
    <w:p w:rsidR="00692BD7" w:rsidRDefault="00692BD7" w:rsidP="00145B0E">
      <w:pPr>
        <w:widowControl/>
        <w:rPr>
          <w:sz w:val="2"/>
          <w:szCs w:val="2"/>
        </w:rPr>
      </w:pPr>
    </w:p>
    <w:tbl>
      <w:tblPr>
        <w:tblW w:w="1516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520"/>
        <w:gridCol w:w="1590"/>
        <w:gridCol w:w="1418"/>
        <w:gridCol w:w="1275"/>
        <w:gridCol w:w="5671"/>
      </w:tblGrid>
      <w:tr w:rsidR="00692BD7" w:rsidTr="00CE153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Наименование мероприятия/события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Ожидаемый результат реализации</w:t>
            </w:r>
          </w:p>
          <w:p w:rsidR="00692BD7" w:rsidRPr="00645393" w:rsidRDefault="00692BD7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мероприятия/события (влияние на целевой показатель вектора)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Источник финансового обеспечения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Срок реализации мероприятия/ события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Этап реализации Стратегии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Информация об исполнении мероприятий</w:t>
            </w:r>
          </w:p>
        </w:tc>
      </w:tr>
      <w:tr w:rsidR="00692BD7" w:rsidTr="00CE153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rPr>
                <w:rStyle w:val="FontStyle23"/>
              </w:rPr>
            </w:pPr>
            <w:r w:rsidRPr="00645393">
              <w:rPr>
                <w:rStyle w:val="FontStyle23"/>
              </w:rPr>
              <w:t>2.3.1. Мероприятия по</w:t>
            </w:r>
          </w:p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rPr>
                <w:rStyle w:val="FontStyle23"/>
              </w:rPr>
            </w:pPr>
            <w:r w:rsidRPr="00645393">
              <w:rPr>
                <w:rStyle w:val="FontStyle23"/>
              </w:rPr>
              <w:t>нормативно-правовому,</w:t>
            </w:r>
          </w:p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rPr>
                <w:rStyle w:val="FontStyle23"/>
              </w:rPr>
            </w:pPr>
            <w:r w:rsidRPr="00645393">
              <w:rPr>
                <w:rStyle w:val="FontStyle23"/>
              </w:rPr>
              <w:t>организационному</w:t>
            </w:r>
          </w:p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rPr>
                <w:rStyle w:val="FontStyle23"/>
              </w:rPr>
            </w:pPr>
            <w:r w:rsidRPr="00645393">
              <w:rPr>
                <w:rStyle w:val="FontStyle23"/>
              </w:rPr>
              <w:t>обеспечению,</w:t>
            </w:r>
          </w:p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rPr>
                <w:rStyle w:val="FontStyle23"/>
              </w:rPr>
            </w:pPr>
            <w:r w:rsidRPr="00645393">
              <w:rPr>
                <w:rStyle w:val="FontStyle23"/>
              </w:rPr>
              <w:t>регулированию развития</w:t>
            </w:r>
          </w:p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rPr>
                <w:rStyle w:val="FontStyle23"/>
              </w:rPr>
            </w:pPr>
            <w:r w:rsidRPr="00645393">
              <w:rPr>
                <w:rStyle w:val="FontStyle23"/>
              </w:rPr>
              <w:t>культуры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>обеспечивает достижение целевых показателей 37, 38, 39, 46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left="2414" w:firstLine="0"/>
              <w:rPr>
                <w:rStyle w:val="FontStyle23"/>
              </w:rPr>
            </w:pPr>
            <w:r w:rsidRPr="00645393">
              <w:rPr>
                <w:rStyle w:val="FontStyle23"/>
              </w:rPr>
              <w:t>х</w:t>
            </w:r>
          </w:p>
        </w:tc>
      </w:tr>
      <w:tr w:rsidR="00692BD7" w:rsidTr="00CE153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2.3.1.1. Подготовка изменений, дополнений по вопросам развития культуры в соответствующую муниципальную программу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2"/>
              <w:widowControl/>
              <w:spacing w:line="240" w:lineRule="auto"/>
              <w:ind w:left="14" w:hanging="14"/>
              <w:rPr>
                <w:rStyle w:val="FontStyle23"/>
              </w:rPr>
            </w:pPr>
            <w:r w:rsidRPr="00645393">
              <w:rPr>
                <w:rStyle w:val="FontStyle23"/>
              </w:rPr>
              <w:t>утверждение корректировок соответствующей муниципальной программы (обеспечивает достижение целевых показателей 37, 38, 39)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Внесение изменений в муниципальную программу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Развитие культуры в городе Сургуте на период до 2030 года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 происходило в I полугодии 2024 года своевременно</w:t>
            </w:r>
          </w:p>
        </w:tc>
      </w:tr>
      <w:tr w:rsidR="00692BD7" w:rsidTr="00CE153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2.3.1.2. Повышение квалификации работников сферы культуры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>число работников культуры, прошедших переподготовку и (или) повышение квалификации не менее 50 человек ежегодно (обеспечивает</w:t>
            </w:r>
            <w:r w:rsidR="00145B0E" w:rsidRPr="00645393">
              <w:rPr>
                <w:rStyle w:val="FontStyle23"/>
              </w:rPr>
              <w:t xml:space="preserve"> достижение целевых показателей 37, 39)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 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Pr="00645393" w:rsidRDefault="00692BD7" w:rsidP="003D285E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В рамках регионального проекта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Творческие люди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 в 1 полугодии 2024 года обучение прош</w:t>
            </w:r>
            <w:r w:rsidR="003D285E">
              <w:rPr>
                <w:rStyle w:val="FontStyle23"/>
              </w:rPr>
              <w:t>е</w:t>
            </w:r>
            <w:r w:rsidRPr="00645393">
              <w:rPr>
                <w:rStyle w:val="FontStyle23"/>
              </w:rPr>
              <w:t xml:space="preserve">л </w:t>
            </w:r>
            <w:r w:rsidR="003D285E">
              <w:rPr>
                <w:rStyle w:val="FontStyle23"/>
              </w:rPr>
              <w:t>41</w:t>
            </w:r>
            <w:r w:rsidRPr="00645393">
              <w:rPr>
                <w:rStyle w:val="FontStyle23"/>
              </w:rPr>
              <w:t xml:space="preserve"> работник 13 муниципальных учреждений (6 детских школ искусств, МБУ ИКЦ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Старый Сургут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, МАУ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Многофункциональный культурно-досуговый центр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,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Городской культурный центр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,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Сургутская филармония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, МБУК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Сургутский краеведческий музей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>,</w:t>
            </w:r>
            <w:r w:rsidR="00145B0E" w:rsidRPr="00645393">
              <w:rPr>
                <w:rStyle w:val="FontStyle23"/>
              </w:rPr>
              <w:t xml:space="preserve"> </w:t>
            </w:r>
            <w:r w:rsidR="003228A3">
              <w:rPr>
                <w:rStyle w:val="FontStyle23"/>
              </w:rPr>
              <w:t>«</w:t>
            </w:r>
            <w:r w:rsidR="00145B0E" w:rsidRPr="00645393">
              <w:rPr>
                <w:rStyle w:val="FontStyle23"/>
              </w:rPr>
              <w:t>Сургутский художественный музей</w:t>
            </w:r>
            <w:r w:rsidR="003228A3">
              <w:rPr>
                <w:rStyle w:val="FontStyle23"/>
              </w:rPr>
              <w:t>»</w:t>
            </w:r>
            <w:r w:rsidR="00145B0E" w:rsidRPr="00645393">
              <w:rPr>
                <w:rStyle w:val="FontStyle23"/>
              </w:rPr>
              <w:t xml:space="preserve">, </w:t>
            </w:r>
            <w:r w:rsidR="003228A3">
              <w:rPr>
                <w:rStyle w:val="FontStyle23"/>
              </w:rPr>
              <w:t>«</w:t>
            </w:r>
            <w:r w:rsidR="00145B0E" w:rsidRPr="00645393">
              <w:rPr>
                <w:rStyle w:val="FontStyle23"/>
              </w:rPr>
              <w:t>Централизованная библиотечная система</w:t>
            </w:r>
            <w:r w:rsidR="003228A3">
              <w:rPr>
                <w:rStyle w:val="FontStyle23"/>
              </w:rPr>
              <w:t>»</w:t>
            </w:r>
            <w:r w:rsidR="00145B0E" w:rsidRPr="00645393">
              <w:rPr>
                <w:rStyle w:val="FontStyle23"/>
              </w:rPr>
              <w:t xml:space="preserve">) по программам 9 учебных Центров непрерывного образования и повышения квалификации творческих и управленческих кадров в </w:t>
            </w:r>
            <w:r w:rsidR="00145B0E" w:rsidRPr="00645393">
              <w:rPr>
                <w:rStyle w:val="FontStyle23"/>
              </w:rPr>
              <w:lastRenderedPageBreak/>
              <w:t>сфере культуры, созданных при организациях высшего профессионального образования</w:t>
            </w:r>
          </w:p>
        </w:tc>
      </w:tr>
      <w:tr w:rsidR="00145B0E" w:rsidTr="00CE15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lastRenderedPageBreak/>
              <w:t>2.3.1.3. Реализация новых форматов проведения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количество проведенных мероприятий нового формата - не менее 2 ед. ежегодно</w:t>
            </w:r>
            <w:r w:rsidR="00FC5BF0" w:rsidRPr="00645393">
              <w:rPr>
                <w:rStyle w:val="FontStyle23"/>
              </w:rPr>
              <w:t xml:space="preserve"> </w:t>
            </w:r>
            <w:r w:rsidRPr="00645393">
              <w:rPr>
                <w:rStyle w:val="FontStyle23"/>
              </w:rPr>
              <w:t>(обеспечивает достижение целевых показателей 37, 39)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 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CD" w:rsidRPr="00645393" w:rsidRDefault="00DC36CD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Сургутский краеведческий музей к 430-летию города презентовал пешеходную экскурсию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Сургутский Кремль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>. Чтобы познакомиться с маршрутом, жители и гости города могут заранее записаться, а потом прийти и погрузиться в историю одного из старейших городов Сибири, увидеть его памятные места и услышать увлекательные рассказы о прошлом Сургута.</w:t>
            </w:r>
          </w:p>
          <w:p w:rsidR="00145B0E" w:rsidRPr="00645393" w:rsidRDefault="00DC36CD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Экскурсия стартует у исторического здания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Купеческая усадьба. Дом Г.С. Клепикова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>, далее экскурсоводы Сургутского краеведческого музея проведут участников по самым знаковым местам старого города. Улицы Никольская, Казачья, Купеческая, Загородная, Кладбищенская, Богородицкая и Набережная откроют секреты прошлого Сургута. По ходу маршрута предусмотрены тематическая навигация, указатели, стенды с кратким описанием исторических событий</w:t>
            </w:r>
          </w:p>
        </w:tc>
      </w:tr>
      <w:tr w:rsidR="00145B0E" w:rsidTr="00CE15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t>2.3.1.4. Реализация плана мероприятий (</w:t>
            </w:r>
            <w:r w:rsidR="003228A3">
              <w:rPr>
                <w:sz w:val="22"/>
                <w:szCs w:val="22"/>
              </w:rPr>
              <w:t>«</w:t>
            </w:r>
            <w:r w:rsidRPr="00645393">
              <w:rPr>
                <w:sz w:val="22"/>
                <w:szCs w:val="22"/>
              </w:rPr>
              <w:t>дорожная карта</w:t>
            </w:r>
            <w:r w:rsidR="003228A3">
              <w:rPr>
                <w:sz w:val="22"/>
                <w:szCs w:val="22"/>
              </w:rPr>
              <w:t>»</w:t>
            </w:r>
            <w:r w:rsidRPr="00645393">
              <w:rPr>
                <w:sz w:val="22"/>
                <w:szCs w:val="22"/>
              </w:rPr>
              <w:t>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увеличение доли немуниципальных организаций, индивидуальных предпринимателей, предоставляющих социальные услуги сферы культуры, в общем числе организаций сферы культуры на 2% ежегодно (обеспечивает достижение целевых показателей 37, 38, 39)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 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D74B69" w:rsidP="003D285E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D74B69">
              <w:rPr>
                <w:rStyle w:val="FontStyle23"/>
              </w:rPr>
              <w:t xml:space="preserve">Департамент культуры и молодёжной политики Администрации города ведет реестр действующих на территории города Сургута социально ориентированных некоммерческих организаций и субъектов социального предпринимательства, осуществляющих деятельность в сфере культуры. Актуализация реестра потенциальных поставщиков социальных услуг в сфере культуры производится регулярно. По состоянию на 31.12.2023 реестр включал в себя 60 организаций различных форм собственности, на </w:t>
            </w:r>
            <w:r w:rsidR="003D285E">
              <w:rPr>
                <w:rStyle w:val="FontStyle23"/>
              </w:rPr>
              <w:t>01</w:t>
            </w:r>
            <w:r w:rsidRPr="00D74B69">
              <w:rPr>
                <w:rStyle w:val="FontStyle23"/>
              </w:rPr>
              <w:t>.0</w:t>
            </w:r>
            <w:r w:rsidR="003D285E">
              <w:rPr>
                <w:rStyle w:val="FontStyle23"/>
              </w:rPr>
              <w:t>7</w:t>
            </w:r>
            <w:r w:rsidRPr="00D74B69">
              <w:rPr>
                <w:rStyle w:val="FontStyle23"/>
              </w:rPr>
              <w:t>.2024 реестр состоит из 62 организаций различных форм собственности, увеличение поставщиков в сфере культуры составило 3 %</w:t>
            </w:r>
          </w:p>
        </w:tc>
      </w:tr>
      <w:tr w:rsidR="00B06443" w:rsidTr="00CE15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B06443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t>2.3.1.5. Осуществление мониторинга уровня удовлетворенности населения доступностью и качеством услуг организаций культуры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B06443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достижение уровня удовлетворенности населения доступностью и качеством услуг организаций культуры: к 2026 году - не менее </w:t>
            </w:r>
            <w:r w:rsidRPr="00645393">
              <w:rPr>
                <w:rStyle w:val="FontStyle22"/>
              </w:rPr>
              <w:t>56,2% (обеспечивает достижение целевых показателей 37, 38)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B06443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B06443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B06443" w:rsidP="00645393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B06443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Показатель рассчитывается по итогам года</w:t>
            </w:r>
          </w:p>
        </w:tc>
      </w:tr>
      <w:tr w:rsidR="00B06443" w:rsidTr="00CE153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lastRenderedPageBreak/>
              <w:t>2.3.2. Мероприятия по инфраструктурному обеспечению развития культуры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t>обеспечивает достижение целевых показателей 2, 37, 38, 39, 46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3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t>2024 - 2026 годы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ind w:left="2414"/>
              <w:rPr>
                <w:rStyle w:val="FontStyle22"/>
              </w:rPr>
            </w:pPr>
            <w:r w:rsidRPr="00645393">
              <w:rPr>
                <w:rStyle w:val="FontStyle22"/>
              </w:rPr>
              <w:t>х</w:t>
            </w:r>
          </w:p>
        </w:tc>
      </w:tr>
      <w:tr w:rsidR="00B06443" w:rsidTr="00CE153D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t xml:space="preserve">2.3.2.1. Реализация флагманского проекта </w:t>
            </w:r>
            <w:r w:rsidR="003228A3">
              <w:rPr>
                <w:rStyle w:val="FontStyle22"/>
              </w:rPr>
              <w:t>«</w:t>
            </w:r>
            <w:r w:rsidRPr="00645393">
              <w:rPr>
                <w:rStyle w:val="FontStyle22"/>
              </w:rPr>
              <w:t>Сургут - культурное пространство ХМАО -Югры</w:t>
            </w:r>
            <w:r w:rsidR="003228A3">
              <w:rPr>
                <w:rStyle w:val="FontStyle22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t>обеспечивает достижение целевых показателей 37, 38, 39, 46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бюджетные и (или) 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3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t>2024 - 2026 годы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ind w:left="2414"/>
              <w:rPr>
                <w:rStyle w:val="FontStyle22"/>
              </w:rPr>
            </w:pPr>
          </w:p>
        </w:tc>
      </w:tr>
      <w:tr w:rsidR="00B06443" w:rsidTr="00CE153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22"/>
              </w:rPr>
            </w:pPr>
            <w:r w:rsidRPr="00645393">
              <w:rPr>
                <w:rStyle w:val="FontStyle22"/>
              </w:rPr>
              <w:t>реконструкция объектов:</w:t>
            </w:r>
          </w:p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t xml:space="preserve">к 2028 году - 1 объект (МАУ </w:t>
            </w:r>
            <w:r w:rsidR="003228A3">
              <w:rPr>
                <w:rStyle w:val="FontStyle22"/>
              </w:rPr>
              <w:t>«</w:t>
            </w:r>
            <w:r w:rsidRPr="00645393">
              <w:rPr>
                <w:rStyle w:val="FontStyle22"/>
              </w:rPr>
              <w:t>Городской культурный центр</w:t>
            </w:r>
            <w:r w:rsidR="003228A3">
              <w:rPr>
                <w:rStyle w:val="FontStyle22"/>
              </w:rPr>
              <w:t>»</w:t>
            </w:r>
            <w:r w:rsidRPr="00645393">
              <w:rPr>
                <w:rStyle w:val="FontStyle22"/>
              </w:rPr>
              <w:t>)</w:t>
            </w:r>
          </w:p>
        </w:tc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2028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3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t>2027 - 2031 годы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22"/>
              </w:rPr>
            </w:pPr>
            <w:r w:rsidRPr="00645393">
              <w:rPr>
                <w:rStyle w:val="FontStyle22"/>
              </w:rPr>
              <w:t xml:space="preserve">МАУ </w:t>
            </w:r>
            <w:r w:rsidR="003228A3">
              <w:rPr>
                <w:rStyle w:val="FontStyle22"/>
              </w:rPr>
              <w:t>«</w:t>
            </w:r>
            <w:r w:rsidRPr="00645393">
              <w:rPr>
                <w:rStyle w:val="FontStyle22"/>
              </w:rPr>
              <w:t>Городской культурный центр</w:t>
            </w:r>
            <w:r w:rsidR="003228A3">
              <w:rPr>
                <w:rStyle w:val="FontStyle22"/>
              </w:rPr>
              <w:t>»</w:t>
            </w:r>
            <w:r w:rsidRPr="00645393">
              <w:rPr>
                <w:rStyle w:val="FontStyle22"/>
              </w:rPr>
              <w:t>: Выделены средства на выполнение ПИР:</w:t>
            </w:r>
          </w:p>
          <w:p w:rsidR="00B06443" w:rsidRPr="00645393" w:rsidRDefault="00B06443" w:rsidP="00645393">
            <w:pPr>
              <w:pStyle w:val="Style18"/>
              <w:widowControl/>
              <w:tabs>
                <w:tab w:val="left" w:pos="254"/>
              </w:tabs>
              <w:spacing w:line="240" w:lineRule="auto"/>
              <w:ind w:firstLine="5"/>
              <w:rPr>
                <w:rStyle w:val="FontStyle22"/>
              </w:rPr>
            </w:pPr>
            <w:r w:rsidRPr="00645393">
              <w:rPr>
                <w:rStyle w:val="FontStyle22"/>
              </w:rPr>
              <w:t>-</w:t>
            </w:r>
            <w:r w:rsidRPr="00645393">
              <w:rPr>
                <w:rStyle w:val="FontStyle22"/>
              </w:rPr>
              <w:tab/>
              <w:t>2020 год: 9 400,0 тыс. руб. (средства из депутатского фонда округа);</w:t>
            </w:r>
          </w:p>
          <w:p w:rsidR="00B06443" w:rsidRPr="00645393" w:rsidRDefault="00B06443" w:rsidP="00645393">
            <w:pPr>
              <w:pStyle w:val="Style18"/>
              <w:widowControl/>
              <w:tabs>
                <w:tab w:val="left" w:pos="254"/>
              </w:tabs>
              <w:spacing w:line="240" w:lineRule="auto"/>
              <w:ind w:firstLine="5"/>
              <w:rPr>
                <w:rStyle w:val="FontStyle22"/>
              </w:rPr>
            </w:pPr>
            <w:r w:rsidRPr="00645393">
              <w:rPr>
                <w:rStyle w:val="FontStyle22"/>
              </w:rPr>
              <w:t>-</w:t>
            </w:r>
            <w:r w:rsidRPr="00645393">
              <w:rPr>
                <w:rStyle w:val="FontStyle22"/>
              </w:rPr>
              <w:tab/>
              <w:t>2023 год: 2 850,0 тыс. руб. (средства бюджета города).</w:t>
            </w:r>
          </w:p>
          <w:p w:rsidR="00B06443" w:rsidRPr="00645393" w:rsidRDefault="00B06443" w:rsidP="00645393">
            <w:pPr>
              <w:pStyle w:val="Style7"/>
              <w:widowControl/>
              <w:spacing w:line="240" w:lineRule="auto"/>
              <w:ind w:left="5" w:hanging="5"/>
              <w:rPr>
                <w:rStyle w:val="FontStyle22"/>
              </w:rPr>
            </w:pPr>
            <w:r w:rsidRPr="00645393">
              <w:rPr>
                <w:rStyle w:val="FontStyle22"/>
              </w:rPr>
              <w:t xml:space="preserve">Работы завершены в марте 2023 года в рамках муниципального контракта от 02.07.2020 №11П/2020 между МКУ </w:t>
            </w:r>
            <w:r w:rsidR="003228A3">
              <w:rPr>
                <w:rStyle w:val="FontStyle22"/>
              </w:rPr>
              <w:t>«</w:t>
            </w:r>
            <w:r w:rsidRPr="00645393">
              <w:rPr>
                <w:rStyle w:val="FontStyle22"/>
              </w:rPr>
              <w:t>Управление капитального строительства</w:t>
            </w:r>
            <w:r w:rsidR="003228A3">
              <w:rPr>
                <w:rStyle w:val="FontStyle22"/>
              </w:rPr>
              <w:t>»</w:t>
            </w:r>
            <w:r w:rsidRPr="00645393">
              <w:rPr>
                <w:rStyle w:val="FontStyle22"/>
              </w:rPr>
              <w:t xml:space="preserve"> и ООО </w:t>
            </w:r>
            <w:r w:rsidR="003228A3">
              <w:rPr>
                <w:rStyle w:val="FontStyle22"/>
              </w:rPr>
              <w:t>«</w:t>
            </w:r>
            <w:r w:rsidRPr="00645393">
              <w:rPr>
                <w:rStyle w:val="FontStyle22"/>
              </w:rPr>
              <w:t>Стройуслуга</w:t>
            </w:r>
            <w:r w:rsidR="003228A3">
              <w:rPr>
                <w:rStyle w:val="FontStyle22"/>
              </w:rPr>
              <w:t>»</w:t>
            </w:r>
            <w:r w:rsidRPr="00645393">
              <w:rPr>
                <w:rStyle w:val="FontStyle22"/>
              </w:rPr>
              <w:t>.</w:t>
            </w:r>
          </w:p>
          <w:p w:rsidR="00B06443" w:rsidRPr="00645393" w:rsidRDefault="00B06443" w:rsidP="00645393">
            <w:pPr>
              <w:pStyle w:val="Style7"/>
              <w:widowControl/>
              <w:spacing w:line="240" w:lineRule="auto"/>
              <w:ind w:left="5" w:hanging="5"/>
              <w:rPr>
                <w:rStyle w:val="FontStyle22"/>
              </w:rPr>
            </w:pPr>
            <w:r w:rsidRPr="00645393">
              <w:rPr>
                <w:rStyle w:val="FontStyle22"/>
              </w:rPr>
              <w:t xml:space="preserve">Проектно-сметная документация проходит государственную экспертизу. Занесены сведения об инвестиционном проекте со сроком строительства 2024-2027 годы в программном обеспечении </w:t>
            </w:r>
            <w:r w:rsidR="003228A3">
              <w:rPr>
                <w:rStyle w:val="FontStyle22"/>
              </w:rPr>
              <w:t>«</w:t>
            </w:r>
            <w:r w:rsidRPr="00645393">
              <w:rPr>
                <w:rStyle w:val="FontStyle22"/>
              </w:rPr>
              <w:t>Оценка инвестиционных проектов Ханты-Мансийского автономного округа - Югры</w:t>
            </w:r>
            <w:r w:rsidR="003228A3">
              <w:rPr>
                <w:rStyle w:val="FontStyle22"/>
              </w:rPr>
              <w:t>»</w:t>
            </w:r>
            <w:r w:rsidRPr="00645393">
              <w:rPr>
                <w:rStyle w:val="FontStyle22"/>
              </w:rPr>
              <w:t xml:space="preserve"> для его дальнейшего согласования окружными департаментами.</w:t>
            </w:r>
          </w:p>
          <w:p w:rsidR="00B06443" w:rsidRPr="00645393" w:rsidRDefault="00B06443" w:rsidP="00645393">
            <w:pPr>
              <w:pStyle w:val="Style7"/>
              <w:widowControl/>
              <w:spacing w:line="240" w:lineRule="auto"/>
              <w:ind w:firstLine="5"/>
              <w:rPr>
                <w:rStyle w:val="FontStyle22"/>
              </w:rPr>
            </w:pPr>
            <w:r w:rsidRPr="00645393">
              <w:rPr>
                <w:rStyle w:val="FontStyle22"/>
              </w:rPr>
              <w:t xml:space="preserve">Объект предложен для включения в федеральную адресную инвестиционную программу, государственную программу Ханты-Мансийского автономного округа -Югры </w:t>
            </w:r>
            <w:r w:rsidR="003228A3">
              <w:rPr>
                <w:rStyle w:val="FontStyle22"/>
              </w:rPr>
              <w:t>«</w:t>
            </w:r>
            <w:r w:rsidRPr="00645393">
              <w:rPr>
                <w:rStyle w:val="FontStyle22"/>
              </w:rPr>
              <w:t>Строительство</w:t>
            </w:r>
            <w:r w:rsidR="003228A3">
              <w:rPr>
                <w:rStyle w:val="FontStyle22"/>
              </w:rPr>
              <w:t>»</w:t>
            </w:r>
          </w:p>
        </w:tc>
      </w:tr>
      <w:tr w:rsidR="00B06443" w:rsidTr="00CE153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2"/>
              <w:widowControl/>
              <w:spacing w:line="240" w:lineRule="auto"/>
              <w:ind w:firstLine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создание объектов: к 2036 году - 4 объекта (театр актера и куклы, отдельное здание для МБУК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Сургутский художественный музей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, отдельное здание для МБУК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Сургутский краеведческий музей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>, экспозиционно -выставочные площади)</w:t>
            </w:r>
          </w:p>
        </w:tc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к 2036 году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2032-2036 годы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DC36CD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Средства на выполнение проектной документации на строительство театра актера и куклы выделены на 2025 год, предусмотрены в рамках муниципальной программы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Развитие культуры в городе Сургуте на период до 2030 года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>, утвержденной постановлением Администрации города от 13.12.2013 № 8976.</w:t>
            </w:r>
            <w:r w:rsidR="00B06443" w:rsidRPr="00645393">
              <w:rPr>
                <w:rStyle w:val="FontStyle23"/>
              </w:rPr>
              <w:t xml:space="preserve"> Администрацией города проводится работа по включению объекта строительства в государственные программы</w:t>
            </w:r>
          </w:p>
        </w:tc>
      </w:tr>
      <w:tr w:rsidR="00B06443" w:rsidTr="00CE153D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к 2050 году - 1 объект (библиотечный центр)</w:t>
            </w:r>
          </w:p>
        </w:tc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к 2050 году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2045-2050 годы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ind w:firstLine="5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х</w:t>
            </w:r>
          </w:p>
        </w:tc>
      </w:tr>
      <w:tr w:rsidR="00AE6E07" w:rsidTr="00CE153D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rStyle w:val="FontStyle23"/>
              </w:rPr>
              <w:lastRenderedPageBreak/>
              <w:t>2.3.2.2. Развитие инфраструктуры отрасли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обеспечивает достижение целевых показателей 2, 37, 38, 39, 46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645393">
              <w:rPr>
                <w:rStyle w:val="FontStyle23"/>
              </w:rPr>
              <w:t>бюджетные и (или) 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645393" w:rsidP="00645393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645393" w:rsidP="00645393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х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х</w:t>
            </w:r>
          </w:p>
        </w:tc>
      </w:tr>
      <w:tr w:rsidR="00AE6E07" w:rsidTr="00CE153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widowControl/>
              <w:rPr>
                <w:rStyle w:val="FontStyle23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реконструкция объектов: к 2026 году - 1 объект (музейно-выставочное здание мемориального комплекса геологов-первопроходцев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Дом Ф.К. Салманова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 МБУК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Сургутский краеведческий музей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>)</w:t>
            </w:r>
          </w:p>
        </w:tc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77" w:rsidRPr="00645393" w:rsidRDefault="002A747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Дом Ф.К. Салманова включен в единый государственный реестр объектов культурного наследия народов Российской Федерации.</w:t>
            </w:r>
          </w:p>
          <w:p w:rsidR="002A7477" w:rsidRPr="00CA6FA1" w:rsidRDefault="002A747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Экспозиционные площади на объекте весьма ограничены, не удовлетворяют современным требованиям стандарта качества по представлению музейной услуги. Существует потребность в приобретении нежилого здания для размещения музейно-выставочного пространства на территории мемориального комплекса геологов-первопроходцев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Дом Ф.К. Салманова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 МБУК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Сургутский краеведческий музей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, предназначенного для размещения экспозиционных площадей, проведения </w:t>
            </w:r>
            <w:r w:rsidRPr="00CA6FA1">
              <w:rPr>
                <w:rStyle w:val="FontStyle23"/>
              </w:rPr>
              <w:t>интерактивных занятий и других массовых мероприятий.</w:t>
            </w:r>
          </w:p>
          <w:p w:rsidR="002A7477" w:rsidRPr="00645393" w:rsidRDefault="002A7477" w:rsidP="00645393">
            <w:pPr>
              <w:pStyle w:val="Style12"/>
              <w:widowControl/>
              <w:spacing w:line="240" w:lineRule="auto"/>
              <w:rPr>
                <w:sz w:val="22"/>
                <w:szCs w:val="22"/>
              </w:rPr>
            </w:pPr>
            <w:r w:rsidRPr="00CA6FA1">
              <w:rPr>
                <w:rStyle w:val="FontStyle23"/>
              </w:rPr>
              <w:t>Администрацией города проводится работа по включению объекта строительства в государственные программы</w:t>
            </w:r>
          </w:p>
        </w:tc>
      </w:tr>
      <w:tr w:rsidR="00AE6E07" w:rsidTr="00CE153D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6"/>
              <w:widowControl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t>создание объектов:</w:t>
            </w:r>
          </w:p>
          <w:p w:rsidR="00AE6E07" w:rsidRPr="00645393" w:rsidRDefault="00AE6E07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t>к 2031 году - не менее 3 объектов, из них: 30% по индивидуальному проекту;</w:t>
            </w:r>
          </w:p>
          <w:p w:rsidR="00AE6E07" w:rsidRPr="00645393" w:rsidRDefault="00AE6E07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t>к 2036 году - не менее 46 объектов, из них: 10% по индивидуальному проекту;</w:t>
            </w:r>
          </w:p>
          <w:p w:rsidR="00AE6E07" w:rsidRPr="00645393" w:rsidRDefault="00AE6E07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t>к 2044 году - не менее 49 объектов, из них: 10% по индивидуальному проекту;</w:t>
            </w:r>
          </w:p>
          <w:p w:rsidR="00AE6E07" w:rsidRPr="00645393" w:rsidRDefault="00AE6E07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t>к 2050 году - не менее 3 объектов, из них: 10% по индивидуальному проекту</w:t>
            </w:r>
          </w:p>
        </w:tc>
        <w:tc>
          <w:tcPr>
            <w:tcW w:w="1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6"/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rStyle w:val="FontStyle23"/>
              </w:rPr>
              <w:t>поэтапно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2027 - 2031 годы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2032 - 2036 годы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2037 - 2044 годы</w:t>
            </w:r>
          </w:p>
          <w:p w:rsidR="00AE6E07" w:rsidRPr="00645393" w:rsidRDefault="00AE6E07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rStyle w:val="FontStyle23"/>
              </w:rPr>
              <w:t>2045 - 2050 годы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t>х</w:t>
            </w:r>
          </w:p>
        </w:tc>
      </w:tr>
      <w:tr w:rsidR="00AE6E07" w:rsidTr="00CE153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2.3.3. Мероприятия по информационно-маркетинговому обеспечению развития культуры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обеспечивает достижение целевых показателей 37, 38, 39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AE6E07" w:rsidP="00645393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t>х</w:t>
            </w:r>
          </w:p>
        </w:tc>
      </w:tr>
      <w:tr w:rsidR="00AE6E07" w:rsidTr="00CE153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lastRenderedPageBreak/>
              <w:t>2.3.3.1. Использование современных инновационных информационных и коммуникационных технологий в сфере культуры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наличие официальных сайтов, страниц в социальных сетях у всех учреждений культуры к 2026 году (обеспечивает достижение целевых показателей 37, 38, 39)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 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77" w:rsidRPr="00645393" w:rsidRDefault="002A747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15 учреждений культуры имеют официальные сайты, которые содержат актуальную информацию о деятельности учреждений: правоустанавливающие документы, цели и задачи, перечень основных видов деятельности, условия оказания услуг (выполнения работ), результаты деятельности и достижения.</w:t>
            </w:r>
          </w:p>
          <w:p w:rsidR="00AE6E07" w:rsidRPr="00645393" w:rsidRDefault="002A7477" w:rsidP="00645393">
            <w:pPr>
              <w:pStyle w:val="Style12"/>
              <w:widowControl/>
              <w:spacing w:line="240" w:lineRule="auto"/>
              <w:rPr>
                <w:sz w:val="22"/>
                <w:szCs w:val="22"/>
              </w:rPr>
            </w:pPr>
            <w:r w:rsidRPr="00645393">
              <w:rPr>
                <w:rStyle w:val="FontStyle23"/>
              </w:rPr>
              <w:t>Информацию о проводимых мероприятиях учреждения культуры размещают на страницах социальных сетей, других Интернет-ресурсах (vk, ok.ru, telegram и др.)</w:t>
            </w:r>
          </w:p>
        </w:tc>
      </w:tr>
      <w:tr w:rsidR="00AE6E07" w:rsidTr="00CE153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  <w:highlight w:val="yellow"/>
              </w:rPr>
            </w:pPr>
            <w:r w:rsidRPr="008E3E5D">
              <w:rPr>
                <w:rStyle w:val="FontStyle23"/>
              </w:rPr>
              <w:t>2.3.3.2. Продвижение на всероссийский и региональный уровни масштабных культурных проектов и событий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организация проведения выставок, форумов, фестивалей, масштабных культурных проектов, событий - не менее 5 ежегодно (обеспечивает достижение целевых показателей 37, 39)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внебюджетные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3" w:rsidRDefault="008E3E5D" w:rsidP="008E3E5D">
            <w:pPr>
              <w:pStyle w:val="Style1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8E3E5D">
              <w:rPr>
                <w:sz w:val="22"/>
                <w:szCs w:val="22"/>
              </w:rPr>
              <w:t xml:space="preserve">Молодёжный фестиваль искусств </w:t>
            </w:r>
            <w:r w:rsidR="003228A3">
              <w:rPr>
                <w:sz w:val="22"/>
                <w:szCs w:val="22"/>
              </w:rPr>
              <w:t>«</w:t>
            </w:r>
            <w:r w:rsidRPr="008E3E5D">
              <w:rPr>
                <w:sz w:val="22"/>
                <w:szCs w:val="22"/>
              </w:rPr>
              <w:t>Зелёный шум</w:t>
            </w:r>
            <w:r w:rsidR="003228A3">
              <w:rPr>
                <w:sz w:val="22"/>
                <w:szCs w:val="22"/>
              </w:rPr>
              <w:t>»</w:t>
            </w:r>
            <w:r w:rsidRPr="008E3E5D">
              <w:rPr>
                <w:sz w:val="22"/>
                <w:szCs w:val="22"/>
              </w:rPr>
              <w:t xml:space="preserve"> – творческий бренд Югры, проект Сургутской филармонии.</w:t>
            </w:r>
            <w:r>
              <w:rPr>
                <w:sz w:val="22"/>
                <w:szCs w:val="22"/>
              </w:rPr>
              <w:t xml:space="preserve"> </w:t>
            </w:r>
            <w:r w:rsidRPr="008E3E5D">
              <w:rPr>
                <w:sz w:val="22"/>
                <w:szCs w:val="22"/>
              </w:rPr>
              <w:t>Участник</w:t>
            </w:r>
            <w:r>
              <w:rPr>
                <w:sz w:val="22"/>
                <w:szCs w:val="22"/>
              </w:rPr>
              <w:t>и – молодые</w:t>
            </w:r>
            <w:r w:rsidRPr="008E3E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деятели искусства, которым </w:t>
            </w:r>
            <w:r w:rsidRPr="008E3E5D">
              <w:rPr>
                <w:sz w:val="22"/>
                <w:szCs w:val="22"/>
              </w:rPr>
              <w:t xml:space="preserve">нет ещё и 20 лет, но они уже </w:t>
            </w:r>
            <w:r>
              <w:rPr>
                <w:sz w:val="22"/>
                <w:szCs w:val="22"/>
              </w:rPr>
              <w:t xml:space="preserve">являются </w:t>
            </w:r>
            <w:r w:rsidRPr="008E3E5D">
              <w:rPr>
                <w:sz w:val="22"/>
                <w:szCs w:val="22"/>
              </w:rPr>
              <w:t>лауреат</w:t>
            </w:r>
            <w:r>
              <w:rPr>
                <w:sz w:val="22"/>
                <w:szCs w:val="22"/>
              </w:rPr>
              <w:t>ами</w:t>
            </w:r>
            <w:r w:rsidRPr="008E3E5D">
              <w:rPr>
                <w:sz w:val="22"/>
                <w:szCs w:val="22"/>
              </w:rPr>
              <w:t xml:space="preserve"> международных конкурсов, обладател</w:t>
            </w:r>
            <w:r>
              <w:rPr>
                <w:sz w:val="22"/>
                <w:szCs w:val="22"/>
              </w:rPr>
              <w:t>ями</w:t>
            </w:r>
            <w:r w:rsidRPr="008E3E5D">
              <w:rPr>
                <w:sz w:val="22"/>
                <w:szCs w:val="22"/>
              </w:rPr>
              <w:t xml:space="preserve"> престижных премий. Каждый год президент фестиваля, заслуженная артистка России Екатерина Мечетина</w:t>
            </w:r>
            <w:r w:rsidR="003D285E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Pr="008E3E5D">
              <w:rPr>
                <w:sz w:val="22"/>
                <w:szCs w:val="22"/>
              </w:rPr>
              <w:t xml:space="preserve"> приглашает к участию не только юных виртуозов, но и признанных мастеров, демонстрирующих высочайший уровень исполнительского мастерства в самых разных жанрах и направлениях иску</w:t>
            </w:r>
            <w:r>
              <w:rPr>
                <w:sz w:val="22"/>
                <w:szCs w:val="22"/>
              </w:rPr>
              <w:t>сства.</w:t>
            </w:r>
          </w:p>
          <w:p w:rsidR="003E1298" w:rsidRPr="00645393" w:rsidRDefault="008E3E5D" w:rsidP="008E3E5D">
            <w:pPr>
              <w:pStyle w:val="Style1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Г</w:t>
            </w:r>
            <w:r w:rsidRPr="008E3E5D">
              <w:rPr>
                <w:sz w:val="22"/>
                <w:szCs w:val="22"/>
              </w:rPr>
              <w:t xml:space="preserve">ород Сургут принимает участие в конкурсе на звание </w:t>
            </w:r>
            <w:r w:rsidR="003228A3">
              <w:rPr>
                <w:sz w:val="22"/>
                <w:szCs w:val="22"/>
              </w:rPr>
              <w:t>«</w:t>
            </w:r>
            <w:r w:rsidRPr="008E3E5D">
              <w:rPr>
                <w:sz w:val="22"/>
                <w:szCs w:val="22"/>
              </w:rPr>
              <w:t>Культурная столица года – 2026</w:t>
            </w:r>
            <w:r w:rsidR="003228A3">
              <w:rPr>
                <w:sz w:val="22"/>
                <w:szCs w:val="22"/>
              </w:rPr>
              <w:t>»</w:t>
            </w:r>
            <w:r w:rsidRPr="008E3E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E3E5D">
              <w:rPr>
                <w:sz w:val="22"/>
                <w:szCs w:val="22"/>
              </w:rPr>
              <w:t>Данный проект направлен на стимулирование комплексного социально-экономического развития городов и регионов Российской Федерации посредством актуализации широкого спектра их культурных и творческих ресурсов. Конкурс дает уникальную возможность ярко представить на федеральном уровне социально-экономический потенциал города, укрепить позитивный образ, обеспечить создание условий для роста инвестиционной и туристической привлекательности</w:t>
            </w:r>
          </w:p>
        </w:tc>
      </w:tr>
      <w:tr w:rsidR="00AE6E07" w:rsidTr="00CE153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  <w:highlight w:val="yellow"/>
              </w:rPr>
            </w:pPr>
            <w:r w:rsidRPr="00D74B69">
              <w:rPr>
                <w:rStyle w:val="FontStyle23"/>
              </w:rPr>
              <w:t>2.3.3.3. Содействие в организации и проведении совместных мероприятий в сфере культуры крупной городской агломерации Сургут - Нефтеюганск и Ханты-Мансийского автономного округа -Югры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количество мероприятий, по которым оказано содействие: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с 2024 по 2036 год - не менее 3 ед. в год;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с 2037 по 2044 год - не менее 5 ед. в год;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с 2045 по 2050 год - не менее 5 ед. в год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lastRenderedPageBreak/>
              <w:t>(обеспечивает достижение целевых показателей 37, 39)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lastRenderedPageBreak/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D74B69" w:rsidP="00D74B69">
            <w:pPr>
              <w:pStyle w:val="Style1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74B69">
              <w:rPr>
                <w:sz w:val="22"/>
                <w:szCs w:val="22"/>
              </w:rPr>
              <w:t xml:space="preserve"> отсутствие механизма финансирования совместны</w:t>
            </w:r>
            <w:r>
              <w:rPr>
                <w:sz w:val="22"/>
                <w:szCs w:val="22"/>
              </w:rPr>
              <w:t>е</w:t>
            </w:r>
            <w:r w:rsidRPr="00D74B69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 w:rsidRPr="00D74B69">
              <w:rPr>
                <w:sz w:val="22"/>
                <w:szCs w:val="22"/>
              </w:rPr>
              <w:t xml:space="preserve"> в сфере культуры не</w:t>
            </w:r>
            <w:r>
              <w:rPr>
                <w:sz w:val="22"/>
                <w:szCs w:val="22"/>
              </w:rPr>
              <w:t xml:space="preserve"> проводились</w:t>
            </w:r>
          </w:p>
        </w:tc>
      </w:tr>
      <w:tr w:rsidR="00B303F0" w:rsidTr="00CE153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F0" w:rsidRPr="00645393" w:rsidRDefault="00B303F0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lastRenderedPageBreak/>
              <w:t>2.3.3.4. Мероприятия, направленные на привлечение инвестиций, обеспечивающих развитие инфраструктуры отрасли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69" w:rsidRDefault="00B303F0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количество видеороликов на официальном портале Администрации города, публикаций в средствах массовой информации о мероприятиях в сфере культуры - не менее 5 ед. ежегодно;</w:t>
            </w:r>
          </w:p>
          <w:p w:rsidR="00B303F0" w:rsidRPr="00645393" w:rsidRDefault="00B303F0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формирование и обновление инвестиционных предложений - не менее 1 раза в год;</w:t>
            </w:r>
          </w:p>
          <w:p w:rsidR="00D74B69" w:rsidRDefault="00B303F0" w:rsidP="00645393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размещение информации о планируемых к реализации объектах в сети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Интернет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>, на инвестиционном портале города Сургута - не менее 2 раз в год;</w:t>
            </w:r>
          </w:p>
          <w:p w:rsidR="00B303F0" w:rsidRPr="00645393" w:rsidRDefault="00B303F0" w:rsidP="00641107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участие в лекциях, семинарах по повышению квалификации муниципальных служащих в вопросах инвестиционной деятельности </w:t>
            </w:r>
            <w:r w:rsidR="00641107">
              <w:rPr>
                <w:rStyle w:val="FontStyle23"/>
              </w:rPr>
              <w:t>–</w:t>
            </w:r>
            <w:r w:rsidRPr="00645393">
              <w:rPr>
                <w:rStyle w:val="FontStyle23"/>
              </w:rPr>
              <w:t xml:space="preserve"> не менее 1 раза в год (обеспечивает достижение целевых показателей 37, 39)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F0" w:rsidRPr="00645393" w:rsidRDefault="00B303F0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 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F0" w:rsidRPr="00645393" w:rsidRDefault="00B303F0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645393" w:rsidRDefault="00B303F0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C" w:rsidRDefault="0074699C" w:rsidP="0074699C">
            <w:pPr>
              <w:pStyle w:val="Style16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К</w:t>
            </w:r>
            <w:r w:rsidRPr="00645393">
              <w:rPr>
                <w:rStyle w:val="FontStyle23"/>
              </w:rPr>
              <w:t>оличество публикаций в средствах массовой информации о мероприятиях</w:t>
            </w:r>
            <w:r w:rsidR="00641107">
              <w:rPr>
                <w:rStyle w:val="FontStyle23"/>
              </w:rPr>
              <w:t>, проводимых учреждениями</w:t>
            </w:r>
            <w:r w:rsidR="00815B03">
              <w:rPr>
                <w:rStyle w:val="FontStyle23"/>
              </w:rPr>
              <w:t xml:space="preserve"> культуры</w:t>
            </w:r>
            <w:r>
              <w:rPr>
                <w:rStyle w:val="FontStyle23"/>
              </w:rPr>
              <w:t>:</w:t>
            </w:r>
          </w:p>
          <w:p w:rsidR="0074699C" w:rsidRPr="0074699C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74699C">
              <w:rPr>
                <w:sz w:val="22"/>
                <w:szCs w:val="22"/>
              </w:rPr>
              <w:t>в местных печатных изданиях</w:t>
            </w:r>
            <w:r>
              <w:rPr>
                <w:sz w:val="22"/>
                <w:szCs w:val="22"/>
              </w:rPr>
              <w:t xml:space="preserve"> – </w:t>
            </w:r>
            <w:r w:rsidR="00815B03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;</w:t>
            </w:r>
          </w:p>
          <w:p w:rsidR="0074699C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74699C">
              <w:rPr>
                <w:sz w:val="22"/>
                <w:szCs w:val="22"/>
              </w:rPr>
              <w:t>в окружных (региональных) печатных изданиях</w:t>
            </w:r>
            <w:r>
              <w:rPr>
                <w:sz w:val="22"/>
                <w:szCs w:val="22"/>
              </w:rPr>
              <w:t xml:space="preserve"> – </w:t>
            </w:r>
            <w:r w:rsidR="00815B0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;</w:t>
            </w:r>
          </w:p>
          <w:p w:rsidR="00815B03" w:rsidRPr="0074699C" w:rsidRDefault="00815B03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российских печатных изданиях – 1;</w:t>
            </w:r>
          </w:p>
          <w:p w:rsidR="0074699C" w:rsidRPr="0074699C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74699C">
              <w:rPr>
                <w:sz w:val="22"/>
                <w:szCs w:val="22"/>
              </w:rPr>
              <w:t>в федеральных интернет-источниках</w:t>
            </w:r>
            <w:r>
              <w:rPr>
                <w:sz w:val="22"/>
                <w:szCs w:val="22"/>
              </w:rPr>
              <w:t xml:space="preserve"> – </w:t>
            </w:r>
            <w:r w:rsidR="00815B03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;</w:t>
            </w:r>
          </w:p>
          <w:p w:rsidR="0074699C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74699C">
              <w:rPr>
                <w:sz w:val="22"/>
                <w:szCs w:val="22"/>
              </w:rPr>
              <w:t xml:space="preserve">публикации в местных интернет-источниках </w:t>
            </w:r>
            <w:r>
              <w:rPr>
                <w:sz w:val="22"/>
                <w:szCs w:val="22"/>
              </w:rPr>
              <w:t xml:space="preserve">– </w:t>
            </w:r>
            <w:r w:rsidR="00815B03">
              <w:rPr>
                <w:sz w:val="22"/>
                <w:szCs w:val="22"/>
              </w:rPr>
              <w:t>529</w:t>
            </w:r>
            <w:r>
              <w:rPr>
                <w:sz w:val="22"/>
                <w:szCs w:val="22"/>
              </w:rPr>
              <w:t>;</w:t>
            </w:r>
          </w:p>
          <w:p w:rsidR="0074699C" w:rsidRPr="0074699C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74699C">
              <w:rPr>
                <w:sz w:val="22"/>
                <w:szCs w:val="22"/>
              </w:rPr>
              <w:t>телерепортажи</w:t>
            </w:r>
            <w:r>
              <w:rPr>
                <w:sz w:val="22"/>
                <w:szCs w:val="22"/>
              </w:rPr>
              <w:t xml:space="preserve"> – </w:t>
            </w:r>
            <w:r w:rsidR="00815B03">
              <w:rPr>
                <w:sz w:val="22"/>
                <w:szCs w:val="22"/>
              </w:rPr>
              <w:t>115</w:t>
            </w:r>
            <w:r>
              <w:rPr>
                <w:sz w:val="22"/>
                <w:szCs w:val="22"/>
              </w:rPr>
              <w:t>;</w:t>
            </w:r>
          </w:p>
          <w:p w:rsidR="00B303F0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74699C">
              <w:rPr>
                <w:sz w:val="22"/>
                <w:szCs w:val="22"/>
              </w:rPr>
              <w:t>радиорепортажи</w:t>
            </w:r>
            <w:r>
              <w:rPr>
                <w:sz w:val="22"/>
                <w:szCs w:val="22"/>
              </w:rPr>
              <w:t xml:space="preserve"> – </w:t>
            </w:r>
            <w:r w:rsidR="00815B03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.</w:t>
            </w:r>
          </w:p>
          <w:p w:rsidR="0074699C" w:rsidRDefault="0074699C" w:rsidP="0074699C">
            <w:pPr>
              <w:pStyle w:val="Style16"/>
              <w:widowControl/>
              <w:tabs>
                <w:tab w:val="left" w:pos="240"/>
              </w:tabs>
              <w:rPr>
                <w:sz w:val="22"/>
                <w:szCs w:val="22"/>
              </w:rPr>
            </w:pPr>
          </w:p>
          <w:p w:rsidR="0074699C" w:rsidRDefault="0074699C" w:rsidP="0074699C">
            <w:pPr>
              <w:pStyle w:val="Style16"/>
              <w:widowControl/>
              <w:tabs>
                <w:tab w:val="left" w:pos="240"/>
              </w:tabs>
              <w:rPr>
                <w:rStyle w:val="FontStyle23"/>
              </w:rPr>
            </w:pPr>
            <w:r>
              <w:rPr>
                <w:rStyle w:val="FontStyle23"/>
              </w:rPr>
              <w:t>Н</w:t>
            </w:r>
            <w:r w:rsidRPr="00645393">
              <w:rPr>
                <w:rStyle w:val="FontStyle23"/>
              </w:rPr>
              <w:t>а инвестиционном портале города Сургута</w:t>
            </w:r>
            <w:r>
              <w:rPr>
                <w:rStyle w:val="FontStyle23"/>
              </w:rPr>
              <w:t xml:space="preserve"> обновлена информация об инвестиционном проекте </w:t>
            </w:r>
            <w:r w:rsidR="003228A3">
              <w:rPr>
                <w:rStyle w:val="FontStyle23"/>
              </w:rPr>
              <w:t>«</w:t>
            </w:r>
            <w:r>
              <w:rPr>
                <w:rStyle w:val="FontStyle23"/>
              </w:rPr>
              <w:t xml:space="preserve">МАУ </w:t>
            </w:r>
            <w:r w:rsidR="003228A3">
              <w:rPr>
                <w:rStyle w:val="FontStyle23"/>
              </w:rPr>
              <w:t>«</w:t>
            </w:r>
            <w:r>
              <w:rPr>
                <w:rStyle w:val="FontStyle23"/>
              </w:rPr>
              <w:t>Городской культурный центр. Реконструкция</w:t>
            </w:r>
            <w:r w:rsidR="003228A3">
              <w:rPr>
                <w:rStyle w:val="FontStyle23"/>
              </w:rPr>
              <w:t>»</w:t>
            </w:r>
            <w:r>
              <w:rPr>
                <w:rStyle w:val="FontStyle23"/>
              </w:rPr>
              <w:t>.</w:t>
            </w:r>
          </w:p>
          <w:p w:rsidR="0074699C" w:rsidRDefault="0074699C" w:rsidP="0074699C">
            <w:pPr>
              <w:pStyle w:val="Style16"/>
              <w:widowControl/>
              <w:tabs>
                <w:tab w:val="left" w:pos="240"/>
              </w:tabs>
              <w:rPr>
                <w:rStyle w:val="FontStyle23"/>
              </w:rPr>
            </w:pPr>
          </w:p>
          <w:p w:rsidR="0074699C" w:rsidRPr="00645393" w:rsidRDefault="00641107" w:rsidP="00641107">
            <w:pPr>
              <w:pStyle w:val="Style16"/>
              <w:widowControl/>
              <w:tabs>
                <w:tab w:val="left" w:pos="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41107">
              <w:rPr>
                <w:sz w:val="22"/>
                <w:szCs w:val="22"/>
              </w:rPr>
              <w:t xml:space="preserve">частие муниципальных служащих в </w:t>
            </w:r>
            <w:r>
              <w:rPr>
                <w:sz w:val="22"/>
                <w:szCs w:val="22"/>
              </w:rPr>
              <w:t>обучающих мероприятиях</w:t>
            </w:r>
            <w:r w:rsidRPr="006411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641107">
              <w:rPr>
                <w:sz w:val="22"/>
                <w:szCs w:val="22"/>
              </w:rPr>
              <w:t xml:space="preserve"> вопроса</w:t>
            </w:r>
            <w:r>
              <w:rPr>
                <w:sz w:val="22"/>
                <w:szCs w:val="22"/>
              </w:rPr>
              <w:t>м</w:t>
            </w:r>
            <w:r w:rsidRPr="00641107">
              <w:rPr>
                <w:sz w:val="22"/>
                <w:szCs w:val="22"/>
              </w:rPr>
              <w:t xml:space="preserve"> инвестиционной деятельности </w:t>
            </w:r>
            <w:r>
              <w:rPr>
                <w:sz w:val="22"/>
                <w:szCs w:val="22"/>
              </w:rPr>
              <w:t>запланировано на 2 полугодие 2024 года</w:t>
            </w:r>
          </w:p>
        </w:tc>
      </w:tr>
    </w:tbl>
    <w:p w:rsidR="00692BD7" w:rsidRDefault="00692BD7" w:rsidP="00145B0E">
      <w:pPr>
        <w:widowControl/>
        <w:rPr>
          <w:sz w:val="2"/>
          <w:szCs w:val="2"/>
        </w:rPr>
      </w:pPr>
    </w:p>
    <w:p w:rsidR="00692BD7" w:rsidRDefault="00692BD7" w:rsidP="00145B0E">
      <w:pPr>
        <w:widowControl/>
      </w:pPr>
    </w:p>
    <w:sectPr w:rsidR="00692BD7" w:rsidSect="00CA6FA1">
      <w:pgSz w:w="16838" w:h="11906" w:orient="landscape" w:code="9"/>
      <w:pgMar w:top="1134" w:right="737" w:bottom="36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68" w:rsidRDefault="008D5E68">
      <w:r>
        <w:separator/>
      </w:r>
    </w:p>
  </w:endnote>
  <w:endnote w:type="continuationSeparator" w:id="0">
    <w:p w:rsidR="008D5E68" w:rsidRDefault="008D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68" w:rsidRDefault="008D5E68">
      <w:r>
        <w:separator/>
      </w:r>
    </w:p>
  </w:footnote>
  <w:footnote w:type="continuationSeparator" w:id="0">
    <w:p w:rsidR="008D5E68" w:rsidRDefault="008D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E4690C"/>
    <w:lvl w:ilvl="0">
      <w:numFmt w:val="bullet"/>
      <w:lvlText w:val="*"/>
      <w:lvlJc w:val="left"/>
    </w:lvl>
  </w:abstractNum>
  <w:abstractNum w:abstractNumId="1" w15:restartNumberingAfterBreak="0">
    <w:nsid w:val="6E7C63E9"/>
    <w:multiLevelType w:val="hybridMultilevel"/>
    <w:tmpl w:val="5676871E"/>
    <w:lvl w:ilvl="0" w:tplc="773C92D4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770D0501"/>
    <w:multiLevelType w:val="hybridMultilevel"/>
    <w:tmpl w:val="5C989378"/>
    <w:lvl w:ilvl="0" w:tplc="D3AE6D0A">
      <w:start w:val="1"/>
      <w:numFmt w:val="bullet"/>
      <w:lvlText w:val="‒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24202"/>
    <w:multiLevelType w:val="hybridMultilevel"/>
    <w:tmpl w:val="86B8C26C"/>
    <w:lvl w:ilvl="0" w:tplc="6B1CB0B4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0E"/>
    <w:rsid w:val="00031FA1"/>
    <w:rsid w:val="00051B62"/>
    <w:rsid w:val="000B1F82"/>
    <w:rsid w:val="000C460F"/>
    <w:rsid w:val="00145B0E"/>
    <w:rsid w:val="00235FD9"/>
    <w:rsid w:val="002A7477"/>
    <w:rsid w:val="003228A3"/>
    <w:rsid w:val="003D285E"/>
    <w:rsid w:val="003E1298"/>
    <w:rsid w:val="00516DC3"/>
    <w:rsid w:val="00641107"/>
    <w:rsid w:val="00645393"/>
    <w:rsid w:val="00692BD7"/>
    <w:rsid w:val="006B25D9"/>
    <w:rsid w:val="0074699C"/>
    <w:rsid w:val="00787B95"/>
    <w:rsid w:val="00815B03"/>
    <w:rsid w:val="008503E4"/>
    <w:rsid w:val="008D5E68"/>
    <w:rsid w:val="008E3E5D"/>
    <w:rsid w:val="00927CE4"/>
    <w:rsid w:val="009D605D"/>
    <w:rsid w:val="00A101F9"/>
    <w:rsid w:val="00AE6E07"/>
    <w:rsid w:val="00B06443"/>
    <w:rsid w:val="00B14E23"/>
    <w:rsid w:val="00B303F0"/>
    <w:rsid w:val="00C837D4"/>
    <w:rsid w:val="00CA6FA1"/>
    <w:rsid w:val="00CE153D"/>
    <w:rsid w:val="00D74B69"/>
    <w:rsid w:val="00DC36CD"/>
    <w:rsid w:val="00E14450"/>
    <w:rsid w:val="00F34D6C"/>
    <w:rsid w:val="00F37328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CF3C8"/>
  <w14:defaultImageDpi w14:val="0"/>
  <w15:docId w15:val="{3E22F9FA-938A-406B-8088-2283553D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323" w:lineRule="exact"/>
      <w:ind w:firstLine="1080"/>
    </w:pPr>
  </w:style>
  <w:style w:type="paragraph" w:customStyle="1" w:styleId="Style3">
    <w:name w:val="Style3"/>
    <w:basedOn w:val="a"/>
    <w:uiPriority w:val="99"/>
    <w:pPr>
      <w:spacing w:line="259" w:lineRule="exact"/>
      <w:ind w:firstLine="350"/>
    </w:pPr>
  </w:style>
  <w:style w:type="paragraph" w:customStyle="1" w:styleId="Style4">
    <w:name w:val="Style4"/>
    <w:basedOn w:val="a"/>
    <w:uiPriority w:val="99"/>
    <w:pPr>
      <w:spacing w:line="326" w:lineRule="exact"/>
      <w:ind w:firstLine="576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66" w:lineRule="exact"/>
    </w:pPr>
  </w:style>
  <w:style w:type="paragraph" w:customStyle="1" w:styleId="Style8">
    <w:name w:val="Style8"/>
    <w:basedOn w:val="a"/>
    <w:uiPriority w:val="99"/>
    <w:pPr>
      <w:spacing w:line="264" w:lineRule="exact"/>
      <w:jc w:val="both"/>
    </w:pPr>
  </w:style>
  <w:style w:type="paragraph" w:customStyle="1" w:styleId="Style9">
    <w:name w:val="Style9"/>
    <w:basedOn w:val="a"/>
    <w:uiPriority w:val="99"/>
    <w:pPr>
      <w:spacing w:line="322" w:lineRule="exact"/>
    </w:pPr>
  </w:style>
  <w:style w:type="paragraph" w:customStyle="1" w:styleId="Style10">
    <w:name w:val="Style10"/>
    <w:basedOn w:val="a"/>
    <w:uiPriority w:val="99"/>
    <w:pPr>
      <w:spacing w:line="264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6" w:lineRule="exact"/>
    </w:pPr>
  </w:style>
  <w:style w:type="paragraph" w:customStyle="1" w:styleId="Style13">
    <w:name w:val="Style13"/>
    <w:basedOn w:val="a"/>
    <w:uiPriority w:val="99"/>
    <w:pPr>
      <w:spacing w:line="264" w:lineRule="exact"/>
      <w:jc w:val="both"/>
    </w:pPr>
  </w:style>
  <w:style w:type="paragraph" w:customStyle="1" w:styleId="Style14">
    <w:name w:val="Style14"/>
    <w:basedOn w:val="a"/>
    <w:uiPriority w:val="99"/>
    <w:pPr>
      <w:spacing w:line="298" w:lineRule="exact"/>
      <w:jc w:val="both"/>
    </w:pPr>
  </w:style>
  <w:style w:type="paragraph" w:customStyle="1" w:styleId="Style15">
    <w:name w:val="Style15"/>
    <w:basedOn w:val="a"/>
    <w:uiPriority w:val="99"/>
    <w:pPr>
      <w:spacing w:line="293" w:lineRule="exact"/>
      <w:ind w:firstLine="158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78" w:lineRule="exact"/>
      <w:jc w:val="center"/>
    </w:pPr>
  </w:style>
  <w:style w:type="paragraph" w:customStyle="1" w:styleId="Style18">
    <w:name w:val="Style18"/>
    <w:basedOn w:val="a"/>
    <w:uiPriority w:val="99"/>
    <w:pPr>
      <w:spacing w:line="278" w:lineRule="exact"/>
    </w:pPr>
  </w:style>
  <w:style w:type="paragraph" w:customStyle="1" w:styleId="Style19">
    <w:name w:val="Style19"/>
    <w:basedOn w:val="a"/>
    <w:uiPriority w:val="99"/>
    <w:pPr>
      <w:spacing w:line="326" w:lineRule="exact"/>
      <w:ind w:firstLine="245"/>
      <w:jc w:val="both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A6F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9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Елена Александровна</dc:creator>
  <cp:keywords/>
  <dc:description/>
  <cp:lastModifiedBy>Васильева Елена Александровна</cp:lastModifiedBy>
  <cp:revision>8</cp:revision>
  <cp:lastPrinted>2024-06-26T05:59:00Z</cp:lastPrinted>
  <dcterms:created xsi:type="dcterms:W3CDTF">2024-06-26T02:48:00Z</dcterms:created>
  <dcterms:modified xsi:type="dcterms:W3CDTF">2024-07-12T05:06:00Z</dcterms:modified>
</cp:coreProperties>
</file>