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1E" w:rsidRPr="0022072B" w:rsidRDefault="0024161E" w:rsidP="0024161E">
      <w:pPr>
        <w:spacing w:line="240" w:lineRule="auto"/>
        <w:ind w:left="6521" w:firstLine="0"/>
        <w:jc w:val="left"/>
        <w:rPr>
          <w:sz w:val="24"/>
          <w:szCs w:val="24"/>
        </w:rPr>
      </w:pPr>
      <w:r w:rsidRPr="0022072B">
        <w:rPr>
          <w:sz w:val="24"/>
          <w:szCs w:val="24"/>
        </w:rPr>
        <w:t xml:space="preserve">Проект вносится </w:t>
      </w:r>
    </w:p>
    <w:p w:rsidR="0024161E" w:rsidRPr="0022072B" w:rsidRDefault="005D211A" w:rsidP="0024161E">
      <w:pPr>
        <w:tabs>
          <w:tab w:val="left" w:pos="4253"/>
        </w:tabs>
        <w:spacing w:line="240" w:lineRule="auto"/>
        <w:ind w:left="6521" w:firstLine="0"/>
        <w:jc w:val="left"/>
        <w:rPr>
          <w:rFonts w:eastAsia="Calibri" w:cs="Times New Roman"/>
          <w:spacing w:val="9"/>
          <w:sz w:val="27"/>
          <w:szCs w:val="27"/>
        </w:rPr>
      </w:pPr>
      <w:r>
        <w:rPr>
          <w:sz w:val="24"/>
          <w:szCs w:val="24"/>
        </w:rPr>
        <w:t>Главой</w:t>
      </w:r>
      <w:r w:rsidR="0024161E" w:rsidRPr="0022072B">
        <w:rPr>
          <w:sz w:val="24"/>
          <w:szCs w:val="24"/>
        </w:rPr>
        <w:t xml:space="preserve"> города</w:t>
      </w:r>
    </w:p>
    <w:p w:rsidR="0024161E" w:rsidRDefault="0024161E" w:rsidP="0024161E">
      <w:pPr>
        <w:tabs>
          <w:tab w:val="left" w:pos="4253"/>
        </w:tabs>
        <w:spacing w:line="240" w:lineRule="auto"/>
        <w:ind w:firstLine="0"/>
        <w:jc w:val="left"/>
        <w:rPr>
          <w:rFonts w:eastAsia="Calibri" w:cs="Times New Roman"/>
          <w:spacing w:val="9"/>
          <w:sz w:val="27"/>
          <w:szCs w:val="27"/>
        </w:rPr>
      </w:pPr>
    </w:p>
    <w:p w:rsidR="0024161E" w:rsidRPr="005F0F7B" w:rsidRDefault="005F0F7B" w:rsidP="005F0F7B">
      <w:pPr>
        <w:tabs>
          <w:tab w:val="left" w:pos="4253"/>
        </w:tabs>
        <w:spacing w:line="240" w:lineRule="auto"/>
        <w:ind w:firstLine="0"/>
        <w:jc w:val="center"/>
        <w:rPr>
          <w:rFonts w:eastAsia="Calibri" w:cs="Times New Roman"/>
          <w:spacing w:val="9"/>
          <w:sz w:val="26"/>
          <w:szCs w:val="26"/>
        </w:rPr>
      </w:pPr>
      <w:r>
        <w:rPr>
          <w:rFonts w:eastAsia="Calibri" w:cs="Times New Roman"/>
          <w:spacing w:val="9"/>
          <w:sz w:val="26"/>
          <w:szCs w:val="26"/>
        </w:rPr>
        <w:t xml:space="preserve">МУНИЦИПАЛЬНОЕ ОБРАЗОВАНИЕ </w:t>
      </w:r>
      <w:r w:rsidR="0024161E" w:rsidRPr="005F0F7B">
        <w:rPr>
          <w:rFonts w:eastAsia="Calibri" w:cs="Times New Roman"/>
          <w:spacing w:val="14"/>
          <w:sz w:val="26"/>
          <w:szCs w:val="26"/>
        </w:rPr>
        <w:t>ГОРОДСКОЙ ОКРУГ СУРГУТ</w:t>
      </w:r>
    </w:p>
    <w:p w:rsidR="0024161E" w:rsidRPr="005F0F7B" w:rsidRDefault="0024161E" w:rsidP="005F0F7B">
      <w:pPr>
        <w:spacing w:line="240" w:lineRule="auto"/>
        <w:ind w:firstLine="0"/>
        <w:jc w:val="center"/>
        <w:rPr>
          <w:rFonts w:eastAsia="Calibri" w:cs="Times New Roman"/>
          <w:spacing w:val="14"/>
          <w:sz w:val="26"/>
          <w:szCs w:val="26"/>
        </w:rPr>
      </w:pPr>
      <w:r w:rsidRPr="005F0F7B">
        <w:rPr>
          <w:rFonts w:eastAsia="Calibri" w:cs="Times New Roman"/>
          <w:spacing w:val="14"/>
          <w:sz w:val="26"/>
          <w:szCs w:val="26"/>
        </w:rPr>
        <w:t xml:space="preserve">ХАНТЫ-МАНСИЙСКОГО АВТОНОМНОГО ОКРУГА </w:t>
      </w:r>
      <w:r w:rsidR="005F0F7B">
        <w:rPr>
          <w:rFonts w:eastAsia="Calibri" w:cs="Times New Roman"/>
          <w:spacing w:val="14"/>
          <w:sz w:val="26"/>
          <w:szCs w:val="26"/>
        </w:rPr>
        <w:t>–</w:t>
      </w:r>
      <w:r w:rsidRPr="005F0F7B">
        <w:rPr>
          <w:rFonts w:eastAsia="Calibri" w:cs="Times New Roman"/>
          <w:spacing w:val="14"/>
          <w:sz w:val="26"/>
          <w:szCs w:val="26"/>
        </w:rPr>
        <w:t xml:space="preserve"> ЮГР</w:t>
      </w:r>
      <w:r w:rsidRPr="005F0F7B">
        <w:rPr>
          <w:rFonts w:cs="Times New Roman"/>
          <w:spacing w:val="6"/>
          <w:sz w:val="26"/>
          <w:szCs w:val="26"/>
        </w:rPr>
        <w:t>Ы</w:t>
      </w:r>
    </w:p>
    <w:p w:rsidR="0024161E" w:rsidRPr="005F0F7B" w:rsidRDefault="0024161E" w:rsidP="0024161E">
      <w:pPr>
        <w:tabs>
          <w:tab w:val="left" w:pos="7655"/>
        </w:tabs>
        <w:spacing w:line="240" w:lineRule="auto"/>
        <w:ind w:firstLine="0"/>
        <w:rPr>
          <w:rFonts w:eastAsia="Times New Roman" w:cs="Times New Roman"/>
          <w:sz w:val="26"/>
          <w:szCs w:val="26"/>
          <w:lang w:eastAsia="ru-RU"/>
        </w:rPr>
      </w:pPr>
    </w:p>
    <w:p w:rsidR="0024161E" w:rsidRPr="005F0F7B" w:rsidRDefault="0024161E" w:rsidP="0024161E">
      <w:pPr>
        <w:tabs>
          <w:tab w:val="left" w:pos="7655"/>
        </w:tabs>
        <w:spacing w:line="240" w:lineRule="auto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5F0F7B">
        <w:rPr>
          <w:rFonts w:eastAsia="Times New Roman" w:cs="Times New Roman"/>
          <w:sz w:val="26"/>
          <w:szCs w:val="26"/>
          <w:lang w:eastAsia="ru-RU"/>
        </w:rPr>
        <w:t>ДУМА ГОРОДА</w:t>
      </w:r>
    </w:p>
    <w:p w:rsidR="0024161E" w:rsidRPr="005F0F7B" w:rsidRDefault="0024161E" w:rsidP="0024161E">
      <w:pPr>
        <w:tabs>
          <w:tab w:val="left" w:pos="7655"/>
        </w:tabs>
        <w:spacing w:line="240" w:lineRule="auto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24161E" w:rsidRPr="005F0F7B" w:rsidRDefault="0024161E" w:rsidP="0024161E">
      <w:pPr>
        <w:tabs>
          <w:tab w:val="left" w:pos="7655"/>
        </w:tabs>
        <w:spacing w:line="240" w:lineRule="auto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5F0F7B">
        <w:rPr>
          <w:rFonts w:eastAsia="Times New Roman" w:cs="Times New Roman"/>
          <w:sz w:val="26"/>
          <w:szCs w:val="26"/>
          <w:lang w:eastAsia="ru-RU"/>
        </w:rPr>
        <w:t>РЕШЕНИЕ</w:t>
      </w:r>
    </w:p>
    <w:p w:rsidR="00781B4C" w:rsidRPr="0022072B" w:rsidRDefault="00781B4C" w:rsidP="0024161E">
      <w:pPr>
        <w:tabs>
          <w:tab w:val="right" w:pos="9356"/>
        </w:tabs>
        <w:spacing w:line="240" w:lineRule="auto"/>
        <w:ind w:firstLine="0"/>
        <w:jc w:val="left"/>
        <w:rPr>
          <w:rFonts w:eastAsia="Calibri" w:cs="Times New Roman"/>
        </w:rPr>
      </w:pPr>
    </w:p>
    <w:p w:rsidR="00AD170B" w:rsidRPr="007D1518" w:rsidRDefault="0024161E" w:rsidP="00AD170B">
      <w:pPr>
        <w:tabs>
          <w:tab w:val="left" w:pos="1134"/>
        </w:tabs>
        <w:spacing w:line="240" w:lineRule="auto"/>
        <w:ind w:right="4959" w:firstLine="0"/>
        <w:rPr>
          <w:rFonts w:eastAsia="Calibri" w:cs="Times New Roman"/>
          <w:szCs w:val="28"/>
        </w:rPr>
      </w:pPr>
      <w:r w:rsidRPr="009373BF">
        <w:rPr>
          <w:color w:val="000000" w:themeColor="text1"/>
          <w:szCs w:val="28"/>
        </w:rPr>
        <w:t>О внесении изменени</w:t>
      </w:r>
      <w:r>
        <w:rPr>
          <w:color w:val="000000" w:themeColor="text1"/>
          <w:szCs w:val="28"/>
        </w:rPr>
        <w:t xml:space="preserve">й </w:t>
      </w:r>
      <w:r w:rsidR="00AD170B" w:rsidRPr="00F11A37">
        <w:rPr>
          <w:rFonts w:eastAsia="Times New Roman" w:cs="Times New Roman"/>
          <w:color w:val="000000" w:themeColor="text1"/>
          <w:szCs w:val="28"/>
        </w:rPr>
        <w:t>в решение</w:t>
      </w:r>
      <w:r w:rsidR="00AD170B">
        <w:rPr>
          <w:rFonts w:eastAsia="Times New Roman" w:cs="Times New Roman"/>
          <w:color w:val="000000" w:themeColor="text1"/>
          <w:szCs w:val="28"/>
        </w:rPr>
        <w:t xml:space="preserve"> </w:t>
      </w:r>
      <w:r w:rsidR="00AD170B" w:rsidRPr="00F11A37">
        <w:rPr>
          <w:rFonts w:eastAsia="Times New Roman" w:cs="Times New Roman"/>
          <w:color w:val="000000" w:themeColor="text1"/>
          <w:szCs w:val="28"/>
        </w:rPr>
        <w:t>Думы</w:t>
      </w:r>
      <w:r w:rsidR="00AD170B">
        <w:rPr>
          <w:rFonts w:eastAsia="Times New Roman" w:cs="Times New Roman"/>
          <w:color w:val="000000" w:themeColor="text1"/>
          <w:szCs w:val="28"/>
        </w:rPr>
        <w:t xml:space="preserve"> </w:t>
      </w:r>
      <w:r w:rsidR="00AD170B" w:rsidRPr="00F11A37">
        <w:rPr>
          <w:rFonts w:eastAsia="Times New Roman" w:cs="Times New Roman"/>
          <w:color w:val="000000" w:themeColor="text1"/>
          <w:szCs w:val="28"/>
        </w:rPr>
        <w:t xml:space="preserve">города от </w:t>
      </w:r>
      <w:r w:rsidR="00AD170B">
        <w:rPr>
          <w:rFonts w:eastAsia="Times New Roman" w:cs="Times New Roman"/>
          <w:color w:val="000000" w:themeColor="text1"/>
          <w:szCs w:val="28"/>
        </w:rPr>
        <w:t>08</w:t>
      </w:r>
      <w:r w:rsidR="00AD170B" w:rsidRPr="00F11A37">
        <w:rPr>
          <w:rFonts w:eastAsia="Times New Roman" w:cs="Times New Roman"/>
          <w:color w:val="000000" w:themeColor="text1"/>
          <w:szCs w:val="28"/>
        </w:rPr>
        <w:t>.0</w:t>
      </w:r>
      <w:r w:rsidR="00AD170B">
        <w:rPr>
          <w:rFonts w:eastAsia="Times New Roman" w:cs="Times New Roman"/>
          <w:color w:val="000000" w:themeColor="text1"/>
          <w:szCs w:val="28"/>
        </w:rPr>
        <w:t>6</w:t>
      </w:r>
      <w:r w:rsidR="00AD170B" w:rsidRPr="00F11A37">
        <w:rPr>
          <w:rFonts w:eastAsia="Times New Roman" w:cs="Times New Roman"/>
          <w:color w:val="000000" w:themeColor="text1"/>
          <w:szCs w:val="28"/>
        </w:rPr>
        <w:t>.2015</w:t>
      </w:r>
      <w:r w:rsidR="00AD170B">
        <w:rPr>
          <w:rFonts w:eastAsia="Times New Roman" w:cs="Times New Roman"/>
          <w:color w:val="000000" w:themeColor="text1"/>
          <w:szCs w:val="28"/>
        </w:rPr>
        <w:t xml:space="preserve"> </w:t>
      </w:r>
      <w:r w:rsidR="00AD170B" w:rsidRPr="00F11A37">
        <w:rPr>
          <w:rFonts w:eastAsia="Times New Roman" w:cs="Times New Roman"/>
          <w:color w:val="000000" w:themeColor="text1"/>
          <w:szCs w:val="28"/>
        </w:rPr>
        <w:t xml:space="preserve">№ </w:t>
      </w:r>
      <w:r w:rsidR="00AD170B">
        <w:rPr>
          <w:rFonts w:eastAsia="Times New Roman" w:cs="Times New Roman"/>
          <w:color w:val="000000" w:themeColor="text1"/>
          <w:szCs w:val="28"/>
        </w:rPr>
        <w:t>718-</w:t>
      </w:r>
      <w:proofErr w:type="gramStart"/>
      <w:r w:rsidR="00AD170B">
        <w:rPr>
          <w:rFonts w:eastAsia="Times New Roman" w:cs="Times New Roman"/>
          <w:color w:val="000000" w:themeColor="text1"/>
          <w:szCs w:val="28"/>
        </w:rPr>
        <w:t>V</w:t>
      </w:r>
      <w:r w:rsidR="005F0F7B">
        <w:rPr>
          <w:rFonts w:eastAsia="Times New Roman" w:cs="Times New Roman"/>
          <w:color w:val="000000" w:themeColor="text1"/>
          <w:szCs w:val="28"/>
        </w:rPr>
        <w:t> </w:t>
      </w:r>
      <w:r w:rsidR="00AD170B">
        <w:rPr>
          <w:rFonts w:eastAsia="Times New Roman" w:cs="Times New Roman"/>
          <w:color w:val="000000" w:themeColor="text1"/>
          <w:szCs w:val="28"/>
        </w:rPr>
        <w:t> </w:t>
      </w:r>
      <w:r w:rsidR="00AD170B" w:rsidRPr="00F11A37">
        <w:rPr>
          <w:rFonts w:eastAsia="Times New Roman" w:cs="Times New Roman"/>
          <w:color w:val="000000" w:themeColor="text1"/>
          <w:szCs w:val="28"/>
        </w:rPr>
        <w:t>ДГ</w:t>
      </w:r>
      <w:proofErr w:type="gramEnd"/>
      <w:r w:rsidR="00AD170B">
        <w:rPr>
          <w:rFonts w:eastAsia="Times New Roman" w:cs="Times New Roman"/>
          <w:color w:val="000000" w:themeColor="text1"/>
          <w:szCs w:val="28"/>
        </w:rPr>
        <w:t xml:space="preserve"> </w:t>
      </w:r>
      <w:r w:rsidR="00AD170B">
        <w:rPr>
          <w:color w:val="000000" w:themeColor="text1"/>
          <w:szCs w:val="28"/>
        </w:rPr>
        <w:t>«</w:t>
      </w:r>
      <w:r w:rsidR="00AD170B" w:rsidRPr="00491570">
        <w:rPr>
          <w:color w:val="000000" w:themeColor="text1"/>
          <w:szCs w:val="28"/>
        </w:rPr>
        <w:t>О Стратегии</w:t>
      </w:r>
      <w:r w:rsidR="00AD170B">
        <w:rPr>
          <w:color w:val="000000" w:themeColor="text1"/>
          <w:szCs w:val="28"/>
        </w:rPr>
        <w:t xml:space="preserve"> </w:t>
      </w:r>
      <w:r w:rsidR="00AD170B" w:rsidRPr="00491570">
        <w:rPr>
          <w:color w:val="000000" w:themeColor="text1"/>
          <w:szCs w:val="28"/>
        </w:rPr>
        <w:t>социально-</w:t>
      </w:r>
      <w:r w:rsidR="00AD170B" w:rsidRPr="00DC3BCF">
        <w:rPr>
          <w:color w:val="000000" w:themeColor="text1"/>
          <w:szCs w:val="28"/>
        </w:rPr>
        <w:t>экономического</w:t>
      </w:r>
      <w:r w:rsidR="00AD170B">
        <w:rPr>
          <w:color w:val="000000" w:themeColor="text1"/>
          <w:szCs w:val="28"/>
        </w:rPr>
        <w:t xml:space="preserve"> </w:t>
      </w:r>
      <w:r w:rsidR="00AD170B" w:rsidRPr="00DC3BCF">
        <w:rPr>
          <w:color w:val="000000" w:themeColor="text1"/>
          <w:szCs w:val="28"/>
        </w:rPr>
        <w:t>развития</w:t>
      </w:r>
      <w:r w:rsidR="00AD170B">
        <w:rPr>
          <w:color w:val="000000" w:themeColor="text1"/>
          <w:szCs w:val="28"/>
        </w:rPr>
        <w:t xml:space="preserve"> </w:t>
      </w:r>
      <w:r w:rsidR="00AD170B" w:rsidRPr="00491570">
        <w:rPr>
          <w:color w:val="000000" w:themeColor="text1"/>
          <w:szCs w:val="28"/>
        </w:rPr>
        <w:t>муниципального</w:t>
      </w:r>
      <w:r w:rsidR="00AD170B">
        <w:rPr>
          <w:color w:val="000000" w:themeColor="text1"/>
          <w:szCs w:val="28"/>
        </w:rPr>
        <w:t xml:space="preserve"> </w:t>
      </w:r>
      <w:r w:rsidR="00AD170B" w:rsidRPr="00491570">
        <w:rPr>
          <w:color w:val="000000" w:themeColor="text1"/>
          <w:szCs w:val="28"/>
        </w:rPr>
        <w:t>образования</w:t>
      </w:r>
      <w:r w:rsidR="00AD170B">
        <w:rPr>
          <w:color w:val="000000" w:themeColor="text1"/>
          <w:szCs w:val="28"/>
        </w:rPr>
        <w:t xml:space="preserve"> городской округ Сургут </w:t>
      </w:r>
      <w:r w:rsidR="00AD170B" w:rsidRPr="00F11A37">
        <w:rPr>
          <w:szCs w:val="28"/>
        </w:rPr>
        <w:t>Ханты-Мансийского</w:t>
      </w:r>
      <w:r w:rsidR="00AD170B">
        <w:rPr>
          <w:szCs w:val="28"/>
        </w:rPr>
        <w:t xml:space="preserve"> </w:t>
      </w:r>
      <w:r w:rsidR="00AD170B" w:rsidRPr="00F11A37">
        <w:rPr>
          <w:szCs w:val="28"/>
        </w:rPr>
        <w:t xml:space="preserve">автономного округа – Югры </w:t>
      </w:r>
      <w:r w:rsidR="00AD170B" w:rsidRPr="00491570">
        <w:rPr>
          <w:color w:val="000000" w:themeColor="text1"/>
          <w:szCs w:val="28"/>
        </w:rPr>
        <w:t>на</w:t>
      </w:r>
      <w:r w:rsidR="00AD170B">
        <w:rPr>
          <w:color w:val="000000" w:themeColor="text1"/>
          <w:szCs w:val="28"/>
        </w:rPr>
        <w:t xml:space="preserve"> </w:t>
      </w:r>
      <w:r w:rsidR="00AD170B" w:rsidRPr="00491570">
        <w:rPr>
          <w:color w:val="000000" w:themeColor="text1"/>
          <w:szCs w:val="28"/>
        </w:rPr>
        <w:t>период до 203</w:t>
      </w:r>
      <w:r w:rsidR="00AD170B">
        <w:rPr>
          <w:color w:val="000000" w:themeColor="text1"/>
          <w:szCs w:val="28"/>
        </w:rPr>
        <w:t>0 года»</w:t>
      </w:r>
    </w:p>
    <w:p w:rsidR="0024161E" w:rsidRPr="00112886" w:rsidRDefault="0024161E" w:rsidP="00AD170B">
      <w:pPr>
        <w:pStyle w:val="1"/>
        <w:spacing w:before="0" w:line="240" w:lineRule="auto"/>
        <w:ind w:firstLine="0"/>
        <w:rPr>
          <w:rFonts w:ascii="Times New Roman" w:eastAsia="Calibri" w:hAnsi="Times New Roman"/>
          <w:sz w:val="28"/>
          <w:szCs w:val="28"/>
        </w:rPr>
      </w:pPr>
    </w:p>
    <w:p w:rsidR="008358A3" w:rsidRPr="00A077D5" w:rsidRDefault="00112886" w:rsidP="00597F5B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В соответствии с </w:t>
      </w:r>
      <w:r w:rsidR="00AD170B">
        <w:rPr>
          <w:rFonts w:cs="Times New Roman"/>
          <w:color w:val="000000" w:themeColor="text1"/>
          <w:szCs w:val="28"/>
        </w:rPr>
        <w:t xml:space="preserve">пунктом </w:t>
      </w:r>
      <w:r>
        <w:rPr>
          <w:rFonts w:cs="Times New Roman"/>
          <w:color w:val="000000" w:themeColor="text1"/>
          <w:szCs w:val="28"/>
        </w:rPr>
        <w:t xml:space="preserve">14 части </w:t>
      </w:r>
      <w:r w:rsidR="003B2F91">
        <w:rPr>
          <w:rFonts w:cs="Times New Roman"/>
          <w:color w:val="000000" w:themeColor="text1"/>
          <w:szCs w:val="28"/>
        </w:rPr>
        <w:t>1 статьи 4 Положения об определении последовательности и порядка разработки документов стратегического планир</w:t>
      </w:r>
      <w:r w:rsidR="004B4707">
        <w:rPr>
          <w:rFonts w:cs="Times New Roman"/>
          <w:color w:val="000000" w:themeColor="text1"/>
          <w:szCs w:val="28"/>
        </w:rPr>
        <w:t>ования и их содержания, утверждё</w:t>
      </w:r>
      <w:r w:rsidR="003B2F91">
        <w:rPr>
          <w:rFonts w:cs="Times New Roman"/>
          <w:color w:val="000000" w:themeColor="text1"/>
          <w:szCs w:val="28"/>
        </w:rPr>
        <w:t xml:space="preserve">нного решением </w:t>
      </w:r>
      <w:r w:rsidR="004B4707">
        <w:rPr>
          <w:rFonts w:cs="Times New Roman"/>
          <w:color w:val="000000" w:themeColor="text1"/>
          <w:szCs w:val="28"/>
        </w:rPr>
        <w:t>Думы города от 25.02.2015 № 652</w:t>
      </w:r>
      <w:r w:rsidR="004B7864">
        <w:rPr>
          <w:rFonts w:cs="Times New Roman"/>
          <w:color w:val="000000" w:themeColor="text1"/>
          <w:szCs w:val="28"/>
        </w:rPr>
        <w:t>-</w:t>
      </w:r>
      <w:r w:rsidR="004B7864">
        <w:rPr>
          <w:rFonts w:cs="Times New Roman"/>
          <w:color w:val="000000" w:themeColor="text1"/>
          <w:szCs w:val="28"/>
          <w:lang w:val="en-US"/>
        </w:rPr>
        <w:t>V</w:t>
      </w:r>
      <w:r w:rsidR="004B7864">
        <w:rPr>
          <w:rFonts w:cs="Times New Roman"/>
          <w:color w:val="000000" w:themeColor="text1"/>
          <w:szCs w:val="28"/>
        </w:rPr>
        <w:t xml:space="preserve"> ДГ, </w:t>
      </w:r>
      <w:r w:rsidR="008358A3" w:rsidRPr="00A077D5">
        <w:rPr>
          <w:rFonts w:cs="Times New Roman"/>
          <w:szCs w:val="28"/>
        </w:rPr>
        <w:t>Дума города РЕШИЛА:</w:t>
      </w:r>
    </w:p>
    <w:p w:rsidR="008358A3" w:rsidRPr="00A077D5" w:rsidRDefault="008358A3" w:rsidP="00A53179">
      <w:pPr>
        <w:widowControl w:val="0"/>
        <w:suppressAutoHyphens/>
        <w:autoSpaceDN w:val="0"/>
        <w:spacing w:line="240" w:lineRule="auto"/>
        <w:rPr>
          <w:rFonts w:cs="Times New Roman"/>
          <w:szCs w:val="28"/>
        </w:rPr>
      </w:pPr>
    </w:p>
    <w:p w:rsidR="004B7864" w:rsidRDefault="00CA5AB8" w:rsidP="009B3D5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1.  </w:t>
      </w:r>
      <w:r w:rsidR="0024161E" w:rsidRPr="00A077D5">
        <w:rPr>
          <w:rFonts w:cs="Times New Roman"/>
          <w:szCs w:val="28"/>
        </w:rPr>
        <w:t xml:space="preserve">Внести в решение Думы города от </w:t>
      </w:r>
      <w:r w:rsidR="004B4707">
        <w:rPr>
          <w:rFonts w:cs="Times New Roman"/>
          <w:szCs w:val="28"/>
        </w:rPr>
        <w:t xml:space="preserve">08.06.2015 № </w:t>
      </w:r>
      <w:r w:rsidR="00AD170B">
        <w:rPr>
          <w:rFonts w:cs="Times New Roman"/>
          <w:szCs w:val="28"/>
        </w:rPr>
        <w:t>718</w:t>
      </w:r>
      <w:r w:rsidR="008358A3" w:rsidRPr="00A077D5">
        <w:rPr>
          <w:rFonts w:cs="Times New Roman"/>
          <w:szCs w:val="28"/>
        </w:rPr>
        <w:t>-</w:t>
      </w:r>
      <w:r w:rsidR="0024161E" w:rsidRPr="00A077D5">
        <w:rPr>
          <w:rFonts w:cs="Times New Roman"/>
          <w:szCs w:val="28"/>
        </w:rPr>
        <w:t>V ДГ</w:t>
      </w:r>
      <w:r w:rsidR="004B4707">
        <w:rPr>
          <w:rFonts w:cs="Times New Roman"/>
          <w:szCs w:val="28"/>
        </w:rPr>
        <w:t xml:space="preserve"> </w:t>
      </w:r>
      <w:r w:rsidR="0024161E" w:rsidRPr="00A077D5">
        <w:rPr>
          <w:rFonts w:cs="Times New Roman"/>
          <w:szCs w:val="28"/>
        </w:rPr>
        <w:t>«</w:t>
      </w:r>
      <w:r w:rsidR="00AD170B">
        <w:rPr>
          <w:rFonts w:cs="Times New Roman"/>
          <w:szCs w:val="28"/>
        </w:rPr>
        <w:t xml:space="preserve">О Стратегии социально-экономического развития муниципального образования городской округ Сургут Ханты-Мансийского автономного округа </w:t>
      </w:r>
      <w:r w:rsidR="004B7864">
        <w:rPr>
          <w:rFonts w:cs="Times New Roman"/>
          <w:szCs w:val="28"/>
        </w:rPr>
        <w:t>– Югры на период до 2030 года</w:t>
      </w:r>
      <w:r w:rsidR="004B7864" w:rsidRPr="00112886">
        <w:rPr>
          <w:rFonts w:cs="Times New Roman"/>
          <w:szCs w:val="28"/>
        </w:rPr>
        <w:t>»</w:t>
      </w:r>
      <w:r w:rsidR="0024161E" w:rsidRPr="00112886">
        <w:rPr>
          <w:rFonts w:cs="Times New Roman"/>
          <w:szCs w:val="28"/>
        </w:rPr>
        <w:t xml:space="preserve"> </w:t>
      </w:r>
      <w:r w:rsidR="0024161E" w:rsidRPr="00A077D5">
        <w:rPr>
          <w:rFonts w:cs="Times New Roman"/>
          <w:szCs w:val="28"/>
        </w:rPr>
        <w:t xml:space="preserve">(в редакции </w:t>
      </w:r>
      <w:hyperlink r:id="rId8" w:history="1">
        <w:r w:rsidR="0024161E" w:rsidRPr="00A077D5">
          <w:rPr>
            <w:rFonts w:cs="Times New Roman"/>
            <w:szCs w:val="28"/>
          </w:rPr>
          <w:t xml:space="preserve">от </w:t>
        </w:r>
        <w:r w:rsidR="009B3D5C" w:rsidRPr="00A077D5">
          <w:rPr>
            <w:rFonts w:cs="Times New Roman"/>
            <w:szCs w:val="28"/>
          </w:rPr>
          <w:t>2</w:t>
        </w:r>
        <w:r w:rsidR="009663BD" w:rsidRPr="00A077D5">
          <w:rPr>
            <w:rFonts w:cs="Times New Roman"/>
            <w:szCs w:val="28"/>
          </w:rPr>
          <w:t>6</w:t>
        </w:r>
        <w:r w:rsidR="008358A3" w:rsidRPr="00A077D5">
          <w:rPr>
            <w:rFonts w:cs="Times New Roman"/>
            <w:szCs w:val="28"/>
          </w:rPr>
          <w:t>.</w:t>
        </w:r>
        <w:r w:rsidR="00AD170B">
          <w:rPr>
            <w:rFonts w:cs="Times New Roman"/>
            <w:szCs w:val="28"/>
          </w:rPr>
          <w:t>12</w:t>
        </w:r>
        <w:r w:rsidR="004776A0" w:rsidRPr="00A077D5">
          <w:rPr>
            <w:rFonts w:cs="Times New Roman"/>
            <w:szCs w:val="28"/>
          </w:rPr>
          <w:t>.202</w:t>
        </w:r>
        <w:r w:rsidR="00AD170B">
          <w:rPr>
            <w:rFonts w:cs="Times New Roman"/>
            <w:szCs w:val="28"/>
          </w:rPr>
          <w:t>3</w:t>
        </w:r>
        <w:r w:rsidR="0024161E" w:rsidRPr="00A077D5">
          <w:rPr>
            <w:rFonts w:cs="Times New Roman"/>
            <w:szCs w:val="28"/>
          </w:rPr>
          <w:t xml:space="preserve"> № </w:t>
        </w:r>
        <w:r w:rsidR="00AD170B">
          <w:rPr>
            <w:rFonts w:cs="Times New Roman"/>
            <w:szCs w:val="28"/>
          </w:rPr>
          <w:t>495</w:t>
        </w:r>
        <w:r w:rsidR="0024161E" w:rsidRPr="00A077D5">
          <w:rPr>
            <w:rFonts w:cs="Times New Roman"/>
            <w:szCs w:val="28"/>
          </w:rPr>
          <w:t>-VI</w:t>
        </w:r>
        <w:r w:rsidR="004776A0" w:rsidRPr="00A077D5">
          <w:rPr>
            <w:rFonts w:cs="Times New Roman"/>
            <w:szCs w:val="28"/>
            <w:lang w:val="en-US"/>
          </w:rPr>
          <w:t>I</w:t>
        </w:r>
        <w:r w:rsidR="0024161E" w:rsidRPr="00A077D5">
          <w:rPr>
            <w:rFonts w:cs="Times New Roman"/>
            <w:szCs w:val="28"/>
          </w:rPr>
          <w:t xml:space="preserve"> ДГ</w:t>
        </w:r>
      </w:hyperlink>
      <w:r w:rsidR="0024161E" w:rsidRPr="00A077D5">
        <w:rPr>
          <w:rFonts w:cs="Times New Roman"/>
          <w:szCs w:val="28"/>
        </w:rPr>
        <w:t xml:space="preserve">) </w:t>
      </w:r>
      <w:r w:rsidR="004B7864">
        <w:rPr>
          <w:rFonts w:cs="Times New Roman"/>
          <w:szCs w:val="28"/>
        </w:rPr>
        <w:t>изменения согласно приложению к настоящему решению.</w:t>
      </w:r>
    </w:p>
    <w:p w:rsidR="00CA5AB8" w:rsidRPr="00A077D5" w:rsidRDefault="00CA5AB8" w:rsidP="00CA5AB8">
      <w:pPr>
        <w:pStyle w:val="a8"/>
        <w:autoSpaceDE w:val="0"/>
        <w:autoSpaceDN w:val="0"/>
        <w:adjustRightInd w:val="0"/>
        <w:spacing w:line="240" w:lineRule="auto"/>
        <w:ind w:left="0"/>
        <w:rPr>
          <w:szCs w:val="28"/>
        </w:rPr>
      </w:pPr>
      <w:r>
        <w:rPr>
          <w:szCs w:val="28"/>
          <w:lang w:eastAsia="ru-RU"/>
        </w:rPr>
        <w:t>2.  </w:t>
      </w:r>
      <w:r w:rsidRPr="00A077D5">
        <w:rPr>
          <w:szCs w:val="28"/>
          <w:shd w:val="clear" w:color="auto" w:fill="FFFFFF"/>
        </w:rPr>
        <w:t xml:space="preserve">Настоящее решение вступает в силу после его официального </w:t>
      </w:r>
      <w:hyperlink r:id="rId9" w:anchor="/document/45286223/entry/0" w:history="1">
        <w:r w:rsidRPr="00A077D5">
          <w:rPr>
            <w:rStyle w:val="af"/>
            <w:color w:val="auto"/>
            <w:szCs w:val="28"/>
            <w:u w:val="none"/>
          </w:rPr>
          <w:t>опубликования</w:t>
        </w:r>
      </w:hyperlink>
      <w:r w:rsidRPr="00A077D5">
        <w:rPr>
          <w:szCs w:val="28"/>
        </w:rPr>
        <w:t>.</w:t>
      </w:r>
    </w:p>
    <w:p w:rsidR="004B7864" w:rsidRDefault="004B7864" w:rsidP="009B3D5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4B4707" w:rsidRDefault="004B4707" w:rsidP="009B3D5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4B4707" w:rsidRDefault="004B4707" w:rsidP="009B3D5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4B7864" w:rsidRPr="00112886" w:rsidRDefault="00D95BE9" w:rsidP="004B7864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proofErr w:type="spellStart"/>
      <w:r w:rsidRPr="00112886">
        <w:rPr>
          <w:rFonts w:eastAsia="Times New Roman" w:cs="Times New Roman"/>
          <w:szCs w:val="28"/>
          <w:lang w:eastAsia="ru-RU"/>
        </w:rPr>
        <w:t>И.о</w:t>
      </w:r>
      <w:proofErr w:type="spellEnd"/>
      <w:r w:rsidRPr="00112886">
        <w:rPr>
          <w:rFonts w:eastAsia="Times New Roman" w:cs="Times New Roman"/>
          <w:szCs w:val="28"/>
          <w:lang w:eastAsia="ru-RU"/>
        </w:rPr>
        <w:t>. Председателя</w:t>
      </w:r>
      <w:r w:rsidR="004B7864" w:rsidRPr="00112886">
        <w:rPr>
          <w:rFonts w:eastAsia="Times New Roman" w:cs="Times New Roman"/>
          <w:szCs w:val="28"/>
          <w:lang w:eastAsia="ru-RU"/>
        </w:rPr>
        <w:t xml:space="preserve"> Думы города                </w:t>
      </w:r>
      <w:r w:rsidR="004F636F">
        <w:rPr>
          <w:rFonts w:eastAsia="Times New Roman" w:cs="Times New Roman"/>
          <w:szCs w:val="28"/>
          <w:lang w:eastAsia="ru-RU"/>
        </w:rPr>
        <w:t xml:space="preserve">               </w:t>
      </w:r>
      <w:r w:rsidR="004B7864" w:rsidRPr="00112886">
        <w:rPr>
          <w:rFonts w:eastAsia="Times New Roman" w:cs="Times New Roman"/>
          <w:szCs w:val="28"/>
          <w:lang w:eastAsia="ru-RU"/>
        </w:rPr>
        <w:t>Глава города</w:t>
      </w:r>
    </w:p>
    <w:p w:rsidR="004B7864" w:rsidRPr="00112886" w:rsidRDefault="004B7864" w:rsidP="004B7864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4B7864" w:rsidRPr="00112886" w:rsidRDefault="004B7864" w:rsidP="004B7864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112886">
        <w:rPr>
          <w:rFonts w:eastAsia="Times New Roman" w:cs="Times New Roman"/>
          <w:szCs w:val="28"/>
          <w:lang w:eastAsia="ru-RU"/>
        </w:rPr>
        <w:t>____________</w:t>
      </w:r>
      <w:r w:rsidR="00CA1D6F" w:rsidRPr="00112886">
        <w:rPr>
          <w:rFonts w:eastAsia="Times New Roman" w:cs="Times New Roman"/>
          <w:szCs w:val="28"/>
          <w:lang w:eastAsia="ru-RU"/>
        </w:rPr>
        <w:t xml:space="preserve">  </w:t>
      </w:r>
      <w:r w:rsidR="00D95BE9" w:rsidRPr="00112886">
        <w:rPr>
          <w:rFonts w:eastAsia="Times New Roman" w:cs="Times New Roman"/>
          <w:szCs w:val="28"/>
          <w:lang w:eastAsia="ru-RU"/>
        </w:rPr>
        <w:t>А.И. Олейников</w:t>
      </w:r>
      <w:r w:rsidR="00CA1D6F" w:rsidRPr="00112886">
        <w:rPr>
          <w:rFonts w:eastAsia="Times New Roman" w:cs="Times New Roman"/>
          <w:szCs w:val="28"/>
          <w:lang w:eastAsia="ru-RU"/>
        </w:rPr>
        <w:t xml:space="preserve">          </w:t>
      </w:r>
      <w:r w:rsidRPr="00112886">
        <w:rPr>
          <w:rFonts w:eastAsia="Times New Roman" w:cs="Times New Roman"/>
          <w:szCs w:val="28"/>
          <w:lang w:eastAsia="ru-RU"/>
        </w:rPr>
        <w:t xml:space="preserve">   </w:t>
      </w:r>
      <w:r w:rsidR="009C476B">
        <w:rPr>
          <w:rFonts w:eastAsia="Times New Roman" w:cs="Times New Roman"/>
          <w:szCs w:val="28"/>
          <w:lang w:eastAsia="ru-RU"/>
        </w:rPr>
        <w:t xml:space="preserve">    </w:t>
      </w:r>
      <w:r w:rsidRPr="00112886">
        <w:rPr>
          <w:rFonts w:eastAsia="Times New Roman" w:cs="Times New Roman"/>
          <w:szCs w:val="28"/>
          <w:lang w:eastAsia="ru-RU"/>
        </w:rPr>
        <w:t xml:space="preserve">                 ______________М.Н. </w:t>
      </w:r>
      <w:proofErr w:type="spellStart"/>
      <w:r w:rsidRPr="00112886">
        <w:rPr>
          <w:rFonts w:eastAsia="Times New Roman" w:cs="Times New Roman"/>
          <w:szCs w:val="28"/>
          <w:lang w:eastAsia="ru-RU"/>
        </w:rPr>
        <w:t>Слепов</w:t>
      </w:r>
      <w:proofErr w:type="spellEnd"/>
    </w:p>
    <w:p w:rsidR="004B7864" w:rsidRPr="00112886" w:rsidRDefault="004B7864" w:rsidP="004B7864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4B7864" w:rsidRDefault="004B7864" w:rsidP="004B7864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«____» ___________ 2024 г.                              </w:t>
      </w:r>
      <w:r w:rsidR="009C476B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     «____» ___________ 2024 г.</w:t>
      </w:r>
    </w:p>
    <w:p w:rsidR="004B7864" w:rsidRDefault="004B7864" w:rsidP="009B3D5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4B7864" w:rsidRDefault="004B7864" w:rsidP="009B3D5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4B7864" w:rsidRDefault="004B7864" w:rsidP="009B3D5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5F0F7B" w:rsidRDefault="005F0F7B">
      <w:pPr>
        <w:spacing w:after="160" w:line="259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5F0F7B" w:rsidRDefault="005F0F7B" w:rsidP="004F636F">
      <w:pPr>
        <w:shd w:val="clear" w:color="auto" w:fill="FFFFFF"/>
        <w:spacing w:line="240" w:lineRule="auto"/>
        <w:ind w:firstLine="6237"/>
        <w:rPr>
          <w:rFonts w:eastAsia="Times New Roman" w:cs="Times New Roman"/>
          <w:color w:val="22272F"/>
          <w:szCs w:val="28"/>
          <w:lang w:eastAsia="ru-RU"/>
        </w:rPr>
      </w:pPr>
      <w:r>
        <w:rPr>
          <w:rFonts w:eastAsia="Times New Roman" w:cs="Times New Roman"/>
          <w:color w:val="22272F"/>
          <w:szCs w:val="28"/>
          <w:lang w:eastAsia="ru-RU"/>
        </w:rPr>
        <w:lastRenderedPageBreak/>
        <w:t>Приложение</w:t>
      </w:r>
    </w:p>
    <w:p w:rsidR="005F0F7B" w:rsidRDefault="005F0F7B" w:rsidP="004F636F">
      <w:pPr>
        <w:shd w:val="clear" w:color="auto" w:fill="FFFFFF"/>
        <w:spacing w:line="240" w:lineRule="auto"/>
        <w:ind w:firstLine="6237"/>
        <w:rPr>
          <w:rFonts w:eastAsia="Times New Roman" w:cs="Times New Roman"/>
          <w:color w:val="22272F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к </w:t>
      </w:r>
      <w:hyperlink r:id="rId10" w:anchor="/document/403027412/entry/0" w:history="1">
        <w:r w:rsidR="004B7864" w:rsidRPr="004B7864">
          <w:rPr>
            <w:rFonts w:eastAsia="Times New Roman" w:cs="Times New Roman"/>
            <w:color w:val="000000" w:themeColor="text1"/>
            <w:szCs w:val="28"/>
            <w:lang w:eastAsia="ru-RU"/>
          </w:rPr>
          <w:t>решению</w:t>
        </w:r>
      </w:hyperlink>
      <w:r>
        <w:rPr>
          <w:rFonts w:eastAsia="Times New Roman" w:cs="Times New Roman"/>
          <w:color w:val="22272F"/>
          <w:szCs w:val="28"/>
          <w:lang w:eastAsia="ru-RU"/>
        </w:rPr>
        <w:t xml:space="preserve"> </w:t>
      </w:r>
      <w:r w:rsidR="004B7864" w:rsidRPr="004B7864">
        <w:rPr>
          <w:rFonts w:eastAsia="Times New Roman" w:cs="Times New Roman"/>
          <w:color w:val="22272F"/>
          <w:szCs w:val="28"/>
          <w:lang w:eastAsia="ru-RU"/>
        </w:rPr>
        <w:t xml:space="preserve">Думы </w:t>
      </w:r>
      <w:r>
        <w:rPr>
          <w:rFonts w:eastAsia="Times New Roman" w:cs="Times New Roman"/>
          <w:color w:val="22272F"/>
          <w:szCs w:val="28"/>
          <w:lang w:eastAsia="ru-RU"/>
        </w:rPr>
        <w:t>города</w:t>
      </w:r>
    </w:p>
    <w:p w:rsidR="004B7864" w:rsidRPr="004B7864" w:rsidRDefault="004B7864" w:rsidP="004F636F">
      <w:pPr>
        <w:shd w:val="clear" w:color="auto" w:fill="FFFFFF"/>
        <w:spacing w:line="240" w:lineRule="auto"/>
        <w:ind w:firstLine="6237"/>
        <w:rPr>
          <w:rFonts w:eastAsia="Times New Roman" w:cs="Times New Roman"/>
          <w:color w:val="22272F"/>
          <w:szCs w:val="28"/>
          <w:lang w:eastAsia="ru-RU"/>
        </w:rPr>
      </w:pPr>
      <w:r w:rsidRPr="004B7864">
        <w:rPr>
          <w:rFonts w:eastAsia="Times New Roman" w:cs="Times New Roman"/>
          <w:color w:val="22272F"/>
          <w:szCs w:val="28"/>
          <w:lang w:eastAsia="ru-RU"/>
        </w:rPr>
        <w:t xml:space="preserve">от </w:t>
      </w:r>
      <w:r w:rsidR="005F0F7B">
        <w:rPr>
          <w:rFonts w:eastAsia="Times New Roman" w:cs="Times New Roman"/>
          <w:color w:val="22272F"/>
          <w:szCs w:val="28"/>
          <w:lang w:eastAsia="ru-RU"/>
        </w:rPr>
        <w:t>__________ № ________</w:t>
      </w:r>
    </w:p>
    <w:p w:rsidR="005F0F7B" w:rsidRDefault="005F0F7B" w:rsidP="004B4707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4B4707" w:rsidRPr="004B4707" w:rsidRDefault="004B4707" w:rsidP="004B4707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4B4707">
        <w:rPr>
          <w:rFonts w:eastAsia="Times New Roman" w:cs="Times New Roman"/>
          <w:szCs w:val="28"/>
          <w:lang w:eastAsia="ru-RU"/>
        </w:rPr>
        <w:t>Изменения</w:t>
      </w:r>
    </w:p>
    <w:p w:rsidR="004B7864" w:rsidRPr="004B4707" w:rsidRDefault="004B7864" w:rsidP="004B4707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4B4707">
        <w:rPr>
          <w:rFonts w:eastAsia="Times New Roman" w:cs="Times New Roman"/>
          <w:szCs w:val="28"/>
          <w:lang w:eastAsia="ru-RU"/>
        </w:rPr>
        <w:t xml:space="preserve">в решение Думы города от 08.06.2015 </w:t>
      </w:r>
      <w:r w:rsidR="00D95BE9" w:rsidRPr="004B4707">
        <w:rPr>
          <w:rFonts w:eastAsia="Times New Roman" w:cs="Times New Roman"/>
          <w:szCs w:val="28"/>
          <w:lang w:eastAsia="ru-RU"/>
        </w:rPr>
        <w:t>№</w:t>
      </w:r>
      <w:r w:rsidR="004B4707" w:rsidRPr="004B4707">
        <w:rPr>
          <w:rFonts w:eastAsia="Times New Roman" w:cs="Times New Roman"/>
          <w:szCs w:val="28"/>
          <w:lang w:eastAsia="ru-RU"/>
        </w:rPr>
        <w:t xml:space="preserve"> 718-V ДГ «</w:t>
      </w:r>
      <w:r w:rsidRPr="004B4707">
        <w:rPr>
          <w:rFonts w:eastAsia="Times New Roman" w:cs="Times New Roman"/>
          <w:szCs w:val="28"/>
          <w:lang w:eastAsia="ru-RU"/>
        </w:rPr>
        <w:t>О Стратегии социально-экономического развития муниципального об</w:t>
      </w:r>
      <w:r w:rsidR="004B4707" w:rsidRPr="004B4707">
        <w:rPr>
          <w:rFonts w:eastAsia="Times New Roman" w:cs="Times New Roman"/>
          <w:szCs w:val="28"/>
          <w:lang w:eastAsia="ru-RU"/>
        </w:rPr>
        <w:t xml:space="preserve">разования городской округ </w:t>
      </w:r>
      <w:r w:rsidRPr="004B4707">
        <w:rPr>
          <w:rFonts w:eastAsia="Times New Roman" w:cs="Times New Roman"/>
          <w:szCs w:val="28"/>
          <w:lang w:eastAsia="ru-RU"/>
        </w:rPr>
        <w:t xml:space="preserve">Сургут </w:t>
      </w:r>
      <w:r w:rsidR="004B4707" w:rsidRPr="004B4707">
        <w:rPr>
          <w:rFonts w:eastAsia="Times New Roman" w:cs="Times New Roman"/>
          <w:szCs w:val="28"/>
          <w:lang w:eastAsia="ru-RU"/>
        </w:rPr>
        <w:t>Ханты-Мансийского автономного округа – Югры на период до 2030 года»</w:t>
      </w:r>
    </w:p>
    <w:p w:rsidR="004B7864" w:rsidRDefault="004B7864" w:rsidP="009B3D5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4B4707" w:rsidRPr="00112886" w:rsidRDefault="000303A3" w:rsidP="007F5C3A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1. Н</w:t>
      </w:r>
      <w:r w:rsidR="00284C5A" w:rsidRPr="00112886">
        <w:rPr>
          <w:rFonts w:cs="Times New Roman"/>
          <w:szCs w:val="28"/>
        </w:rPr>
        <w:t>аименование решени</w:t>
      </w:r>
      <w:r w:rsidR="004B4707" w:rsidRPr="00112886">
        <w:rPr>
          <w:rFonts w:cs="Times New Roman"/>
          <w:szCs w:val="28"/>
        </w:rPr>
        <w:t>я изложить в следующей редакции:</w:t>
      </w:r>
    </w:p>
    <w:p w:rsidR="004B4707" w:rsidRPr="00112886" w:rsidRDefault="00284C5A" w:rsidP="005F0F7B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Cs w:val="28"/>
        </w:rPr>
      </w:pPr>
      <w:r w:rsidRPr="00112886">
        <w:rPr>
          <w:rFonts w:cs="Times New Roman"/>
          <w:szCs w:val="28"/>
        </w:rPr>
        <w:t>«О Стратегии социально-экономического разв</w:t>
      </w:r>
      <w:r w:rsidR="004B4707" w:rsidRPr="00112886">
        <w:rPr>
          <w:rFonts w:cs="Times New Roman"/>
          <w:szCs w:val="28"/>
        </w:rPr>
        <w:t xml:space="preserve">ития города </w:t>
      </w:r>
      <w:r w:rsidRPr="00112886">
        <w:rPr>
          <w:rFonts w:cs="Times New Roman"/>
          <w:szCs w:val="28"/>
        </w:rPr>
        <w:t>Сургут</w:t>
      </w:r>
      <w:r w:rsidR="00112886" w:rsidRPr="00112886">
        <w:rPr>
          <w:rFonts w:cs="Times New Roman"/>
          <w:szCs w:val="28"/>
        </w:rPr>
        <w:t xml:space="preserve">а </w:t>
      </w:r>
      <w:r w:rsidR="00112886" w:rsidRPr="00112886">
        <w:rPr>
          <w:rFonts w:cs="Times New Roman"/>
          <w:szCs w:val="28"/>
        </w:rPr>
        <w:br/>
      </w:r>
      <w:r w:rsidRPr="00112886">
        <w:rPr>
          <w:rFonts w:cs="Times New Roman"/>
          <w:szCs w:val="28"/>
        </w:rPr>
        <w:t>до 2036 года с цел</w:t>
      </w:r>
      <w:r w:rsidR="00587733">
        <w:rPr>
          <w:rFonts w:cs="Times New Roman"/>
          <w:szCs w:val="28"/>
        </w:rPr>
        <w:t>евыми ориентирами до 2050 года».</w:t>
      </w:r>
    </w:p>
    <w:p w:rsidR="00D95BE9" w:rsidRPr="00112886" w:rsidRDefault="000303A3" w:rsidP="007F5C3A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2. Ч</w:t>
      </w:r>
      <w:r w:rsidR="004B4707" w:rsidRPr="00112886">
        <w:rPr>
          <w:rFonts w:cs="Times New Roman"/>
          <w:szCs w:val="28"/>
        </w:rPr>
        <w:t xml:space="preserve">асть 1 решения </w:t>
      </w:r>
      <w:r w:rsidR="00D95BE9" w:rsidRPr="00112886">
        <w:rPr>
          <w:rFonts w:cs="Times New Roman"/>
          <w:szCs w:val="28"/>
        </w:rPr>
        <w:t>изложить в следующей редакции:</w:t>
      </w:r>
    </w:p>
    <w:p w:rsidR="004B4707" w:rsidRPr="00112886" w:rsidRDefault="00D95BE9" w:rsidP="005F0F7B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Cs w:val="28"/>
        </w:rPr>
      </w:pPr>
      <w:r w:rsidRPr="00112886">
        <w:rPr>
          <w:rFonts w:cs="Times New Roman"/>
          <w:szCs w:val="28"/>
        </w:rPr>
        <w:t>«1. Утвердить Стратегию социально-экономического разв</w:t>
      </w:r>
      <w:r w:rsidR="004B4707" w:rsidRPr="00112886">
        <w:rPr>
          <w:rFonts w:cs="Times New Roman"/>
          <w:szCs w:val="28"/>
        </w:rPr>
        <w:t xml:space="preserve">ития города </w:t>
      </w:r>
      <w:r w:rsidRPr="00112886">
        <w:rPr>
          <w:rFonts w:cs="Times New Roman"/>
          <w:szCs w:val="28"/>
        </w:rPr>
        <w:t>Сургут</w:t>
      </w:r>
      <w:r w:rsidR="00112886">
        <w:rPr>
          <w:rFonts w:cs="Times New Roman"/>
          <w:szCs w:val="28"/>
        </w:rPr>
        <w:t xml:space="preserve">а </w:t>
      </w:r>
      <w:r w:rsidRPr="00112886">
        <w:rPr>
          <w:rFonts w:cs="Times New Roman"/>
          <w:szCs w:val="28"/>
        </w:rPr>
        <w:t>до 2036 года с целевыми ориентирами до 2050 года согласно приложению</w:t>
      </w:r>
      <w:r w:rsidR="004B4707" w:rsidRPr="00112886">
        <w:rPr>
          <w:rFonts w:cs="Times New Roman"/>
          <w:szCs w:val="28"/>
        </w:rPr>
        <w:t xml:space="preserve"> к настоящему решению</w:t>
      </w:r>
      <w:r w:rsidR="00587733">
        <w:rPr>
          <w:rFonts w:cs="Times New Roman"/>
          <w:szCs w:val="28"/>
        </w:rPr>
        <w:t>.».</w:t>
      </w:r>
    </w:p>
    <w:p w:rsidR="0097239B" w:rsidRDefault="004B4707" w:rsidP="0097239B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Cs w:val="28"/>
        </w:rPr>
      </w:pPr>
      <w:r w:rsidRPr="00112886">
        <w:rPr>
          <w:rFonts w:cs="Times New Roman"/>
          <w:szCs w:val="28"/>
        </w:rPr>
        <w:t>3</w:t>
      </w:r>
      <w:r w:rsidR="000303A3">
        <w:rPr>
          <w:rFonts w:cs="Times New Roman"/>
          <w:szCs w:val="28"/>
        </w:rPr>
        <w:t>. В</w:t>
      </w:r>
      <w:r w:rsidR="0097239B" w:rsidRPr="00112886">
        <w:rPr>
          <w:rFonts w:cs="Times New Roman"/>
          <w:szCs w:val="28"/>
        </w:rPr>
        <w:t xml:space="preserve"> разделе </w:t>
      </w:r>
      <w:r w:rsidR="0097239B" w:rsidRPr="00112886">
        <w:rPr>
          <w:rFonts w:cs="Times New Roman"/>
          <w:szCs w:val="28"/>
          <w:lang w:val="en-US"/>
        </w:rPr>
        <w:t>IV</w:t>
      </w:r>
      <w:r w:rsidR="0097239B" w:rsidRPr="00112886">
        <w:rPr>
          <w:rFonts w:cs="Times New Roman"/>
          <w:szCs w:val="28"/>
        </w:rPr>
        <w:t xml:space="preserve"> приложения к решению:</w:t>
      </w:r>
    </w:p>
    <w:p w:rsidR="0083497D" w:rsidRPr="005D3B9E" w:rsidRDefault="0083497D" w:rsidP="0083497D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Cs w:val="28"/>
        </w:rPr>
      </w:pPr>
      <w:r w:rsidRPr="005D3B9E">
        <w:rPr>
          <w:rFonts w:eastAsia="Calibri"/>
          <w:szCs w:val="28"/>
        </w:rPr>
        <w:t xml:space="preserve">1) абзац девятнадцатый пункта 12.1 главы 12 </w:t>
      </w:r>
      <w:r w:rsidRPr="005D3B9E">
        <w:rPr>
          <w:rFonts w:cs="Times New Roman"/>
          <w:szCs w:val="28"/>
        </w:rPr>
        <w:t>изложить в следующей редакции:</w:t>
      </w:r>
    </w:p>
    <w:p w:rsidR="0083497D" w:rsidRPr="005D3B9E" w:rsidRDefault="0083497D" w:rsidP="0083497D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Cs w:val="28"/>
        </w:rPr>
      </w:pPr>
      <w:r w:rsidRPr="005D3B9E">
        <w:rPr>
          <w:rFonts w:eastAsia="Calibri"/>
          <w:szCs w:val="28"/>
        </w:rPr>
        <w:t>«</w:t>
      </w:r>
      <w:r w:rsidRPr="005D3B9E">
        <w:rPr>
          <w:szCs w:val="28"/>
        </w:rPr>
        <w:t>- государственных программ Ханты-Мансийского автономного округа – Югры «Научно-технологическое развитие», «Развитие промышленности и туризма»</w:t>
      </w:r>
      <w:r w:rsidRPr="005D3B9E">
        <w:rPr>
          <w:iCs/>
          <w:szCs w:val="28"/>
        </w:rPr>
        <w:t>; «Развитие экономического потенциала»;»</w:t>
      </w:r>
    </w:p>
    <w:p w:rsidR="00284C5A" w:rsidRPr="005D3B9E" w:rsidRDefault="0083497D" w:rsidP="0097239B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Cs w:val="28"/>
        </w:rPr>
      </w:pPr>
      <w:r w:rsidRPr="005D3B9E">
        <w:rPr>
          <w:rFonts w:cs="Times New Roman"/>
          <w:szCs w:val="28"/>
        </w:rPr>
        <w:t>2</w:t>
      </w:r>
      <w:r w:rsidR="0097239B" w:rsidRPr="005D3B9E">
        <w:rPr>
          <w:rFonts w:cs="Times New Roman"/>
          <w:szCs w:val="28"/>
        </w:rPr>
        <w:t xml:space="preserve">) </w:t>
      </w:r>
      <w:r w:rsidR="00D0281B" w:rsidRPr="005D3B9E">
        <w:rPr>
          <w:rFonts w:cs="Times New Roman"/>
          <w:szCs w:val="28"/>
        </w:rPr>
        <w:t xml:space="preserve">абзац </w:t>
      </w:r>
      <w:r w:rsidR="002B297C" w:rsidRPr="005D3B9E">
        <w:rPr>
          <w:rFonts w:cs="Times New Roman"/>
          <w:szCs w:val="28"/>
        </w:rPr>
        <w:t>восемнадцатый</w:t>
      </w:r>
      <w:r w:rsidR="004B4707" w:rsidRPr="005D3B9E">
        <w:rPr>
          <w:rFonts w:cs="Times New Roman"/>
          <w:szCs w:val="28"/>
        </w:rPr>
        <w:t xml:space="preserve"> пункта 12.3 </w:t>
      </w:r>
      <w:r w:rsidR="0097239B" w:rsidRPr="005D3B9E">
        <w:rPr>
          <w:rFonts w:cs="Times New Roman"/>
          <w:szCs w:val="28"/>
        </w:rPr>
        <w:t xml:space="preserve">главы 12 </w:t>
      </w:r>
      <w:r w:rsidR="004B4707" w:rsidRPr="005D3B9E">
        <w:rPr>
          <w:rFonts w:cs="Times New Roman"/>
          <w:szCs w:val="28"/>
        </w:rPr>
        <w:t>признать утратившим силу;</w:t>
      </w:r>
    </w:p>
    <w:p w:rsidR="0015545D" w:rsidRPr="005D3B9E" w:rsidRDefault="0083497D" w:rsidP="0097239B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Cs w:val="28"/>
        </w:rPr>
      </w:pPr>
      <w:r w:rsidRPr="005D3B9E">
        <w:rPr>
          <w:rFonts w:cs="Times New Roman"/>
          <w:szCs w:val="28"/>
        </w:rPr>
        <w:t>3</w:t>
      </w:r>
      <w:r w:rsidR="0015545D" w:rsidRPr="005D3B9E">
        <w:rPr>
          <w:rFonts w:cs="Times New Roman"/>
          <w:szCs w:val="28"/>
        </w:rPr>
        <w:t>) в абзаце двадцат</w:t>
      </w:r>
      <w:r w:rsidR="002B297C" w:rsidRPr="005D3B9E">
        <w:rPr>
          <w:rFonts w:cs="Times New Roman"/>
          <w:szCs w:val="28"/>
        </w:rPr>
        <w:t>ь первом</w:t>
      </w:r>
      <w:r w:rsidR="0015545D" w:rsidRPr="005D3B9E">
        <w:rPr>
          <w:rFonts w:cs="Times New Roman"/>
          <w:szCs w:val="28"/>
        </w:rPr>
        <w:t xml:space="preserve"> пункта 12.3 главы 12 слова «создание территориаль</w:t>
      </w:r>
      <w:r w:rsidR="001E32D3" w:rsidRPr="005D3B9E">
        <w:rPr>
          <w:rFonts w:cs="Times New Roman"/>
          <w:szCs w:val="28"/>
        </w:rPr>
        <w:t>ного бренда» заменить словами «</w:t>
      </w:r>
      <w:r w:rsidR="0015545D" w:rsidRPr="005D3B9E">
        <w:rPr>
          <w:rFonts w:cs="Times New Roman"/>
          <w:szCs w:val="28"/>
        </w:rPr>
        <w:t>определение туристического бренда»;</w:t>
      </w:r>
    </w:p>
    <w:p w:rsidR="00777ED8" w:rsidRPr="005D3B9E" w:rsidRDefault="0083497D" w:rsidP="00F81399">
      <w:pPr>
        <w:spacing w:line="240" w:lineRule="auto"/>
        <w:rPr>
          <w:rFonts w:cs="Times New Roman"/>
          <w:szCs w:val="28"/>
        </w:rPr>
      </w:pPr>
      <w:r w:rsidRPr="005D3B9E">
        <w:rPr>
          <w:rFonts w:cs="Times New Roman"/>
          <w:szCs w:val="28"/>
        </w:rPr>
        <w:t>4</w:t>
      </w:r>
      <w:r w:rsidR="00777ED8" w:rsidRPr="005D3B9E">
        <w:rPr>
          <w:rFonts w:cs="Times New Roman"/>
          <w:szCs w:val="28"/>
        </w:rPr>
        <w:t>) в абзаце пятнадцатом пункта 13.1 главы 13 слова «- государственной программы Ханты-Мансийского автономного округа – Югры «Развитие образования»» заменить словами «- государственных программ Ханты-Мансийского автономного округа – Югры «Развитие образования», «Строительство»;»</w:t>
      </w:r>
    </w:p>
    <w:p w:rsidR="00777ED8" w:rsidRPr="005D3B9E" w:rsidRDefault="0083497D" w:rsidP="00777ED8">
      <w:pPr>
        <w:spacing w:line="240" w:lineRule="auto"/>
        <w:rPr>
          <w:rFonts w:cs="Times New Roman"/>
          <w:szCs w:val="28"/>
        </w:rPr>
      </w:pPr>
      <w:r w:rsidRPr="005D3B9E">
        <w:rPr>
          <w:rFonts w:cs="Times New Roman"/>
          <w:szCs w:val="28"/>
        </w:rPr>
        <w:t>5</w:t>
      </w:r>
      <w:r w:rsidR="00777ED8" w:rsidRPr="005D3B9E">
        <w:rPr>
          <w:rFonts w:cs="Times New Roman"/>
          <w:szCs w:val="28"/>
        </w:rPr>
        <w:t>) в абзаце тринадцатом пункта 13.2 главы 13 слова «- государственной программы Ханты-Мансийского автономного округа – Югры «Развитие гражданского общества»» заменить словами «- государственных программ Ханты-Мансийского автономного округа – Югры «Развитие гражданского общества», «Строительство»;»</w:t>
      </w:r>
    </w:p>
    <w:p w:rsidR="00777ED8" w:rsidRPr="005D3B9E" w:rsidRDefault="0083497D" w:rsidP="00777ED8">
      <w:pPr>
        <w:spacing w:line="240" w:lineRule="auto"/>
        <w:rPr>
          <w:rFonts w:cs="Times New Roman"/>
          <w:szCs w:val="28"/>
        </w:rPr>
      </w:pPr>
      <w:r w:rsidRPr="005D3B9E">
        <w:rPr>
          <w:rFonts w:cs="Times New Roman"/>
          <w:szCs w:val="28"/>
        </w:rPr>
        <w:t>6</w:t>
      </w:r>
      <w:r w:rsidR="00777ED8" w:rsidRPr="005D3B9E">
        <w:rPr>
          <w:rFonts w:cs="Times New Roman"/>
          <w:szCs w:val="28"/>
        </w:rPr>
        <w:t>) в абзаце пятнадцатом пункта 13.3 главы 13 слова «- государственной программы Ханты-Мансийского автономного округа – Югры «Культурное пространство»» заменить словами «- государственных программ Ханты-Мансийского автономного округа – Югры «Культурное пространство», «Развитие образования»;»;</w:t>
      </w:r>
    </w:p>
    <w:p w:rsidR="00777ED8" w:rsidRPr="005D3B9E" w:rsidRDefault="0083497D" w:rsidP="00777ED8">
      <w:pPr>
        <w:spacing w:line="240" w:lineRule="auto"/>
        <w:rPr>
          <w:rFonts w:cs="Times New Roman"/>
          <w:szCs w:val="28"/>
        </w:rPr>
      </w:pPr>
      <w:r w:rsidRPr="005D3B9E">
        <w:rPr>
          <w:rFonts w:cs="Times New Roman"/>
          <w:szCs w:val="28"/>
        </w:rPr>
        <w:t>7</w:t>
      </w:r>
      <w:r w:rsidR="00777ED8" w:rsidRPr="005D3B9E">
        <w:rPr>
          <w:rFonts w:cs="Times New Roman"/>
          <w:szCs w:val="28"/>
        </w:rPr>
        <w:t xml:space="preserve">) в абзаце четырнадцатом пункта 13.4 главы 13 слова «- государственной программы Ханты-Мансийского автономного округа – Югры «Развитие физической культуры и спорта»;» заменить словами «- государственных </w:t>
      </w:r>
      <w:r w:rsidR="00777ED8" w:rsidRPr="005D3B9E">
        <w:rPr>
          <w:rFonts w:cs="Times New Roman"/>
          <w:szCs w:val="28"/>
        </w:rPr>
        <w:lastRenderedPageBreak/>
        <w:t>программ Ханты-Мансийского автономного округа – Югры «Развитие физической культуры и спорта», «Строительство», «Развитие образования»;»;</w:t>
      </w:r>
    </w:p>
    <w:p w:rsidR="00777ED8" w:rsidRPr="005D3B9E" w:rsidRDefault="0083497D" w:rsidP="00777ED8">
      <w:pPr>
        <w:spacing w:line="240" w:lineRule="auto"/>
        <w:rPr>
          <w:rFonts w:cs="Times New Roman"/>
          <w:szCs w:val="28"/>
        </w:rPr>
      </w:pPr>
      <w:r w:rsidRPr="005D3B9E">
        <w:rPr>
          <w:rFonts w:cs="Times New Roman"/>
          <w:szCs w:val="28"/>
        </w:rPr>
        <w:t>8</w:t>
      </w:r>
      <w:r w:rsidR="00777ED8" w:rsidRPr="005D3B9E">
        <w:rPr>
          <w:rFonts w:cs="Times New Roman"/>
          <w:szCs w:val="28"/>
        </w:rPr>
        <w:t>) в пункте 13.5 главы 13 после слов «- национального проекта «Демография»;» дополнить абзацем «- государственных программ Ханты-Мансийского автономного округа – Югры «Современное здравоохранение», «Развитие физической культуры и спорта»;</w:t>
      </w:r>
    </w:p>
    <w:p w:rsidR="0070754E" w:rsidRPr="005D3B9E" w:rsidRDefault="0070754E" w:rsidP="0070754E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Cs w:val="28"/>
        </w:rPr>
      </w:pPr>
      <w:r w:rsidRPr="005D3B9E">
        <w:rPr>
          <w:rFonts w:cs="Times New Roman"/>
          <w:szCs w:val="28"/>
        </w:rPr>
        <w:t>9)  пункт 14.1 главы 14 дополнить семнадцатым, восемнадцатым абзацами следующего содержания:</w:t>
      </w:r>
    </w:p>
    <w:p w:rsidR="0070754E" w:rsidRPr="005D3B9E" w:rsidRDefault="0070754E" w:rsidP="0070754E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Cs w:val="28"/>
        </w:rPr>
      </w:pPr>
      <w:r w:rsidRPr="005D3B9E">
        <w:rPr>
          <w:rFonts w:cs="Times New Roman"/>
          <w:szCs w:val="28"/>
        </w:rPr>
        <w:t>«- сохранение и развитие природных комплексов, создание экологического каркаса;</w:t>
      </w:r>
    </w:p>
    <w:p w:rsidR="0070754E" w:rsidRPr="005D3B9E" w:rsidRDefault="0070754E" w:rsidP="0070754E">
      <w:pPr>
        <w:spacing w:line="240" w:lineRule="auto"/>
        <w:rPr>
          <w:rFonts w:cs="Times New Roman"/>
          <w:szCs w:val="28"/>
        </w:rPr>
      </w:pPr>
      <w:r w:rsidRPr="005D3B9E">
        <w:rPr>
          <w:rFonts w:cs="Times New Roman"/>
          <w:szCs w:val="28"/>
        </w:rPr>
        <w:t xml:space="preserve">- </w:t>
      </w:r>
      <w:r w:rsidRPr="005D3B9E">
        <w:rPr>
          <w:rFonts w:eastAsia="Calibri"/>
          <w:szCs w:val="28"/>
        </w:rPr>
        <w:t>создание рекреационной инфраструктуры.»;</w:t>
      </w:r>
    </w:p>
    <w:p w:rsidR="00196F31" w:rsidRPr="005D3B9E" w:rsidRDefault="0083497D" w:rsidP="007F5C3A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Cs w:val="28"/>
        </w:rPr>
      </w:pPr>
      <w:r w:rsidRPr="005D3B9E">
        <w:rPr>
          <w:rFonts w:cs="Times New Roman"/>
          <w:szCs w:val="28"/>
        </w:rPr>
        <w:t>10</w:t>
      </w:r>
      <w:r w:rsidR="00196F31" w:rsidRPr="005D3B9E">
        <w:rPr>
          <w:rFonts w:cs="Times New Roman"/>
          <w:szCs w:val="28"/>
        </w:rPr>
        <w:t xml:space="preserve">) абзац </w:t>
      </w:r>
      <w:r w:rsidR="00163ACE" w:rsidRPr="005D3B9E">
        <w:rPr>
          <w:rFonts w:cs="Times New Roman"/>
          <w:szCs w:val="28"/>
        </w:rPr>
        <w:t>тридцать седьмой</w:t>
      </w:r>
      <w:r w:rsidR="00196F31" w:rsidRPr="005D3B9E">
        <w:rPr>
          <w:rFonts w:cs="Times New Roman"/>
          <w:szCs w:val="28"/>
        </w:rPr>
        <w:t xml:space="preserve"> пункта 14.1 главы 14 изложить в следующей редакции:</w:t>
      </w:r>
    </w:p>
    <w:p w:rsidR="00196F31" w:rsidRPr="005D3B9E" w:rsidRDefault="00196F31" w:rsidP="007F5C3A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Cs w:val="28"/>
        </w:rPr>
      </w:pPr>
      <w:r w:rsidRPr="005D3B9E">
        <w:rPr>
          <w:rFonts w:cs="Times New Roman"/>
          <w:szCs w:val="28"/>
        </w:rPr>
        <w:t>«- региональной программы по модернизации систем коммунальной инфраструктуры на 2023-2027 годы, региональной программы газификации жилищно-коммунального хозяйства, промышленных и иных организаций Ханты-Мансийского автон</w:t>
      </w:r>
      <w:r w:rsidR="00847975" w:rsidRPr="005D3B9E">
        <w:rPr>
          <w:rFonts w:cs="Times New Roman"/>
          <w:szCs w:val="28"/>
        </w:rPr>
        <w:t>омного округа-Югры до 2030 года;</w:t>
      </w:r>
      <w:r w:rsidRPr="005D3B9E">
        <w:rPr>
          <w:rFonts w:cs="Times New Roman"/>
          <w:szCs w:val="28"/>
        </w:rPr>
        <w:t>»;</w:t>
      </w:r>
    </w:p>
    <w:p w:rsidR="00534FA0" w:rsidRPr="005D3B9E" w:rsidRDefault="0083497D" w:rsidP="0097239B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Cs w:val="28"/>
        </w:rPr>
      </w:pPr>
      <w:r w:rsidRPr="005D3B9E">
        <w:rPr>
          <w:rFonts w:cs="Times New Roman"/>
          <w:szCs w:val="28"/>
        </w:rPr>
        <w:t>11</w:t>
      </w:r>
      <w:r w:rsidR="00D0281B" w:rsidRPr="005D3B9E">
        <w:rPr>
          <w:rFonts w:cs="Times New Roman"/>
          <w:szCs w:val="28"/>
        </w:rPr>
        <w:t xml:space="preserve">) абзац одиннадцатый </w:t>
      </w:r>
      <w:r w:rsidR="003568D4" w:rsidRPr="005D3B9E">
        <w:rPr>
          <w:rFonts w:cs="Times New Roman"/>
          <w:szCs w:val="28"/>
        </w:rPr>
        <w:t xml:space="preserve">пункта 14.3 </w:t>
      </w:r>
      <w:r w:rsidR="0097239B" w:rsidRPr="005D3B9E">
        <w:rPr>
          <w:rFonts w:cs="Times New Roman"/>
          <w:szCs w:val="28"/>
        </w:rPr>
        <w:t>главы 14 признать утратившим силу</w:t>
      </w:r>
      <w:r w:rsidR="00F7190A" w:rsidRPr="005D3B9E">
        <w:rPr>
          <w:rFonts w:cs="Times New Roman"/>
          <w:szCs w:val="28"/>
        </w:rPr>
        <w:t>;</w:t>
      </w:r>
    </w:p>
    <w:p w:rsidR="00F7190A" w:rsidRPr="005D3B9E" w:rsidRDefault="0083497D" w:rsidP="007F5C3A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Cs w:val="28"/>
        </w:rPr>
      </w:pPr>
      <w:r w:rsidRPr="005D3B9E">
        <w:rPr>
          <w:rFonts w:cs="Times New Roman"/>
          <w:szCs w:val="28"/>
        </w:rPr>
        <w:t>12</w:t>
      </w:r>
      <w:r w:rsidR="003568D4" w:rsidRPr="005D3B9E">
        <w:rPr>
          <w:rFonts w:cs="Times New Roman"/>
          <w:szCs w:val="28"/>
        </w:rPr>
        <w:t xml:space="preserve">) </w:t>
      </w:r>
      <w:r w:rsidR="00D0281B" w:rsidRPr="005D3B9E">
        <w:rPr>
          <w:rFonts w:cs="Times New Roman"/>
          <w:szCs w:val="28"/>
        </w:rPr>
        <w:t xml:space="preserve">в абзаце семнадцатом </w:t>
      </w:r>
      <w:r w:rsidR="003568D4" w:rsidRPr="005D3B9E">
        <w:rPr>
          <w:rFonts w:cs="Times New Roman"/>
          <w:szCs w:val="28"/>
        </w:rPr>
        <w:t>пункта 14.3</w:t>
      </w:r>
      <w:r w:rsidR="00F7190A" w:rsidRPr="005D3B9E">
        <w:rPr>
          <w:rFonts w:cs="Times New Roman"/>
          <w:szCs w:val="28"/>
        </w:rPr>
        <w:t xml:space="preserve"> </w:t>
      </w:r>
      <w:r w:rsidR="0097239B" w:rsidRPr="005D3B9E">
        <w:rPr>
          <w:rFonts w:cs="Times New Roman"/>
          <w:szCs w:val="28"/>
        </w:rPr>
        <w:t>главы 14 слова «охраны труда,» исключить;</w:t>
      </w:r>
    </w:p>
    <w:p w:rsidR="005D37FA" w:rsidRPr="005D3B9E" w:rsidRDefault="0083497D" w:rsidP="007F5C3A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Cs w:val="28"/>
        </w:rPr>
      </w:pPr>
      <w:r w:rsidRPr="005D3B9E">
        <w:rPr>
          <w:rFonts w:cs="Times New Roman"/>
          <w:szCs w:val="28"/>
        </w:rPr>
        <w:t>13</w:t>
      </w:r>
      <w:r w:rsidR="00D0281B" w:rsidRPr="005D3B9E">
        <w:rPr>
          <w:rFonts w:cs="Times New Roman"/>
          <w:szCs w:val="28"/>
        </w:rPr>
        <w:t xml:space="preserve">) абзац шестой </w:t>
      </w:r>
      <w:r w:rsidR="0097239B" w:rsidRPr="005D3B9E">
        <w:rPr>
          <w:rFonts w:cs="Times New Roman"/>
          <w:szCs w:val="28"/>
        </w:rPr>
        <w:t>пункта 14.4 главы 14 признать утратившим силу</w:t>
      </w:r>
      <w:r w:rsidR="002F7A9C" w:rsidRPr="005D3B9E">
        <w:rPr>
          <w:rFonts w:cs="Times New Roman"/>
          <w:szCs w:val="28"/>
        </w:rPr>
        <w:t>;</w:t>
      </w:r>
    </w:p>
    <w:p w:rsidR="002F7A9C" w:rsidRPr="005D3B9E" w:rsidRDefault="0083497D" w:rsidP="007F5C3A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Cs w:val="28"/>
        </w:rPr>
      </w:pPr>
      <w:r w:rsidRPr="005D3B9E">
        <w:rPr>
          <w:rFonts w:cs="Times New Roman"/>
          <w:szCs w:val="28"/>
        </w:rPr>
        <w:t>14</w:t>
      </w:r>
      <w:r w:rsidR="002F7A9C" w:rsidRPr="005D3B9E">
        <w:rPr>
          <w:rFonts w:cs="Times New Roman"/>
          <w:szCs w:val="28"/>
        </w:rPr>
        <w:t>)</w:t>
      </w:r>
      <w:r w:rsidR="00D0281B" w:rsidRPr="005D3B9E">
        <w:rPr>
          <w:rFonts w:cs="Times New Roman"/>
          <w:szCs w:val="28"/>
        </w:rPr>
        <w:t xml:space="preserve"> в абзаце одиннадцатом </w:t>
      </w:r>
      <w:r w:rsidR="0097239B" w:rsidRPr="005D3B9E">
        <w:rPr>
          <w:rFonts w:cs="Times New Roman"/>
          <w:szCs w:val="28"/>
        </w:rPr>
        <w:t xml:space="preserve">пункта 14.5 главы 14 </w:t>
      </w:r>
      <w:r w:rsidR="00FF38BF" w:rsidRPr="005D3B9E">
        <w:rPr>
          <w:rFonts w:cs="Times New Roman"/>
          <w:szCs w:val="28"/>
        </w:rPr>
        <w:t>слова «комфортное проживан</w:t>
      </w:r>
      <w:r w:rsidR="0097239B" w:rsidRPr="005D3B9E">
        <w:rPr>
          <w:rFonts w:cs="Times New Roman"/>
          <w:szCs w:val="28"/>
        </w:rPr>
        <w:t>ие,» исключить;</w:t>
      </w:r>
    </w:p>
    <w:p w:rsidR="00607E18" w:rsidRPr="005D3B9E" w:rsidRDefault="0083497D" w:rsidP="00607E18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Cs w:val="28"/>
        </w:rPr>
      </w:pPr>
      <w:r w:rsidRPr="005D3B9E">
        <w:rPr>
          <w:rFonts w:eastAsia="Calibri"/>
          <w:szCs w:val="28"/>
        </w:rPr>
        <w:t>15</w:t>
      </w:r>
      <w:r w:rsidR="00607E18" w:rsidRPr="005D3B9E">
        <w:rPr>
          <w:rFonts w:eastAsia="Calibri"/>
          <w:szCs w:val="28"/>
        </w:rPr>
        <w:t xml:space="preserve">) абзац двенадцатый пункта 15.1 главы 15 </w:t>
      </w:r>
      <w:r w:rsidR="00607E18" w:rsidRPr="005D3B9E">
        <w:rPr>
          <w:rFonts w:cs="Times New Roman"/>
          <w:szCs w:val="28"/>
        </w:rPr>
        <w:t>изложить в следующей редакции:</w:t>
      </w:r>
    </w:p>
    <w:p w:rsidR="00607E18" w:rsidRPr="005D3B9E" w:rsidRDefault="00607E18" w:rsidP="00607E18">
      <w:pPr>
        <w:pStyle w:val="a8"/>
        <w:autoSpaceDE w:val="0"/>
        <w:autoSpaceDN w:val="0"/>
        <w:adjustRightInd w:val="0"/>
        <w:spacing w:line="240" w:lineRule="auto"/>
        <w:ind w:left="0"/>
        <w:rPr>
          <w:szCs w:val="28"/>
        </w:rPr>
      </w:pPr>
      <w:r w:rsidRPr="005D3B9E">
        <w:rPr>
          <w:rFonts w:eastAsia="Calibri"/>
          <w:szCs w:val="28"/>
        </w:rPr>
        <w:t>«</w:t>
      </w:r>
      <w:r w:rsidRPr="005D3B9E">
        <w:rPr>
          <w:szCs w:val="28"/>
        </w:rPr>
        <w:t>- государственной программы Ханты-Мансийского автономного округа – Югры «Государственная национальная политика и профилактика экстремизма»;»;</w:t>
      </w:r>
    </w:p>
    <w:p w:rsidR="00607E18" w:rsidRPr="005D3B9E" w:rsidRDefault="0083497D" w:rsidP="00607E18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Cs w:val="28"/>
        </w:rPr>
      </w:pPr>
      <w:r w:rsidRPr="005D3B9E">
        <w:rPr>
          <w:rFonts w:eastAsia="Calibri"/>
          <w:szCs w:val="28"/>
        </w:rPr>
        <w:t>16</w:t>
      </w:r>
      <w:r w:rsidR="00607E18" w:rsidRPr="005D3B9E">
        <w:rPr>
          <w:rFonts w:eastAsia="Calibri"/>
          <w:szCs w:val="28"/>
        </w:rPr>
        <w:t xml:space="preserve">) абзац двенадцатый пункта 15.3 главы 15 </w:t>
      </w:r>
      <w:r w:rsidR="00607E18" w:rsidRPr="005D3B9E">
        <w:rPr>
          <w:rFonts w:cs="Times New Roman"/>
          <w:szCs w:val="28"/>
        </w:rPr>
        <w:t>изложить в следующей редакции:</w:t>
      </w:r>
    </w:p>
    <w:p w:rsidR="00607E18" w:rsidRPr="005D3B9E" w:rsidRDefault="00607E18" w:rsidP="00607E18">
      <w:pPr>
        <w:pStyle w:val="a8"/>
        <w:autoSpaceDE w:val="0"/>
        <w:autoSpaceDN w:val="0"/>
        <w:adjustRightInd w:val="0"/>
        <w:spacing w:line="240" w:lineRule="auto"/>
        <w:ind w:left="0"/>
        <w:rPr>
          <w:iCs/>
          <w:szCs w:val="28"/>
        </w:rPr>
      </w:pPr>
      <w:r w:rsidRPr="005D3B9E">
        <w:rPr>
          <w:rFonts w:eastAsia="Calibri"/>
          <w:szCs w:val="28"/>
        </w:rPr>
        <w:t>«</w:t>
      </w:r>
      <w:r w:rsidRPr="005D3B9E">
        <w:rPr>
          <w:szCs w:val="28"/>
        </w:rPr>
        <w:t>- государственных программ Ханты-Мансийского автономного округа – Югры «Развитие государственной гражданской и муниципальной службы», «Цифровое развитие Ханты-Мансийского автономного округа – Югры», «Управление государственными финансами и создание условий для эффективного управления муниципальными финансами», «</w:t>
      </w:r>
      <w:r w:rsidRPr="005D3B9E">
        <w:rPr>
          <w:iCs/>
          <w:szCs w:val="28"/>
        </w:rPr>
        <w:t>Управление государственным имуществом»;»</w:t>
      </w:r>
      <w:r w:rsidR="00717680" w:rsidRPr="005D3B9E">
        <w:rPr>
          <w:iCs/>
          <w:szCs w:val="28"/>
        </w:rPr>
        <w:t>;</w:t>
      </w:r>
    </w:p>
    <w:p w:rsidR="00607E18" w:rsidRPr="005D3B9E" w:rsidRDefault="00607E18" w:rsidP="00607E18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Cs w:val="28"/>
        </w:rPr>
      </w:pPr>
      <w:r w:rsidRPr="005D3B9E">
        <w:rPr>
          <w:rFonts w:eastAsia="Calibri"/>
          <w:szCs w:val="28"/>
        </w:rPr>
        <w:t>1</w:t>
      </w:r>
      <w:r w:rsidR="0083497D" w:rsidRPr="005D3B9E">
        <w:rPr>
          <w:rFonts w:eastAsia="Calibri"/>
          <w:szCs w:val="28"/>
        </w:rPr>
        <w:t>7</w:t>
      </w:r>
      <w:r w:rsidRPr="005D3B9E">
        <w:rPr>
          <w:rFonts w:eastAsia="Calibri"/>
          <w:szCs w:val="28"/>
        </w:rPr>
        <w:t xml:space="preserve">) абзац одиннадцатый пункта 15.4 главы 15 </w:t>
      </w:r>
      <w:r w:rsidRPr="005D3B9E">
        <w:rPr>
          <w:rFonts w:cs="Times New Roman"/>
          <w:szCs w:val="28"/>
        </w:rPr>
        <w:t>изложить в следующей редакции:</w:t>
      </w:r>
    </w:p>
    <w:p w:rsidR="00607E18" w:rsidRPr="005D3B9E" w:rsidRDefault="00607E18" w:rsidP="00607E18">
      <w:pPr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5D3B9E">
        <w:rPr>
          <w:rFonts w:eastAsia="Calibri"/>
          <w:szCs w:val="28"/>
        </w:rPr>
        <w:t>«</w:t>
      </w:r>
      <w:r w:rsidRPr="005D3B9E">
        <w:rPr>
          <w:szCs w:val="28"/>
        </w:rPr>
        <w:t>- государственных программ Ханты-Мансийского автономного округа – Югры «Социальное и демографическое развитие», «Развитие образования», «</w:t>
      </w:r>
      <w:r w:rsidRPr="005D3B9E">
        <w:rPr>
          <w:iCs/>
          <w:szCs w:val="28"/>
        </w:rPr>
        <w:t>Развитие гражданского общества»;»;</w:t>
      </w:r>
    </w:p>
    <w:p w:rsidR="00607E18" w:rsidRPr="005D3B9E" w:rsidRDefault="00607E18" w:rsidP="00607E18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Cs w:val="28"/>
        </w:rPr>
      </w:pPr>
      <w:r w:rsidRPr="005D3B9E">
        <w:rPr>
          <w:rFonts w:eastAsia="Calibri"/>
          <w:szCs w:val="28"/>
        </w:rPr>
        <w:t>1</w:t>
      </w:r>
      <w:r w:rsidR="0025652D" w:rsidRPr="005D3B9E">
        <w:rPr>
          <w:rFonts w:eastAsia="Calibri"/>
          <w:szCs w:val="28"/>
        </w:rPr>
        <w:t>8</w:t>
      </w:r>
      <w:r w:rsidRPr="005D3B9E">
        <w:rPr>
          <w:rFonts w:eastAsia="Calibri"/>
          <w:szCs w:val="28"/>
        </w:rPr>
        <w:t xml:space="preserve">) абзац девятый пункта 15.5 главы 15 </w:t>
      </w:r>
      <w:r w:rsidRPr="005D3B9E">
        <w:rPr>
          <w:rFonts w:cs="Times New Roman"/>
          <w:szCs w:val="28"/>
        </w:rPr>
        <w:t>изложить в следующей редакции:</w:t>
      </w:r>
    </w:p>
    <w:p w:rsidR="00607E18" w:rsidRPr="005D3B9E" w:rsidRDefault="00607E18" w:rsidP="00607E18">
      <w:pPr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5D3B9E">
        <w:rPr>
          <w:rFonts w:eastAsia="Calibri"/>
          <w:szCs w:val="28"/>
        </w:rPr>
        <w:t>«</w:t>
      </w:r>
      <w:r w:rsidRPr="005D3B9E">
        <w:rPr>
          <w:szCs w:val="28"/>
        </w:rPr>
        <w:t xml:space="preserve">- государственных программ Ханты-Мансийского автономного округа – Югры «Поддержка занятости населения», «Социальное и демографическое </w:t>
      </w:r>
      <w:r w:rsidRPr="005D3B9E">
        <w:rPr>
          <w:szCs w:val="28"/>
        </w:rPr>
        <w:lastRenderedPageBreak/>
        <w:t>развитие», «Строительство», «Пространственное развитие и формирование комфортной городской среды»;»;</w:t>
      </w:r>
    </w:p>
    <w:p w:rsidR="003B442C" w:rsidRPr="005D3B9E" w:rsidRDefault="001A1E93" w:rsidP="005F0F7B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Calibri"/>
          <w:szCs w:val="28"/>
        </w:rPr>
      </w:pPr>
      <w:r w:rsidRPr="005D3B9E">
        <w:rPr>
          <w:rFonts w:cs="Times New Roman"/>
          <w:szCs w:val="28"/>
        </w:rPr>
        <w:t>1</w:t>
      </w:r>
      <w:r w:rsidR="0025652D" w:rsidRPr="005D3B9E">
        <w:rPr>
          <w:rFonts w:cs="Times New Roman"/>
          <w:szCs w:val="28"/>
        </w:rPr>
        <w:t>9</w:t>
      </w:r>
      <w:r w:rsidR="00D0281B" w:rsidRPr="005D3B9E">
        <w:rPr>
          <w:rFonts w:cs="Times New Roman"/>
          <w:szCs w:val="28"/>
        </w:rPr>
        <w:t>) абзац дес</w:t>
      </w:r>
      <w:r w:rsidR="003B442C" w:rsidRPr="005D3B9E">
        <w:rPr>
          <w:rFonts w:cs="Times New Roman"/>
          <w:szCs w:val="28"/>
        </w:rPr>
        <w:t xml:space="preserve">ятый пункта 15.5 главы 15 дополнить </w:t>
      </w:r>
      <w:r w:rsidR="00FC6DC0" w:rsidRPr="005D3B9E">
        <w:rPr>
          <w:rFonts w:cs="Times New Roman"/>
          <w:szCs w:val="28"/>
        </w:rPr>
        <w:t xml:space="preserve">словами </w:t>
      </w:r>
      <w:r w:rsidR="003B442C" w:rsidRPr="005D3B9E">
        <w:rPr>
          <w:rFonts w:cs="Times New Roman"/>
          <w:szCs w:val="28"/>
        </w:rPr>
        <w:br/>
      </w:r>
      <w:r w:rsidR="00FC6DC0" w:rsidRPr="005D3B9E">
        <w:rPr>
          <w:rFonts w:cs="Times New Roman"/>
          <w:szCs w:val="28"/>
        </w:rPr>
        <w:t>«</w:t>
      </w:r>
      <w:r w:rsidR="003B442C" w:rsidRPr="005D3B9E">
        <w:rPr>
          <w:rFonts w:cs="Times New Roman"/>
          <w:szCs w:val="28"/>
        </w:rPr>
        <w:t xml:space="preserve">, </w:t>
      </w:r>
      <w:r w:rsidR="00FC6DC0" w:rsidRPr="005D3B9E">
        <w:rPr>
          <w:rFonts w:cs="Times New Roman"/>
          <w:szCs w:val="28"/>
        </w:rPr>
        <w:t xml:space="preserve">или отдельных мероприятий муниципальных программ, </w:t>
      </w:r>
      <w:r w:rsidR="00FC6DC0" w:rsidRPr="005D3B9E">
        <w:rPr>
          <w:rFonts w:eastAsia="Calibri"/>
          <w:szCs w:val="28"/>
        </w:rPr>
        <w:t xml:space="preserve">направленных </w:t>
      </w:r>
      <w:r w:rsidR="003B442C" w:rsidRPr="005D3B9E">
        <w:rPr>
          <w:rFonts w:eastAsia="Calibri"/>
          <w:szCs w:val="28"/>
        </w:rPr>
        <w:br/>
      </w:r>
      <w:r w:rsidR="00FC6DC0" w:rsidRPr="005D3B9E">
        <w:rPr>
          <w:rFonts w:eastAsia="Calibri"/>
          <w:szCs w:val="28"/>
        </w:rPr>
        <w:t>на развитие образования, физической культуры и спорта, культуры, молодежной политики, комфортной среды»</w:t>
      </w:r>
      <w:r w:rsidR="00587733" w:rsidRPr="005D3B9E">
        <w:rPr>
          <w:rFonts w:eastAsia="Calibri"/>
          <w:szCs w:val="28"/>
        </w:rPr>
        <w:t>.</w:t>
      </w:r>
    </w:p>
    <w:p w:rsidR="00BC670D" w:rsidRPr="005D3B9E" w:rsidRDefault="003B442C" w:rsidP="003B442C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Calibri"/>
          <w:szCs w:val="28"/>
        </w:rPr>
      </w:pPr>
      <w:r w:rsidRPr="005D3B9E">
        <w:rPr>
          <w:rFonts w:eastAsia="Calibri"/>
          <w:szCs w:val="28"/>
        </w:rPr>
        <w:t>4</w:t>
      </w:r>
      <w:r w:rsidR="000303A3" w:rsidRPr="005D3B9E">
        <w:rPr>
          <w:rFonts w:eastAsia="Calibri"/>
          <w:szCs w:val="28"/>
        </w:rPr>
        <w:t xml:space="preserve">. </w:t>
      </w:r>
      <w:r w:rsidR="00BC670D" w:rsidRPr="005D3B9E">
        <w:rPr>
          <w:rFonts w:cs="Times New Roman"/>
          <w:szCs w:val="28"/>
        </w:rPr>
        <w:t xml:space="preserve">В разделе </w:t>
      </w:r>
      <w:r w:rsidR="00BC670D" w:rsidRPr="005D3B9E">
        <w:rPr>
          <w:rFonts w:cs="Times New Roman"/>
          <w:szCs w:val="28"/>
          <w:lang w:val="en-US"/>
        </w:rPr>
        <w:t>V</w:t>
      </w:r>
      <w:r w:rsidR="00BC670D" w:rsidRPr="005D3B9E">
        <w:rPr>
          <w:rFonts w:cs="Times New Roman"/>
          <w:szCs w:val="28"/>
        </w:rPr>
        <w:t xml:space="preserve"> приложения к решению:</w:t>
      </w:r>
    </w:p>
    <w:p w:rsidR="008A5833" w:rsidRPr="005D3B9E" w:rsidRDefault="00BC670D" w:rsidP="003B442C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Calibri"/>
          <w:szCs w:val="28"/>
        </w:rPr>
      </w:pPr>
      <w:r w:rsidRPr="005D3B9E">
        <w:rPr>
          <w:rFonts w:eastAsia="Calibri"/>
          <w:szCs w:val="28"/>
        </w:rPr>
        <w:t xml:space="preserve">1) </w:t>
      </w:r>
      <w:r w:rsidR="00520799" w:rsidRPr="005D3B9E">
        <w:rPr>
          <w:rFonts w:eastAsia="Calibri"/>
          <w:szCs w:val="28"/>
        </w:rPr>
        <w:t xml:space="preserve">таблицу </w:t>
      </w:r>
      <w:r w:rsidR="00847975" w:rsidRPr="005D3B9E">
        <w:rPr>
          <w:rFonts w:eastAsia="Calibri"/>
          <w:szCs w:val="28"/>
        </w:rPr>
        <w:t>г</w:t>
      </w:r>
      <w:r w:rsidR="00520799" w:rsidRPr="005D3B9E">
        <w:rPr>
          <w:rFonts w:eastAsia="Calibri"/>
          <w:szCs w:val="28"/>
        </w:rPr>
        <w:t>лавы 16</w:t>
      </w:r>
      <w:r w:rsidR="00163ACE" w:rsidRPr="005D3B9E">
        <w:rPr>
          <w:rFonts w:eastAsia="Calibri"/>
          <w:szCs w:val="28"/>
        </w:rPr>
        <w:t xml:space="preserve"> </w:t>
      </w:r>
      <w:r w:rsidR="003B442C" w:rsidRPr="005D3B9E">
        <w:rPr>
          <w:rFonts w:eastAsia="Calibri"/>
          <w:szCs w:val="28"/>
        </w:rPr>
        <w:t>изложить в следующей редакции:</w:t>
      </w:r>
    </w:p>
    <w:p w:rsidR="003B442C" w:rsidRPr="005D3B9E" w:rsidRDefault="003B442C" w:rsidP="003B442C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Calibri"/>
          <w:sz w:val="20"/>
          <w:szCs w:val="20"/>
        </w:rPr>
      </w:pPr>
    </w:p>
    <w:tbl>
      <w:tblPr>
        <w:tblW w:w="9914" w:type="dxa"/>
        <w:tblInd w:w="-4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926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8A5833" w:rsidRPr="005D3B9E" w:rsidTr="003B442C">
        <w:trPr>
          <w:trHeight w:val="226"/>
        </w:trPr>
        <w:tc>
          <w:tcPr>
            <w:tcW w:w="221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2024 – 2026</w:t>
            </w:r>
          </w:p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(1 этап)</w:t>
            </w:r>
          </w:p>
        </w:tc>
        <w:tc>
          <w:tcPr>
            <w:tcW w:w="1926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2027 – 2031</w:t>
            </w:r>
          </w:p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(2 этап)</w:t>
            </w:r>
          </w:p>
        </w:tc>
        <w:tc>
          <w:tcPr>
            <w:tcW w:w="1926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2032 – 2036</w:t>
            </w:r>
          </w:p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(3 этап)</w:t>
            </w:r>
          </w:p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2037 – 2044</w:t>
            </w:r>
          </w:p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(4 этап)</w:t>
            </w:r>
          </w:p>
        </w:tc>
        <w:tc>
          <w:tcPr>
            <w:tcW w:w="1926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2045 – 2050</w:t>
            </w:r>
          </w:p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(5 этап)</w:t>
            </w:r>
          </w:p>
        </w:tc>
      </w:tr>
      <w:tr w:rsidR="008A5833" w:rsidRPr="005D3B9E" w:rsidTr="003B442C">
        <w:trPr>
          <w:cantSplit/>
          <w:trHeight w:val="1298"/>
        </w:trPr>
        <w:tc>
          <w:tcPr>
            <w:tcW w:w="92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Консервативный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Базовый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Консервативный 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Целевой</w:t>
            </w:r>
          </w:p>
        </w:tc>
      </w:tr>
      <w:tr w:rsidR="008A5833" w:rsidRPr="005D3B9E" w:rsidTr="003B442C">
        <w:trPr>
          <w:cantSplit/>
          <w:trHeight w:val="226"/>
        </w:trPr>
        <w:tc>
          <w:tcPr>
            <w:tcW w:w="9914" w:type="dxa"/>
            <w:gridSpan w:val="1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Среднегодовая численность постоянного населения, тыс. человек</w:t>
            </w:r>
          </w:p>
        </w:tc>
      </w:tr>
      <w:tr w:rsidR="008A5833" w:rsidRPr="005D3B9E" w:rsidTr="003B442C">
        <w:trPr>
          <w:trHeight w:val="226"/>
        </w:trPr>
        <w:tc>
          <w:tcPr>
            <w:tcW w:w="92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433,8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434,9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435,4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461,0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472,4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475,0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489,4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506,1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537,4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563,4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570,0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537,9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580,4</w:t>
            </w:r>
          </w:p>
        </w:tc>
      </w:tr>
      <w:tr w:rsidR="008A5833" w:rsidRPr="005D3B9E" w:rsidTr="003B442C">
        <w:trPr>
          <w:trHeight w:val="226"/>
        </w:trPr>
        <w:tc>
          <w:tcPr>
            <w:tcW w:w="9914" w:type="dxa"/>
            <w:gridSpan w:val="1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силами, млрд. рублей</w:t>
            </w:r>
          </w:p>
        </w:tc>
      </w:tr>
      <w:tr w:rsidR="00AD5B31" w:rsidRPr="005D3B9E" w:rsidTr="003B442C">
        <w:trPr>
          <w:trHeight w:val="226"/>
        </w:trPr>
        <w:tc>
          <w:tcPr>
            <w:tcW w:w="92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AD5B31" w:rsidRPr="005D3B9E" w:rsidRDefault="00AD5B31" w:rsidP="00AD5B3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1 459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AD5B31" w:rsidRPr="005D3B9E" w:rsidRDefault="00AD5B31" w:rsidP="00AD5B3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AD5B31" w:rsidRPr="005D3B9E" w:rsidRDefault="00AD5B31" w:rsidP="00AD5B3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1 552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AD5B31" w:rsidRPr="005D3B9E" w:rsidRDefault="00AD5B31" w:rsidP="00AD5B3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1 874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AD5B31" w:rsidRPr="005D3B9E" w:rsidRDefault="00AD5B31" w:rsidP="00AD5B3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2 019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AD5B31" w:rsidRPr="005D3B9E" w:rsidRDefault="00AD5B31" w:rsidP="00AD5B3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2 059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AD5B31" w:rsidRPr="005D3B9E" w:rsidRDefault="00AD5B31" w:rsidP="00AD5B3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2 398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AD5B31" w:rsidRPr="005D3B9E" w:rsidRDefault="00AD5B31" w:rsidP="00AD5B3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2 648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AD5B31" w:rsidRPr="005D3B9E" w:rsidRDefault="00AD5B31" w:rsidP="00AD5B3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2 749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AD5B31" w:rsidRPr="005D3B9E" w:rsidRDefault="00AD5B31" w:rsidP="00AD5B3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3 405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AD5B31" w:rsidRPr="005D3B9E" w:rsidRDefault="00AD5B31" w:rsidP="00AD5B3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3 862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AD5B31" w:rsidRPr="005D3B9E" w:rsidRDefault="00AD5B31" w:rsidP="00AD5B3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4 083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AD5B31" w:rsidRPr="005D3B9E" w:rsidRDefault="00AD5B31" w:rsidP="00AD5B3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4 123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AD5B31" w:rsidRPr="005D3B9E" w:rsidRDefault="00AD5B31" w:rsidP="00AD5B3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4 771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AD5B31" w:rsidRPr="005D3B9E" w:rsidRDefault="00AD5B31" w:rsidP="00AD5B3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5 223</w:t>
            </w:r>
          </w:p>
        </w:tc>
      </w:tr>
      <w:tr w:rsidR="008A5833" w:rsidRPr="005D3B9E" w:rsidTr="003B442C">
        <w:trPr>
          <w:trHeight w:val="453"/>
        </w:trPr>
        <w:tc>
          <w:tcPr>
            <w:tcW w:w="9914" w:type="dxa"/>
            <w:gridSpan w:val="1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4700F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</w:t>
            </w:r>
            <w:r w:rsidR="004700F7"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 базовому 2020 </w:t>
            </w:r>
            <w:r w:rsidR="00B42D7E"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году</w:t>
            </w:r>
            <w:r w:rsidR="004700F7"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, %</w:t>
            </w:r>
          </w:p>
        </w:tc>
      </w:tr>
      <w:tr w:rsidR="008A5833" w:rsidRPr="005D3B9E" w:rsidTr="003B442C">
        <w:trPr>
          <w:trHeight w:val="226"/>
        </w:trPr>
        <w:tc>
          <w:tcPr>
            <w:tcW w:w="92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B42D7E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B42D7E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B42D7E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B42D7E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B42D7E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B42D7E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122,5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B42D7E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57,2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B42D7E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B42D7E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B42D7E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B42D7E" w:rsidP="00B42D7E">
            <w:pPr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B42D7E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B42D7E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B42D7E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B42D7E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70,8</w:t>
            </w:r>
          </w:p>
        </w:tc>
      </w:tr>
      <w:tr w:rsidR="008A5833" w:rsidRPr="005D3B9E" w:rsidTr="003B442C">
        <w:trPr>
          <w:trHeight w:val="226"/>
        </w:trPr>
        <w:tc>
          <w:tcPr>
            <w:tcW w:w="9914" w:type="dxa"/>
            <w:gridSpan w:val="1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Среднегодовая численность занятых в экономике на территории города, тыс. человек</w:t>
            </w:r>
          </w:p>
        </w:tc>
      </w:tr>
      <w:tr w:rsidR="008A5833" w:rsidRPr="005D3B9E" w:rsidTr="003B442C">
        <w:trPr>
          <w:trHeight w:val="226"/>
        </w:trPr>
        <w:tc>
          <w:tcPr>
            <w:tcW w:w="92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207,8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210,6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221,3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218,0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221,4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227,9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229,8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248,5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244,6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254,1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269,3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251,2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261,8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278,4</w:t>
            </w:r>
          </w:p>
        </w:tc>
      </w:tr>
      <w:tr w:rsidR="008A5833" w:rsidRPr="005D3B9E" w:rsidTr="003B442C">
        <w:trPr>
          <w:trHeight w:val="226"/>
        </w:trPr>
        <w:tc>
          <w:tcPr>
            <w:tcW w:w="9914" w:type="dxa"/>
            <w:gridSpan w:val="1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Доля занятых в малом бизнесе в общей численности занятых в экономике, %</w:t>
            </w:r>
          </w:p>
        </w:tc>
      </w:tr>
      <w:tr w:rsidR="008A5833" w:rsidRPr="005D3B9E" w:rsidTr="003B442C">
        <w:trPr>
          <w:trHeight w:val="226"/>
        </w:trPr>
        <w:tc>
          <w:tcPr>
            <w:tcW w:w="92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56,4</w:t>
            </w:r>
          </w:p>
        </w:tc>
      </w:tr>
      <w:tr w:rsidR="008A5833" w:rsidRPr="005D3B9E" w:rsidTr="003B442C">
        <w:trPr>
          <w:trHeight w:val="226"/>
        </w:trPr>
        <w:tc>
          <w:tcPr>
            <w:tcW w:w="9914" w:type="dxa"/>
            <w:gridSpan w:val="1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AD5B3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Соотношение среднедушевого дохода и прожиточного минимума, %</w:t>
            </w:r>
          </w:p>
        </w:tc>
      </w:tr>
      <w:tr w:rsidR="008A5833" w:rsidRPr="005D3B9E" w:rsidTr="003B442C">
        <w:trPr>
          <w:trHeight w:val="226"/>
        </w:trPr>
        <w:tc>
          <w:tcPr>
            <w:tcW w:w="92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  <w:hideMark/>
          </w:tcPr>
          <w:p w:rsidR="008A5833" w:rsidRPr="005D3B9E" w:rsidRDefault="008A5833" w:rsidP="008A58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D3B9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4,6</w:t>
            </w:r>
          </w:p>
        </w:tc>
      </w:tr>
    </w:tbl>
    <w:p w:rsidR="00AD5B31" w:rsidRPr="005D3B9E" w:rsidRDefault="00AD5B31" w:rsidP="007F5C3A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 w:val="20"/>
          <w:szCs w:val="20"/>
        </w:rPr>
      </w:pPr>
    </w:p>
    <w:p w:rsidR="003B442C" w:rsidRPr="005D3B9E" w:rsidRDefault="00BC670D" w:rsidP="003B442C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Cs w:val="28"/>
        </w:rPr>
      </w:pPr>
      <w:r w:rsidRPr="005D3B9E">
        <w:rPr>
          <w:rFonts w:cs="Times New Roman"/>
          <w:szCs w:val="28"/>
        </w:rPr>
        <w:t>2) а</w:t>
      </w:r>
      <w:r w:rsidR="003B2F91" w:rsidRPr="005D3B9E">
        <w:rPr>
          <w:rFonts w:cs="Times New Roman"/>
          <w:szCs w:val="28"/>
        </w:rPr>
        <w:t>бзац</w:t>
      </w:r>
      <w:r w:rsidR="00D0281B" w:rsidRPr="005D3B9E">
        <w:rPr>
          <w:rFonts w:cs="Times New Roman"/>
          <w:szCs w:val="28"/>
        </w:rPr>
        <w:t xml:space="preserve"> шестой </w:t>
      </w:r>
      <w:r w:rsidR="003B2F91" w:rsidRPr="005D3B9E">
        <w:rPr>
          <w:rFonts w:cs="Times New Roman"/>
          <w:szCs w:val="28"/>
        </w:rPr>
        <w:t>главы 19</w:t>
      </w:r>
      <w:r w:rsidRPr="005D3B9E">
        <w:rPr>
          <w:rFonts w:cs="Times New Roman"/>
          <w:szCs w:val="28"/>
        </w:rPr>
        <w:t xml:space="preserve"> </w:t>
      </w:r>
      <w:r w:rsidR="003837D8" w:rsidRPr="005D3B9E">
        <w:rPr>
          <w:rFonts w:cs="Times New Roman"/>
          <w:szCs w:val="28"/>
        </w:rPr>
        <w:t>изложить в следующей редакции:</w:t>
      </w:r>
    </w:p>
    <w:p w:rsidR="001B174E" w:rsidRPr="005D3B9E" w:rsidRDefault="001B174E" w:rsidP="00112886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szCs w:val="28"/>
          <w:lang w:eastAsia="ru-RU"/>
        </w:rPr>
      </w:pPr>
      <w:r w:rsidRPr="005D3B9E">
        <w:rPr>
          <w:rFonts w:eastAsia="Times New Roman" w:cs="Times New Roman"/>
          <w:szCs w:val="28"/>
          <w:lang w:eastAsia="ru-RU"/>
        </w:rPr>
        <w:t>«</w:t>
      </w:r>
      <w:r w:rsidRPr="005D3B9E">
        <w:rPr>
          <w:rFonts w:cs="Times New Roman"/>
          <w:szCs w:val="28"/>
        </w:rPr>
        <w:t xml:space="preserve">Общий </w:t>
      </w:r>
      <w:r w:rsidRPr="005D3B9E">
        <w:rPr>
          <w:rFonts w:eastAsia="Times New Roman" w:cs="Times New Roman"/>
          <w:szCs w:val="28"/>
          <w:lang w:eastAsia="ru-RU"/>
        </w:rPr>
        <w:t>объем отгруженной продукции, выполненных работ и услуг в 2036 году по отношению к 2023 году в сопоставимых ценах значительно возрастет – на 27,6%, в том числе малого бизнеса – на 45,3%. Доля занятых в малом предпринимательстве в общей численности занятых увеличится с 40,8% в 2023 году до 51,3% в 2036 году</w:t>
      </w:r>
      <w:r w:rsidR="003837D8" w:rsidRPr="005D3B9E">
        <w:rPr>
          <w:rFonts w:eastAsia="Times New Roman" w:cs="Times New Roman"/>
          <w:szCs w:val="28"/>
          <w:lang w:eastAsia="ru-RU"/>
        </w:rPr>
        <w:t>.</w:t>
      </w:r>
      <w:r w:rsidR="003837D8" w:rsidRPr="005D3B9E">
        <w:t xml:space="preserve"> </w:t>
      </w:r>
      <w:r w:rsidR="003837D8" w:rsidRPr="005D3B9E">
        <w:rPr>
          <w:rFonts w:eastAsia="Times New Roman" w:cs="Times New Roman"/>
          <w:szCs w:val="28"/>
          <w:lang w:eastAsia="ru-RU"/>
        </w:rPr>
        <w:t xml:space="preserve">Ожидается более чем двукратное увеличение объема отгруженных товаров и услуг в части транспорта и хранения. Креативная экономика будет играть значимую роль в экономике города </w:t>
      </w:r>
      <w:r w:rsidR="00112886" w:rsidRPr="005D3B9E">
        <w:rPr>
          <w:rFonts w:eastAsia="Times New Roman" w:cs="Times New Roman"/>
          <w:szCs w:val="28"/>
          <w:lang w:eastAsia="ru-RU"/>
        </w:rPr>
        <w:t>–</w:t>
      </w:r>
      <w:r w:rsidR="003837D8" w:rsidRPr="005D3B9E">
        <w:rPr>
          <w:rFonts w:eastAsia="Times New Roman" w:cs="Times New Roman"/>
          <w:szCs w:val="28"/>
          <w:lang w:eastAsia="ru-RU"/>
        </w:rPr>
        <w:t xml:space="preserve"> 5% в объе</w:t>
      </w:r>
      <w:r w:rsidR="003B442C" w:rsidRPr="005D3B9E">
        <w:rPr>
          <w:rFonts w:eastAsia="Times New Roman" w:cs="Times New Roman"/>
          <w:szCs w:val="28"/>
          <w:lang w:eastAsia="ru-RU"/>
        </w:rPr>
        <w:t>ме отгруженных товаров и услуг.</w:t>
      </w:r>
      <w:r w:rsidRPr="005D3B9E">
        <w:rPr>
          <w:rFonts w:eastAsia="Times New Roman" w:cs="Times New Roman"/>
          <w:szCs w:val="28"/>
          <w:lang w:eastAsia="ru-RU"/>
        </w:rPr>
        <w:t>»;</w:t>
      </w:r>
    </w:p>
    <w:p w:rsidR="003B442C" w:rsidRPr="005D3B9E" w:rsidRDefault="00BC670D" w:rsidP="003B442C">
      <w:pPr>
        <w:pStyle w:val="a8"/>
        <w:autoSpaceDE w:val="0"/>
        <w:autoSpaceDN w:val="0"/>
        <w:adjustRightInd w:val="0"/>
        <w:spacing w:line="240" w:lineRule="auto"/>
        <w:ind w:left="0"/>
        <w:rPr>
          <w:rFonts w:cs="Times New Roman"/>
          <w:szCs w:val="28"/>
        </w:rPr>
      </w:pPr>
      <w:r w:rsidRPr="005D3B9E">
        <w:rPr>
          <w:rFonts w:eastAsia="Times New Roman" w:cs="Times New Roman"/>
          <w:szCs w:val="28"/>
          <w:lang w:eastAsia="ru-RU"/>
        </w:rPr>
        <w:t>3) а</w:t>
      </w:r>
      <w:r w:rsidR="00D0281B" w:rsidRPr="005D3B9E">
        <w:rPr>
          <w:rFonts w:eastAsia="Times New Roman" w:cs="Times New Roman"/>
          <w:szCs w:val="28"/>
          <w:lang w:eastAsia="ru-RU"/>
        </w:rPr>
        <w:t xml:space="preserve">бзац восьмой </w:t>
      </w:r>
      <w:r w:rsidRPr="005D3B9E">
        <w:rPr>
          <w:rFonts w:eastAsia="Times New Roman" w:cs="Times New Roman"/>
          <w:szCs w:val="28"/>
          <w:lang w:eastAsia="ru-RU"/>
        </w:rPr>
        <w:t xml:space="preserve">главы 19 </w:t>
      </w:r>
      <w:r w:rsidR="003B442C" w:rsidRPr="005D3B9E">
        <w:rPr>
          <w:rFonts w:cs="Times New Roman"/>
          <w:szCs w:val="28"/>
        </w:rPr>
        <w:t>изложить в следующей редакции:</w:t>
      </w:r>
    </w:p>
    <w:p w:rsidR="003B442C" w:rsidRPr="005D3B9E" w:rsidRDefault="00CC0240" w:rsidP="00CC0240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D3B9E">
        <w:rPr>
          <w:rFonts w:eastAsia="Times New Roman" w:cs="Times New Roman"/>
          <w:color w:val="000000" w:themeColor="text1"/>
          <w:szCs w:val="28"/>
          <w:lang w:eastAsia="ru-RU"/>
        </w:rPr>
        <w:t>«</w:t>
      </w:r>
      <w:r w:rsidR="003B442C" w:rsidRPr="005D3B9E">
        <w:rPr>
          <w:rFonts w:eastAsia="Times New Roman" w:cs="Times New Roman"/>
          <w:color w:val="000000" w:themeColor="text1"/>
          <w:szCs w:val="28"/>
          <w:lang w:eastAsia="ru-RU"/>
        </w:rPr>
        <w:t xml:space="preserve">В 2050 году город Сургут должен стать городом с диверсифицированной экономикой и высоким уровнем </w:t>
      </w:r>
      <w:proofErr w:type="spellStart"/>
      <w:r w:rsidR="003B442C" w:rsidRPr="005D3B9E">
        <w:rPr>
          <w:rFonts w:eastAsia="Times New Roman" w:cs="Times New Roman"/>
          <w:color w:val="000000" w:themeColor="text1"/>
          <w:szCs w:val="28"/>
          <w:lang w:eastAsia="ru-RU"/>
        </w:rPr>
        <w:t>человекоцентричности</w:t>
      </w:r>
      <w:proofErr w:type="spellEnd"/>
      <w:r w:rsidR="003B442C" w:rsidRPr="005D3B9E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Pr="005D3B9E">
        <w:rPr>
          <w:rFonts w:eastAsia="Times New Roman" w:cs="Times New Roman"/>
          <w:color w:val="000000" w:themeColor="text1"/>
          <w:szCs w:val="28"/>
          <w:lang w:eastAsia="ru-RU"/>
        </w:rPr>
        <w:t>Ожидается, что объем отгруженной продукции, выполненных работ и услуг в сопоставимых ценах увеличится в 1,6 раза к уровню 2023 года, в том числе малого бизнеса – в 2,4 раза, в котором будет занято 56,4 % от общей численности занятых в экономике города</w:t>
      </w:r>
      <w:r w:rsidR="003B442C" w:rsidRPr="005D3B9E">
        <w:rPr>
          <w:rFonts w:eastAsia="Times New Roman" w:cs="Times New Roman"/>
          <w:color w:val="000000" w:themeColor="text1"/>
          <w:szCs w:val="28"/>
          <w:lang w:eastAsia="ru-RU"/>
        </w:rPr>
        <w:t>, удовлетворенность населения услугами в социальной сфере достигнет высокого уровня.</w:t>
      </w:r>
      <w:r w:rsidR="00BC670D" w:rsidRPr="005D3B9E">
        <w:rPr>
          <w:rFonts w:eastAsia="Times New Roman" w:cs="Times New Roman"/>
          <w:color w:val="000000" w:themeColor="text1"/>
          <w:szCs w:val="28"/>
          <w:lang w:eastAsia="ru-RU"/>
        </w:rPr>
        <w:t>».</w:t>
      </w:r>
    </w:p>
    <w:p w:rsidR="00CC0240" w:rsidRPr="005D3B9E" w:rsidRDefault="00BC670D" w:rsidP="00CC0240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D3B9E"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="000303A3" w:rsidRPr="005D3B9E">
        <w:rPr>
          <w:rFonts w:eastAsia="Times New Roman" w:cs="Times New Roman"/>
          <w:color w:val="000000" w:themeColor="text1"/>
          <w:szCs w:val="28"/>
          <w:lang w:eastAsia="ru-RU"/>
        </w:rPr>
        <w:t>. Г</w:t>
      </w:r>
      <w:r w:rsidR="0025241C" w:rsidRPr="005D3B9E">
        <w:rPr>
          <w:rFonts w:eastAsia="Times New Roman" w:cs="Times New Roman"/>
          <w:color w:val="000000" w:themeColor="text1"/>
          <w:szCs w:val="28"/>
          <w:lang w:eastAsia="ru-RU"/>
        </w:rPr>
        <w:t>лаву 21</w:t>
      </w:r>
      <w:r w:rsidR="009F424B" w:rsidRPr="005D3B9E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CC0240" w:rsidRPr="005D3B9E">
        <w:rPr>
          <w:rFonts w:eastAsia="Calibri"/>
          <w:szCs w:val="28"/>
        </w:rPr>
        <w:t xml:space="preserve">раздела </w:t>
      </w:r>
      <w:r w:rsidR="00CC0240" w:rsidRPr="005D3B9E">
        <w:rPr>
          <w:rFonts w:eastAsia="Calibri"/>
          <w:szCs w:val="28"/>
          <w:lang w:val="en-US"/>
        </w:rPr>
        <w:t>VI</w:t>
      </w:r>
      <w:r w:rsidR="00CC0240" w:rsidRPr="005D3B9E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9F424B" w:rsidRPr="005D3B9E">
        <w:rPr>
          <w:rFonts w:eastAsia="Times New Roman" w:cs="Times New Roman"/>
          <w:color w:val="000000" w:themeColor="text1"/>
          <w:szCs w:val="28"/>
          <w:lang w:eastAsia="ru-RU"/>
        </w:rPr>
        <w:t>приложения к решению</w:t>
      </w:r>
      <w:r w:rsidR="0025241C" w:rsidRPr="005D3B9E">
        <w:rPr>
          <w:rFonts w:eastAsia="Times New Roman" w:cs="Times New Roman"/>
          <w:color w:val="000000" w:themeColor="text1"/>
          <w:szCs w:val="28"/>
          <w:lang w:eastAsia="ru-RU"/>
        </w:rPr>
        <w:t xml:space="preserve"> изложить в </w:t>
      </w:r>
      <w:r w:rsidR="009F424B" w:rsidRPr="005D3B9E">
        <w:rPr>
          <w:rFonts w:eastAsia="Times New Roman" w:cs="Times New Roman"/>
          <w:color w:val="000000" w:themeColor="text1"/>
          <w:szCs w:val="28"/>
          <w:lang w:eastAsia="ru-RU"/>
        </w:rPr>
        <w:t>следующей редакции:</w:t>
      </w:r>
    </w:p>
    <w:p w:rsidR="00CB6681" w:rsidRPr="005D3B9E" w:rsidRDefault="009F424B" w:rsidP="006F3A92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5D3B9E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«Глава 21. </w:t>
      </w:r>
      <w:r w:rsidRPr="005D3B9E">
        <w:rPr>
          <w:rFonts w:eastAsia="Times New Roman" w:cs="Times New Roman"/>
          <w:b/>
          <w:color w:val="000000" w:themeColor="text1"/>
          <w:szCs w:val="28"/>
          <w:lang w:eastAsia="ru-RU"/>
        </w:rPr>
        <w:t>Целевые показатели реализации Стратегии 2050</w:t>
      </w:r>
    </w:p>
    <w:p w:rsidR="00CC0240" w:rsidRPr="005D3B9E" w:rsidRDefault="00CC0240" w:rsidP="006F3A92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95"/>
        <w:gridCol w:w="346"/>
        <w:gridCol w:w="2810"/>
        <w:gridCol w:w="964"/>
        <w:gridCol w:w="807"/>
        <w:gridCol w:w="756"/>
        <w:gridCol w:w="756"/>
        <w:gridCol w:w="756"/>
        <w:gridCol w:w="772"/>
        <w:gridCol w:w="10"/>
      </w:tblGrid>
      <w:tr w:rsidR="006F3A92" w:rsidRPr="005D3B9E" w:rsidTr="004A0977">
        <w:trPr>
          <w:gridAfter w:val="1"/>
          <w:wAfter w:w="5" w:type="pct"/>
          <w:trHeight w:val="20"/>
          <w:tblHeader/>
          <w:jc w:val="center"/>
        </w:trPr>
        <w:tc>
          <w:tcPr>
            <w:tcW w:w="91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Цель</w:t>
            </w: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Целевые показатели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Единицы</w:t>
            </w:r>
          </w:p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2024 – 2026</w:t>
            </w:r>
          </w:p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(1 этап)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2027 – 2031</w:t>
            </w:r>
          </w:p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(2 этап)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2032 – 2036</w:t>
            </w:r>
          </w:p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(3 этап)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2037 – 2044</w:t>
            </w:r>
          </w:p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(4 этап)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2045 – 2050</w:t>
            </w:r>
          </w:p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(5 этап)</w:t>
            </w:r>
          </w:p>
        </w:tc>
      </w:tr>
      <w:tr w:rsidR="00B37F0F" w:rsidRPr="005D3B9E" w:rsidTr="004A0977">
        <w:trPr>
          <w:gridAfter w:val="1"/>
          <w:wAfter w:w="5" w:type="pct"/>
          <w:trHeight w:val="705"/>
          <w:jc w:val="center"/>
        </w:trPr>
        <w:tc>
          <w:tcPr>
            <w:tcW w:w="918" w:type="pct"/>
            <w:vMerge w:val="restart"/>
            <w:shd w:val="clear" w:color="auto" w:fill="auto"/>
            <w:hideMark/>
          </w:tcPr>
          <w:p w:rsidR="00B37F0F" w:rsidRPr="005D3B9E" w:rsidRDefault="00B37F0F" w:rsidP="00B37F0F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Генеральная цель – город комфортной среды и духовно-нравственных ценностей за счет активной кооперации населения, власти, науки и предпринимательства для устойчивого развития социальной сферы, инновационной и креативной экономик</w:t>
            </w:r>
          </w:p>
        </w:tc>
        <w:tc>
          <w:tcPr>
            <w:tcW w:w="177" w:type="pct"/>
            <w:shd w:val="clear" w:color="auto" w:fill="auto"/>
            <w:hideMark/>
          </w:tcPr>
          <w:p w:rsidR="00B37F0F" w:rsidRPr="005D3B9E" w:rsidRDefault="00B37F0F" w:rsidP="00B37F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8" w:type="pct"/>
            <w:shd w:val="clear" w:color="auto" w:fill="auto"/>
            <w:hideMark/>
          </w:tcPr>
          <w:p w:rsidR="00B37F0F" w:rsidRPr="005D3B9E" w:rsidRDefault="00B37F0F" w:rsidP="001E5536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493" w:type="pct"/>
            <w:shd w:val="clear" w:color="auto" w:fill="auto"/>
            <w:hideMark/>
          </w:tcPr>
          <w:p w:rsidR="00B37F0F" w:rsidRPr="005D3B9E" w:rsidRDefault="00B37F0F" w:rsidP="001E55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млрд. руб</w:t>
            </w:r>
            <w:r w:rsidR="00CD03FB"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лей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B37F0F" w:rsidRPr="005D3B9E" w:rsidRDefault="00B37F0F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E72463"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B37F0F" w:rsidRPr="005D3B9E" w:rsidRDefault="00B37F0F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E72463"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  <w:r w:rsidR="005D34C4"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B37F0F" w:rsidRPr="005D3B9E" w:rsidRDefault="00B37F0F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E72463"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B37F0F" w:rsidRPr="005D3B9E" w:rsidRDefault="00B37F0F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72463"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083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B37F0F" w:rsidRPr="005D3B9E" w:rsidRDefault="00B37F0F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="00E72463"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  <w:r w:rsidR="005D34C4"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F3A92" w:rsidRPr="005D3B9E" w:rsidTr="004A0977">
        <w:trPr>
          <w:gridAfter w:val="1"/>
          <w:wAfter w:w="5" w:type="pct"/>
          <w:trHeight w:val="1569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  <w:r w:rsidR="00F037ED" w:rsidRPr="005D3B9E">
              <w:rPr>
                <w:rFonts w:cs="Times New Roman"/>
                <w:sz w:val="16"/>
                <w:szCs w:val="16"/>
              </w:rPr>
              <w:t>,</w:t>
            </w:r>
            <w:r w:rsidRPr="005D3B9E">
              <w:rPr>
                <w:rFonts w:cs="Times New Roman"/>
                <w:sz w:val="16"/>
                <w:szCs w:val="16"/>
              </w:rPr>
              <w:t xml:space="preserve"> к базовому 2020 году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63,4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122,5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84,0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32,4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70,8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Доля занятых в малом бизнесе в общей численности занятых в экономике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42,8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47,0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51,3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55,0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56,4</w:t>
            </w:r>
          </w:p>
        </w:tc>
      </w:tr>
      <w:tr w:rsidR="0019263C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19263C" w:rsidRPr="005D3B9E" w:rsidRDefault="0019263C" w:rsidP="0019263C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19263C" w:rsidRPr="005D3B9E" w:rsidRDefault="0019263C" w:rsidP="001926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38" w:type="pct"/>
            <w:shd w:val="clear" w:color="auto" w:fill="auto"/>
            <w:hideMark/>
          </w:tcPr>
          <w:p w:rsidR="0019263C" w:rsidRPr="005D3B9E" w:rsidRDefault="0019263C" w:rsidP="001E5536">
            <w:pPr>
              <w:spacing w:line="240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Индекс роста реального среднедушевого денежного дохода населения</w:t>
            </w:r>
          </w:p>
        </w:tc>
        <w:tc>
          <w:tcPr>
            <w:tcW w:w="493" w:type="pct"/>
            <w:shd w:val="clear" w:color="auto" w:fill="auto"/>
            <w:hideMark/>
          </w:tcPr>
          <w:p w:rsidR="0019263C" w:rsidRPr="005D3B9E" w:rsidRDefault="0019263C" w:rsidP="001E5536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%</w:t>
            </w:r>
            <w:r w:rsidR="00FC018D" w:rsidRPr="005D3B9E">
              <w:rPr>
                <w:rFonts w:cs="Times New Roman"/>
                <w:sz w:val="16"/>
                <w:szCs w:val="16"/>
              </w:rPr>
              <w:t xml:space="preserve"> к предыдущему году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19263C" w:rsidRPr="005D3B9E" w:rsidRDefault="0019263C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102,5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19263C" w:rsidRPr="005D3B9E" w:rsidRDefault="0019263C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19263C" w:rsidRPr="005D3B9E" w:rsidRDefault="0019263C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103,4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19263C" w:rsidRPr="005D3B9E" w:rsidRDefault="0019263C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103,5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19263C" w:rsidRPr="005D3B9E" w:rsidRDefault="0019263C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103,9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Соотношение среднедушевого дохода и прожиточного минимума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5D3B9E">
              <w:rPr>
                <w:rFonts w:cs="Times New Roman"/>
                <w:sz w:val="16"/>
                <w:szCs w:val="16"/>
              </w:rPr>
              <w:t>коэф</w:t>
            </w:r>
            <w:r w:rsidR="008004B7" w:rsidRPr="005D3B9E">
              <w:rPr>
                <w:rFonts w:cs="Times New Roman"/>
                <w:sz w:val="16"/>
                <w:szCs w:val="16"/>
              </w:rPr>
              <w:t>ф</w:t>
            </w:r>
            <w:proofErr w:type="spellEnd"/>
            <w:r w:rsidRPr="005D3B9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3,8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3,9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4,1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4,</w:t>
            </w:r>
            <w:r w:rsidR="00FC018D" w:rsidRPr="005D3B9E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4,</w:t>
            </w:r>
            <w:r w:rsidR="00FC018D" w:rsidRPr="005D3B9E">
              <w:rPr>
                <w:rFonts w:cs="Times New Roman"/>
                <w:sz w:val="16"/>
                <w:szCs w:val="16"/>
              </w:rPr>
              <w:t>6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Среднегодовая численность постоянного населения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тыс. чел.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435,4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475,0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510,0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570,0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580,4</w:t>
            </w:r>
          </w:p>
        </w:tc>
      </w:tr>
      <w:tr w:rsidR="006F3A92" w:rsidRPr="005D3B9E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Направление – Инновационная экономика</w:t>
            </w:r>
          </w:p>
        </w:tc>
      </w:tr>
      <w:tr w:rsidR="006F3A92" w:rsidRPr="005D3B9E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5D3B9E" w:rsidRDefault="006F3A92" w:rsidP="00CE3BA3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Вектор – Научно-промышленный </w:t>
            </w:r>
            <w:proofErr w:type="spellStart"/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мультиотраслевой</w:t>
            </w:r>
            <w:proofErr w:type="spellEnd"/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кластер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 w:val="restar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Цель вектора – становление города Сургута как научно-промышленного </w:t>
            </w:r>
            <w:proofErr w:type="spellStart"/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мультиотраслевого</w:t>
            </w:r>
            <w:proofErr w:type="spellEnd"/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кластера национального уровня в части нефтегазовой и </w:t>
            </w:r>
            <w:proofErr w:type="spellStart"/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энергозатратных</w:t>
            </w:r>
            <w:proofErr w:type="spellEnd"/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отраслей</w:t>
            </w:r>
          </w:p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CE3BA3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Дополнительный объем отгруженных товаров собственного производства, выполненных работ и услуг собственными силами в рамках научно-промышленного </w:t>
            </w:r>
            <w:proofErr w:type="spellStart"/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мультиотраслевого</w:t>
            </w:r>
            <w:proofErr w:type="spellEnd"/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кластера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млн. рублей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35 970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155 622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341 110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719 409</w:t>
            </w:r>
          </w:p>
        </w:tc>
      </w:tr>
      <w:tr w:rsidR="006F3A92" w:rsidRPr="005D3B9E" w:rsidTr="001E5536">
        <w:trPr>
          <w:gridAfter w:val="1"/>
          <w:wAfter w:w="5" w:type="pct"/>
          <w:trHeight w:val="862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Дополнительные затраты на исследования и разработки в рамках научно-промышленного </w:t>
            </w:r>
            <w:proofErr w:type="spellStart"/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мультиотраслевого</w:t>
            </w:r>
            <w:proofErr w:type="spellEnd"/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кластера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млн. рублей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3 597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12 695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17 774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21 582</w:t>
            </w:r>
          </w:p>
        </w:tc>
      </w:tr>
      <w:tr w:rsidR="006F3A92" w:rsidRPr="005D3B9E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Вектор – Транспорт и логистика</w:t>
            </w:r>
          </w:p>
        </w:tc>
      </w:tr>
      <w:tr w:rsidR="006F3A92" w:rsidRPr="005D3B9E" w:rsidTr="001E5536">
        <w:trPr>
          <w:gridAfter w:val="1"/>
          <w:wAfter w:w="5" w:type="pct"/>
          <w:trHeight w:val="1317"/>
          <w:jc w:val="center"/>
        </w:trPr>
        <w:tc>
          <w:tcPr>
            <w:tcW w:w="918" w:type="pct"/>
            <w:vMerge w:val="restar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Цель вектора – модернизация транспортной системы и создание крупных логистических комплексов межрегионального значения</w:t>
            </w:r>
          </w:p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4A0977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Объем отгруженных товаров собственного производства, выполненных работ и услуг собственными силами в ценах соответствующих лет по виду экономической деятельности «Транспорт и хранение»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млн. рублей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9D5CA5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198 893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9D5CA5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267 435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9D5CA5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316 377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0E43A5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431 374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0E43A5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493 162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Наличие транспортно-пересадочных узлов (аэропорт, автовокзал, ж/д вокзал)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Создание крупных транспортно-логистических комплексов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Наличие речного вокзала с развитой инфраструктурой речных перевозок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F3A92" w:rsidRPr="005D3B9E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Вектор – Предпринимательство и туризм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 w:val="restar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Цель вектора в части развития предпринимательства -содействие развитию </w:t>
            </w:r>
            <w:proofErr w:type="spellStart"/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клиентоцентричного</w:t>
            </w:r>
            <w:proofErr w:type="spellEnd"/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города, ориентированного на максимальную поддержку предпринимательства.</w:t>
            </w:r>
          </w:p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Цель вектора в части развития туризма –</w:t>
            </w:r>
          </w:p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становление Сургута как регионального центра делового, развлекательного, медицинского туризма с развитыми рекреационными пространствами, привлекающего 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туристов событийными мероприятиями и своими уникальными объектами культурного наследия, спортивной, торгово-развлекательной инфраструктуры, и выполняющего распределительные функции для туристического потока в крупной городской агломерации Сургут – Нефтеюганск</w:t>
            </w: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053B0D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Удовлетвор</w:t>
            </w:r>
            <w:r w:rsidR="00053B0D"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е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нность предпринимательского сообщества общими условиями ведения предпринимательской деятельности в муниципальном образовании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55,56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Оборот (товаров, работ, услуг) субъектов малого предпринимательства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млн. рублей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275 766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360 928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540 984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851 610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1 352 054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Численность занятых в малом бизнесе, включая индивидуальных предпринимателей и </w:t>
            </w:r>
            <w:proofErr w:type="spellStart"/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самозанятых</w:t>
            </w:r>
            <w:proofErr w:type="spellEnd"/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107,1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127,5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148,1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157,0</w:t>
            </w:r>
          </w:p>
        </w:tc>
      </w:tr>
      <w:tr w:rsidR="006F3A92" w:rsidRPr="005D3B9E" w:rsidTr="004A0977">
        <w:trPr>
          <w:gridAfter w:val="1"/>
          <w:wAfter w:w="5" w:type="pct"/>
          <w:trHeight w:val="129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Удовлетворенность туризмом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54,1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Турпоток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тыс. </w:t>
            </w:r>
          </w:p>
          <w:p w:rsidR="0001399F" w:rsidRPr="005D3B9E" w:rsidRDefault="0001399F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5204B5" w:rsidRPr="005D3B9E" w:rsidRDefault="005204B5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810</w:t>
            </w:r>
          </w:p>
        </w:tc>
      </w:tr>
      <w:tr w:rsidR="006F3A92" w:rsidRPr="005D3B9E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Вектор – Креативная экономика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shd w:val="clear" w:color="auto" w:fill="auto"/>
            <w:hideMark/>
          </w:tcPr>
          <w:p w:rsidR="006F3A92" w:rsidRPr="005D3B9E" w:rsidRDefault="006F3A92" w:rsidP="00757687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Цель вектора – создание и развитие экосистемы креативных (творческих) индустрий города, направленных на сохранение и наращивание человеческого капитала города и создани</w:t>
            </w:r>
            <w:r w:rsidR="00757687"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е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новых продуктов в </w:t>
            </w:r>
            <w:proofErr w:type="spellStart"/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несырьевых</w:t>
            </w:r>
            <w:proofErr w:type="spellEnd"/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отраслях с высокой добавленной стоимостью</w:t>
            </w: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направлению «креативные» индустрии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млн. рублей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E5536" w:rsidRPr="005D3B9E" w:rsidRDefault="001E5536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14 759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E5536" w:rsidRPr="005D3B9E" w:rsidRDefault="001E5536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58 046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E5536" w:rsidRPr="005D3B9E" w:rsidRDefault="001E5536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111 816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E5536" w:rsidRPr="005D3B9E" w:rsidRDefault="001E5536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224 590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E5536" w:rsidRPr="005D3B9E" w:rsidRDefault="001E5536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335 824</w:t>
            </w:r>
          </w:p>
        </w:tc>
      </w:tr>
      <w:tr w:rsidR="006F3A92" w:rsidRPr="005D3B9E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Вектор – </w:t>
            </w:r>
            <w:proofErr w:type="spellStart"/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Цифровизация</w:t>
            </w:r>
            <w:proofErr w:type="spellEnd"/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 w:val="restart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Цель вектора – цифровая трансформация муниципального управления</w:t>
            </w: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Стоимостная доля закупаемого и (или) арендуемого иностранного программного обеспечения (не более)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8" w:type="pct"/>
            <w:shd w:val="clear" w:color="auto" w:fill="auto"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sz w:val="16"/>
                <w:szCs w:val="16"/>
              </w:rPr>
              <w:t>Стоимостная доля закупаемого оборудования иностранного производства, используемого для цифровой инфраструктуры (не более)</w:t>
            </w:r>
          </w:p>
        </w:tc>
        <w:tc>
          <w:tcPr>
            <w:tcW w:w="493" w:type="pct"/>
            <w:shd w:val="clear" w:color="auto" w:fill="auto"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цифровых платформ, используемых для муниципального управления (не менее)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цифровых сервисов для населения, созданных на базе цифровых платформ, используемых для муниципального управления (не менее)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цифровых платформ, используемых для муниципального управления с применением искусственного интеллекта (не менее)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6F3A92" w:rsidRPr="005D3B9E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Направление – Человеческий капитал</w:t>
            </w:r>
          </w:p>
        </w:tc>
      </w:tr>
      <w:tr w:rsidR="006F3A92" w:rsidRPr="005D3B9E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Вектор – Образование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 w:val="restar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Цель вектора – обеспечение доступного и качественного образования; выявление, поддержка и развитие способностей и талантов жителей города Сургута </w:t>
            </w:r>
          </w:p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Уровень удовлетворенности потребителей услугами в сфере образования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82,0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Обеспеченность населения местами 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в образовательных организациях дошкольного образования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102,9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108,1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110,9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100,1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Обеспеченность населения местами 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в общеобразовательных учреждениях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111,0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100,9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Обеспеченность населения местами дополнительного образования 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в учреждениях дополнительного образования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42,8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71,9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105,4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100,1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75,0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Доля общеобразовательных учреждений, реализующих образовательные программы 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для 6 – 11-х классов, реализующих </w:t>
            </w:r>
            <w:proofErr w:type="spellStart"/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профориентационный</w:t>
            </w:r>
            <w:proofErr w:type="spellEnd"/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минимум на продвинутом уровне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37,0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57,0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Доля обучающихся 5 – 11-х классов, ставших победителями и призерами мероприятий регионального 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и федерального уровней, направленных на выявление и развитие интеллектуальных и творческих способностей, способностей к занятиям физической культурой и спортом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9,0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Доля выпускников 11-х классов, поступивших в учреждения высшего 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и среднего профессионального образования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88,2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89,2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90,2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93,0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Наличие образовательного блока 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на базе НТЦ и </w:t>
            </w:r>
            <w:proofErr w:type="spellStart"/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СурГУ</w:t>
            </w:r>
            <w:proofErr w:type="spellEnd"/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F3A92" w:rsidRPr="005D3B9E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Вектор – Молодежная политика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 w:val="restar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Цель вектора – становление города Сургута как центра притяжения молодежи, обеспечивающего условия для творчества, досуга и отдыха, а также возможности самореализации в любом возрасте</w:t>
            </w: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053B0D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Удовлетворе</w:t>
            </w:r>
            <w:r w:rsidR="006F3A92"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нность населения услугами молодёжной политики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90,4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Доля молодых людей, охваченных молодежными проектами и программами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68,3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Обеспеченность организациями в сфере молодежной политики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120,9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118,0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Наличие многофункционального молодежного центра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F3A92" w:rsidRPr="005D3B9E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Вектор – Культура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 w:val="restar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Цель вектора – создание современной культурной среды для обеспечения доступа жителей к культурным ценностям и услугам</w:t>
            </w: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980691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Уровень удовлетворенности населения качеством услуг организаций культуры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63,2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73,2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Обеспеченность населения организациями культуры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124,1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148,9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142,5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143,7</w:t>
            </w:r>
          </w:p>
        </w:tc>
      </w:tr>
      <w:tr w:rsidR="006F3A92" w:rsidRPr="005D3B9E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Вектор – Физическая культура и спорт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 w:val="restar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Цель вектора – создание единого спортивного пространства, направленного на обеспечение оптимальных условий для физического и духовного совершенствования граждан, равных возможностей для занятий физической культурой и спортом независимо от доходов и благосостояния, а также совершенствование системы подготовки спортивного резерва</w:t>
            </w:r>
          </w:p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8" w:type="pct"/>
            <w:shd w:val="clear" w:color="auto" w:fill="auto"/>
          </w:tcPr>
          <w:p w:rsidR="006F3A92" w:rsidRPr="005D3B9E" w:rsidRDefault="006F3A92" w:rsidP="00053B0D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Уровень удовлетвор</w:t>
            </w:r>
            <w:r w:rsidR="00053B0D"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е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нности населения услугами в сфере физической культуры и спорта</w:t>
            </w:r>
          </w:p>
        </w:tc>
        <w:tc>
          <w:tcPr>
            <w:tcW w:w="493" w:type="pct"/>
            <w:shd w:val="clear" w:color="auto" w:fill="auto"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shd w:val="clear" w:color="auto" w:fill="auto"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8" w:type="pct"/>
            <w:shd w:val="clear" w:color="auto" w:fill="auto"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Уровень обеспеченности граждан общедоступными спортивными сооружениями исходя из единовременной пропускной способности</w:t>
            </w:r>
          </w:p>
        </w:tc>
        <w:tc>
          <w:tcPr>
            <w:tcW w:w="493" w:type="pct"/>
            <w:shd w:val="clear" w:color="auto" w:fill="auto"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41,6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81,6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shd w:val="clear" w:color="auto" w:fill="auto"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8" w:type="pct"/>
            <w:shd w:val="clear" w:color="auto" w:fill="auto"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493" w:type="pct"/>
            <w:shd w:val="clear" w:color="auto" w:fill="auto"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62,8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82,3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90,5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100,1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shd w:val="clear" w:color="auto" w:fill="auto"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8" w:type="pct"/>
            <w:shd w:val="clear" w:color="auto" w:fill="auto"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Доля граждан, систематически занимающихся физической культурой и спортом (в численности постоянного населения города в возрасте 3 – 79 лет)</w:t>
            </w:r>
          </w:p>
        </w:tc>
        <w:tc>
          <w:tcPr>
            <w:tcW w:w="493" w:type="pct"/>
            <w:shd w:val="clear" w:color="auto" w:fill="auto"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71,8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395" w:type="pct"/>
            <w:shd w:val="clear" w:color="auto" w:fill="auto"/>
            <w:noWrap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6F3A92" w:rsidRPr="005D3B9E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Вектор – Общественное здоровье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Цель вектора – укрепление общественного здоровья</w:t>
            </w: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Доля граждан – участников мероприятий, замотивированных к ведению здорового образа жизни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6F3A92" w:rsidRPr="005D3B9E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Направление – Уровень и качество жизни</w:t>
            </w:r>
          </w:p>
        </w:tc>
      </w:tr>
      <w:tr w:rsidR="006F3A92" w:rsidRPr="005D3B9E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Вектор – Комфортная среда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 w:val="restar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Цель вектора – формирование комфортной городской среды (включая систему благоустроенных общественных пространств, в том числе зеленые насаждения общего 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пользования, жилищное строительство, сбалансированную транспортную инфраструктуру 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и инженерную инфраструктуру)</w:t>
            </w:r>
          </w:p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Индекс качества городской среды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360</w:t>
            </w:r>
          </w:p>
        </w:tc>
      </w:tr>
      <w:tr w:rsidR="006F3A92" w:rsidRPr="005D3B9E" w:rsidTr="004A0977">
        <w:trPr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2" w:type="pct"/>
            <w:gridSpan w:val="9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Благоустройство территории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D96F1C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Уровень обеспеченности населения озелен</w:t>
            </w:r>
            <w:r w:rsidR="00D96F1C"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е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нными территориями общего пользования</w:t>
            </w:r>
          </w:p>
        </w:tc>
        <w:tc>
          <w:tcPr>
            <w:tcW w:w="493" w:type="pct"/>
            <w:shd w:val="clear" w:color="auto" w:fill="auto"/>
            <w:hideMark/>
          </w:tcPr>
          <w:p w:rsidR="00B257FC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кв. м </w:t>
            </w:r>
          </w:p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на чел.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16,0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38" w:type="pct"/>
            <w:shd w:val="clear" w:color="auto" w:fill="auto"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открытых общественных пространств различного функционального назначения</w:t>
            </w:r>
          </w:p>
        </w:tc>
        <w:tc>
          <w:tcPr>
            <w:tcW w:w="493" w:type="pct"/>
            <w:shd w:val="clear" w:color="auto" w:fill="auto"/>
          </w:tcPr>
          <w:p w:rsidR="006F3A92" w:rsidRPr="005D3B9E" w:rsidRDefault="00485E4F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5" w:type="pct"/>
            <w:shd w:val="clear" w:color="auto" w:fill="auto"/>
            <w:noWrap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485E4F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60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F3A92" w:rsidRPr="005D3B9E" w:rsidRDefault="006F3A92" w:rsidP="006F3A92">
            <w:pPr>
              <w:spacing w:after="160" w:line="259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48</w:t>
            </w:r>
          </w:p>
        </w:tc>
        <w:tc>
          <w:tcPr>
            <w:tcW w:w="1438" w:type="pct"/>
            <w:shd w:val="clear" w:color="auto" w:fill="auto"/>
          </w:tcPr>
          <w:p w:rsidR="006F3A92" w:rsidRPr="005D3B9E" w:rsidRDefault="006F3A92" w:rsidP="001E5536">
            <w:pPr>
              <w:spacing w:line="240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Площадь содержания зеленых насаждений на территориях общего пользования (с учетом ввода новых озелененных территорий общего пользования (парков и скверов))</w:t>
            </w:r>
          </w:p>
        </w:tc>
        <w:tc>
          <w:tcPr>
            <w:tcW w:w="493" w:type="pct"/>
            <w:shd w:val="clear" w:color="auto" w:fill="auto"/>
          </w:tcPr>
          <w:p w:rsidR="006F3A92" w:rsidRPr="005D3B9E" w:rsidRDefault="006F3A92" w:rsidP="001E5536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га</w:t>
            </w:r>
          </w:p>
        </w:tc>
        <w:tc>
          <w:tcPr>
            <w:tcW w:w="413" w:type="pct"/>
            <w:shd w:val="clear" w:color="auto" w:fill="auto"/>
            <w:noWrap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535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664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802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912</w:t>
            </w:r>
          </w:p>
        </w:tc>
        <w:tc>
          <w:tcPr>
            <w:tcW w:w="395" w:type="pct"/>
            <w:shd w:val="clear" w:color="auto" w:fill="auto"/>
            <w:noWrap/>
          </w:tcPr>
          <w:p w:rsidR="006F3A92" w:rsidRPr="005D3B9E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928</w:t>
            </w:r>
          </w:p>
        </w:tc>
      </w:tr>
      <w:tr w:rsidR="006F3A92" w:rsidRPr="005D3B9E" w:rsidTr="004A0977">
        <w:trPr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2" w:type="pct"/>
            <w:gridSpan w:val="9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Инженерная инфраструктура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водоотведения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3,42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5,00</w:t>
            </w:r>
          </w:p>
        </w:tc>
      </w:tr>
      <w:tr w:rsidR="006F3A92" w:rsidRPr="005D3B9E" w:rsidTr="001E5536">
        <w:trPr>
          <w:gridAfter w:val="1"/>
          <w:wAfter w:w="5" w:type="pct"/>
          <w:trHeight w:val="922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Доля нормативных потерь тепловой энергии при ее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8,96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8,51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8,08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7,68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7,47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Доля нормативных потерь воды 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в централизованных системах водоснабжения при транспортировке 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в общем объеме воды, поданной 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в водопроводную сеть на территории муниципального образования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9,48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9,01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8,56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8,13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5D3B9E">
              <w:rPr>
                <w:rFonts w:cs="Times New Roman"/>
                <w:sz w:val="16"/>
                <w:szCs w:val="16"/>
              </w:rPr>
              <w:t>7,73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Доля нормативных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6F3A92" w:rsidRPr="005D3B9E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Доля населения в многоквартирных жилых домах, охваченных услугой централизованного водоотведения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6F3A92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Доля ливневых сточных вод, 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не подвергающихся очистке, в общем объёме сточных вод, сбрасываемых </w:t>
            </w: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в централизованные дождевые системы водоотведения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5D3B9E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3B9E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77D1B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E77D1B" w:rsidRPr="006F3A92" w:rsidRDefault="00E77D1B" w:rsidP="00E77D1B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E77D1B" w:rsidRPr="00EA406B" w:rsidRDefault="00E77D1B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38" w:type="pct"/>
            <w:shd w:val="clear" w:color="auto" w:fill="auto"/>
            <w:hideMark/>
          </w:tcPr>
          <w:p w:rsidR="00E77D1B" w:rsidRPr="00EA406B" w:rsidRDefault="00E77D1B" w:rsidP="00E77D1B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и актуализированных схем тепло-, водоснабжения, водоотведения</w:t>
            </w:r>
          </w:p>
        </w:tc>
        <w:tc>
          <w:tcPr>
            <w:tcW w:w="493" w:type="pct"/>
            <w:shd w:val="clear" w:color="auto" w:fill="auto"/>
            <w:hideMark/>
          </w:tcPr>
          <w:p w:rsidR="00E77D1B" w:rsidRPr="00EA406B" w:rsidRDefault="00E77D1B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E77D1B" w:rsidRPr="00EA406B" w:rsidRDefault="00E77D1B" w:rsidP="00E77D1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E77D1B" w:rsidRPr="00EA406B" w:rsidRDefault="00E77D1B" w:rsidP="00E77D1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E77D1B" w:rsidRPr="00EA406B" w:rsidRDefault="00E77D1B" w:rsidP="00E77D1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E77D1B" w:rsidRPr="00EA406B" w:rsidRDefault="00E77D1B" w:rsidP="00E77D1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E77D1B" w:rsidRPr="00EA406B" w:rsidRDefault="00E77D1B" w:rsidP="00E77D1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77D1B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</w:tcPr>
          <w:p w:rsidR="00E77D1B" w:rsidRPr="006F3A92" w:rsidRDefault="00E77D1B" w:rsidP="00E77D1B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E77D1B" w:rsidRPr="00EA406B" w:rsidRDefault="00E77D1B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38" w:type="pct"/>
            <w:shd w:val="clear" w:color="auto" w:fill="auto"/>
          </w:tcPr>
          <w:p w:rsidR="00E77D1B" w:rsidRPr="00EA406B" w:rsidRDefault="00E77D1B" w:rsidP="00E77D1B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Уровень удовлетворенности заявителей эффективностью процедуры подключения к газораспределительным сетям</w:t>
            </w:r>
          </w:p>
        </w:tc>
        <w:tc>
          <w:tcPr>
            <w:tcW w:w="493" w:type="pct"/>
            <w:shd w:val="clear" w:color="auto" w:fill="auto"/>
          </w:tcPr>
          <w:p w:rsidR="00E77D1B" w:rsidRPr="00EA406B" w:rsidRDefault="00E77D1B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E77D1B" w:rsidRPr="00EA406B" w:rsidRDefault="00E77D1B" w:rsidP="00E77D1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E77D1B" w:rsidRPr="00EA406B" w:rsidRDefault="00E77D1B" w:rsidP="00E77D1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E77D1B" w:rsidRPr="00EA406B" w:rsidRDefault="00E77D1B" w:rsidP="00E77D1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E77D1B" w:rsidRPr="00EA406B" w:rsidRDefault="00E77D1B" w:rsidP="00E77D1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65,9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:rsidR="00E77D1B" w:rsidRPr="00EA406B" w:rsidRDefault="00E77D1B" w:rsidP="00E77D1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6F3A92" w:rsidRPr="006F3A92" w:rsidTr="004A0977">
        <w:trPr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2" w:type="pct"/>
            <w:gridSpan w:val="9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Транспортная инфраструктура</w:t>
            </w:r>
          </w:p>
        </w:tc>
      </w:tr>
      <w:tr w:rsidR="006F3A92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F3A92" w:rsidRPr="00EA406B" w:rsidRDefault="00E77D1B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438" w:type="pct"/>
            <w:shd w:val="clear" w:color="auto" w:fill="auto"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Удовлетворенность качеством и доступностью автомобильных дорог</w:t>
            </w:r>
          </w:p>
        </w:tc>
        <w:tc>
          <w:tcPr>
            <w:tcW w:w="493" w:type="pct"/>
            <w:shd w:val="clear" w:color="auto" w:fill="auto"/>
          </w:tcPr>
          <w:p w:rsidR="006F3A92" w:rsidRPr="00EA406B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F3A92" w:rsidRPr="00EA406B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51,8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EA406B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59,7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EA406B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EA406B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80,4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:rsidR="006F3A92" w:rsidRPr="00EA406B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90,0</w:t>
            </w:r>
          </w:p>
        </w:tc>
      </w:tr>
      <w:tr w:rsidR="006F3A92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F3A92" w:rsidRPr="00EA406B" w:rsidRDefault="006F3A92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="00E77D1B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38" w:type="pct"/>
            <w:shd w:val="clear" w:color="auto" w:fill="auto"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Удовлетворенность качеством транспортного обслуживания пассажирским транспортом общего пользования</w:t>
            </w:r>
          </w:p>
        </w:tc>
        <w:tc>
          <w:tcPr>
            <w:tcW w:w="493" w:type="pct"/>
            <w:shd w:val="clear" w:color="auto" w:fill="auto"/>
          </w:tcPr>
          <w:p w:rsidR="006F3A92" w:rsidRPr="00EA406B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F3A92" w:rsidRPr="00EA406B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EA406B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EA406B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EA406B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73,3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:rsidR="006F3A92" w:rsidRPr="00EA406B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90,0</w:t>
            </w:r>
          </w:p>
        </w:tc>
      </w:tr>
      <w:tr w:rsidR="006F3A92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F3A92" w:rsidRPr="00EA406B" w:rsidRDefault="00E77D1B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38" w:type="pct"/>
            <w:shd w:val="clear" w:color="auto" w:fill="auto"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Обеспеченность велосипедными дорожками (территории жилой и общественно-деловой застройки)</w:t>
            </w:r>
          </w:p>
        </w:tc>
        <w:tc>
          <w:tcPr>
            <w:tcW w:w="493" w:type="pct"/>
            <w:shd w:val="clear" w:color="auto" w:fill="auto"/>
          </w:tcPr>
          <w:p w:rsidR="00B257FC" w:rsidRDefault="008004B7" w:rsidP="00B257F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  <w:r w:rsidR="006F3A92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м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257FC">
              <w:rPr>
                <w:rFonts w:eastAsia="Times New Roman" w:cs="Times New Roman"/>
                <w:sz w:val="16"/>
                <w:szCs w:val="16"/>
                <w:lang w:eastAsia="ru-RU"/>
              </w:rPr>
              <w:t>на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F3A92" w:rsidRPr="00EA406B" w:rsidRDefault="008004B7" w:rsidP="00B257F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кв. </w:t>
            </w:r>
            <w:r w:rsidR="006F3A92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F3A92" w:rsidRPr="00EA406B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EA406B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EA406B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EA406B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:rsidR="006F3A92" w:rsidRPr="00EA406B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0,30</w:t>
            </w:r>
          </w:p>
        </w:tc>
      </w:tr>
      <w:tr w:rsidR="006F3A92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F3A92" w:rsidRPr="00EA406B" w:rsidRDefault="00E77D1B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438" w:type="pct"/>
            <w:shd w:val="clear" w:color="auto" w:fill="auto"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Доля протяженности автомобильных дорог общего пользования местного значения, 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493" w:type="pct"/>
            <w:shd w:val="clear" w:color="auto" w:fill="auto"/>
          </w:tcPr>
          <w:p w:rsidR="006F3A92" w:rsidRPr="006F3A92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86,0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6F3A92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F3A92" w:rsidRPr="00EA406B" w:rsidRDefault="006F3A92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  <w:r w:rsidR="00E77D1B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8" w:type="pct"/>
            <w:shd w:val="clear" w:color="auto" w:fill="auto"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Доля площади территории города, находящаяся в нормативном радиусе пешеходной доступности от остановочных пунктов</w:t>
            </w:r>
          </w:p>
        </w:tc>
        <w:tc>
          <w:tcPr>
            <w:tcW w:w="493" w:type="pct"/>
            <w:shd w:val="clear" w:color="auto" w:fill="auto"/>
          </w:tcPr>
          <w:p w:rsidR="006F3A92" w:rsidRPr="006F3A92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6F3A92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EA406B" w:rsidRDefault="006F3A92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  <w:r w:rsidR="00E77D1B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Доля теплых остановочных павильонов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53,3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6F3A92" w:rsidRPr="006F3A92" w:rsidTr="004A0977">
        <w:trPr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2" w:type="pct"/>
            <w:gridSpan w:val="9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Жилищное строительство</w:t>
            </w:r>
          </w:p>
        </w:tc>
      </w:tr>
      <w:tr w:rsidR="006F3A92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EA406B" w:rsidRDefault="006F3A92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  <w:r w:rsidR="00E77D1B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семей, улучшивших жилищные условия (в том числе из </w:t>
            </w: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ветхого, аварийного, фенольного жилищного фонда до 31.12.2024)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6F3A92" w:rsidRDefault="00B257FC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семья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1E5536" w:rsidRDefault="001E5536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E5536" w:rsidRDefault="001E5536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E5536" w:rsidRDefault="001E5536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1E5536" w:rsidRDefault="001E5536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E5536" w:rsidRDefault="001E5536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E5536" w:rsidRDefault="001E5536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1E5536" w:rsidRDefault="001E5536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E5536" w:rsidRDefault="001E5536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E5536" w:rsidRDefault="001E5536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1E5536" w:rsidRDefault="001E5536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E5536" w:rsidRDefault="001E5536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E5536" w:rsidRDefault="001E5536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:rsidR="001E5536" w:rsidRDefault="001E5536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E5536" w:rsidRDefault="001E5536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E5536" w:rsidRDefault="001E5536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6F3A92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F3A92" w:rsidRPr="00EA406B" w:rsidRDefault="006F3A92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  <w:r w:rsidR="00E77D1B" w:rsidRPr="00EA406B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8" w:type="pct"/>
            <w:shd w:val="clear" w:color="auto" w:fill="auto"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семей, улучшивших жилищные условия (по категориям семей с 01.01.2025)</w:t>
            </w:r>
          </w:p>
        </w:tc>
        <w:tc>
          <w:tcPr>
            <w:tcW w:w="493" w:type="pct"/>
            <w:shd w:val="clear" w:color="auto" w:fill="auto"/>
          </w:tcPr>
          <w:p w:rsidR="006F3A92" w:rsidRPr="006F3A92" w:rsidRDefault="00B257FC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395" w:type="pct"/>
            <w:shd w:val="clear" w:color="auto" w:fill="auto"/>
            <w:noWrap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480</w:t>
            </w:r>
          </w:p>
        </w:tc>
      </w:tr>
      <w:tr w:rsidR="006F3A92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F3A92" w:rsidRPr="00EA406B" w:rsidRDefault="006F3A92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  <w:r w:rsidR="00E77D1B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38" w:type="pct"/>
            <w:shd w:val="clear" w:color="auto" w:fill="auto"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Доля многоквартирных домов с физическим износом более 70%</w:t>
            </w:r>
          </w:p>
        </w:tc>
        <w:tc>
          <w:tcPr>
            <w:tcW w:w="493" w:type="pct"/>
            <w:shd w:val="clear" w:color="auto" w:fill="auto"/>
          </w:tcPr>
          <w:p w:rsidR="006F3A92" w:rsidRPr="006F3A92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6F3A92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EA406B" w:rsidRDefault="006F3A92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  <w:r w:rsidR="00E77D1B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6F3A92" w:rsidRDefault="008004B7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26,0</w:t>
            </w:r>
          </w:p>
        </w:tc>
      </w:tr>
      <w:tr w:rsidR="006F3A92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EA406B" w:rsidRDefault="006F3A92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  <w:r w:rsidR="00E77D1B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Объем жилищного строительства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6F3A92" w:rsidRDefault="008004B7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тыс. кв. м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875,1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1 272,0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1 272,2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1 878,3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750,0</w:t>
            </w:r>
          </w:p>
        </w:tc>
      </w:tr>
      <w:tr w:rsidR="006F3A92" w:rsidRPr="006F3A92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Вектор – Идентичность и код города</w:t>
            </w:r>
          </w:p>
        </w:tc>
      </w:tr>
      <w:tr w:rsidR="006F3A92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shd w:val="clear" w:color="auto" w:fill="auto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Цель вектора – создание неповторимого облика города</w:t>
            </w:r>
          </w:p>
        </w:tc>
        <w:tc>
          <w:tcPr>
            <w:tcW w:w="177" w:type="pct"/>
            <w:shd w:val="clear" w:color="auto" w:fill="auto"/>
            <w:hideMark/>
          </w:tcPr>
          <w:p w:rsidR="006F3A92" w:rsidRPr="00EA406B" w:rsidRDefault="006F3A92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  <w:r w:rsidR="00E77D1B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EA406B" w:rsidRDefault="00053B0D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Удовлетворе</w:t>
            </w:r>
            <w:r w:rsidR="006F3A92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нность населения образом и идентичностью города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70,0</w:t>
            </w:r>
          </w:p>
        </w:tc>
      </w:tr>
      <w:tr w:rsidR="006F3A92" w:rsidRPr="006F3A92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Вектор – Безопасность</w:t>
            </w:r>
          </w:p>
        </w:tc>
      </w:tr>
      <w:tr w:rsidR="006F3A92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 w:val="restart"/>
            <w:shd w:val="clear" w:color="auto" w:fill="auto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Цель вектора – становление города Сургута, как пространства с высоким уровнем общественной безопасности</w:t>
            </w:r>
          </w:p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EA406B" w:rsidRDefault="00E77D1B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Удовлетворенность населения уровнем общественной безопасности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83,0</w:t>
            </w:r>
          </w:p>
        </w:tc>
      </w:tr>
      <w:tr w:rsidR="006F3A92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EA406B" w:rsidRDefault="006F3A92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  <w:r w:rsidR="00E77D1B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Уровень преступности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6F3A92" w:rsidRDefault="006F3A92" w:rsidP="00B257F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зарегист-рирован-ных</w:t>
            </w:r>
            <w:proofErr w:type="spellEnd"/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преступ-лений</w:t>
            </w:r>
            <w:proofErr w:type="spellEnd"/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на 100 тыс. чел. населения, ед</w:t>
            </w:r>
            <w:r w:rsidR="00B257FC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1 041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726</w:t>
            </w:r>
          </w:p>
        </w:tc>
      </w:tr>
      <w:tr w:rsidR="006F3A92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EA406B" w:rsidRDefault="006F3A92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  <w:r w:rsidR="00E77D1B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Доля раскрытых преступлений от общего числа преступлений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79,0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85,0</w:t>
            </w:r>
          </w:p>
        </w:tc>
      </w:tr>
      <w:tr w:rsidR="006F3A92" w:rsidRPr="006F3A92" w:rsidTr="001E5536">
        <w:trPr>
          <w:gridAfter w:val="1"/>
          <w:wAfter w:w="5" w:type="pct"/>
          <w:trHeight w:val="499"/>
          <w:jc w:val="center"/>
        </w:trPr>
        <w:tc>
          <w:tcPr>
            <w:tcW w:w="918" w:type="pct"/>
            <w:vMerge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EA406B" w:rsidRDefault="006F3A92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  <w:r w:rsidR="00E77D1B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Введение в эксплуатацию объектов оповещения населения о чрезвычайных ситуациях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6F3A92" w:rsidRPr="006F3A92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Вектор – Экология</w:t>
            </w:r>
          </w:p>
        </w:tc>
      </w:tr>
      <w:tr w:rsidR="006F3A92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 w:val="restart"/>
            <w:shd w:val="clear" w:color="auto" w:fill="auto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Цель вектора – формирование благоприятной городской среды, развивающейся на основе принципов устойчивого развития</w:t>
            </w:r>
          </w:p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EA406B" w:rsidRDefault="006F3A92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  <w:r w:rsidR="00E77D1B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Доля населения, удовлетворенного экологической обстановкой в городе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22,0</w:t>
            </w:r>
          </w:p>
        </w:tc>
      </w:tr>
      <w:tr w:rsidR="006F3A92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EA406B" w:rsidRDefault="00485E4F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  <w:r w:rsidR="00E77D1B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Протяженность прибрежных полос, очищенных от бытового мусора </w:t>
            </w: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в границах населенных пунктов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30,69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30,69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30,69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30,69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30,69</w:t>
            </w:r>
          </w:p>
        </w:tc>
      </w:tr>
      <w:tr w:rsidR="006F3A92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EA406B" w:rsidRDefault="00485E4F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  <w:r w:rsidR="00E77D1B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населения, вовлеченного </w:t>
            </w: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в мероприятия экологической направленности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9 074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9 165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9 632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10 430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11 072</w:t>
            </w:r>
          </w:p>
        </w:tc>
      </w:tr>
      <w:tr w:rsidR="006F3A92" w:rsidRPr="006F3A92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Вектор – Социальная поддержка отдельных категорий граждан</w:t>
            </w:r>
          </w:p>
        </w:tc>
      </w:tr>
      <w:tr w:rsidR="006F3A92" w:rsidRPr="006F3A92" w:rsidTr="001E5536">
        <w:trPr>
          <w:gridAfter w:val="1"/>
          <w:wAfter w:w="5" w:type="pct"/>
          <w:trHeight w:val="1314"/>
          <w:jc w:val="center"/>
        </w:trPr>
        <w:tc>
          <w:tcPr>
            <w:tcW w:w="918" w:type="pct"/>
            <w:shd w:val="clear" w:color="auto" w:fill="auto"/>
            <w:hideMark/>
          </w:tcPr>
          <w:p w:rsid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Цель вектора – выравнивание социального положения наиболее уязвимых и незащищенных категорий граждан</w:t>
            </w:r>
          </w:p>
          <w:p w:rsidR="001E5536" w:rsidRPr="006F3A92" w:rsidRDefault="001E5536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F3A92" w:rsidRPr="00EA406B" w:rsidRDefault="00485E4F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  <w:r w:rsidR="00E77D1B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8" w:type="pct"/>
            <w:shd w:val="clear" w:color="auto" w:fill="auto"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Доля граждан, получивших дополнительные меры социальной поддержки в общей численности граждан, имеющих право и заявившихся на ее получение</w:t>
            </w:r>
          </w:p>
        </w:tc>
        <w:tc>
          <w:tcPr>
            <w:tcW w:w="493" w:type="pct"/>
            <w:shd w:val="clear" w:color="auto" w:fill="auto"/>
          </w:tcPr>
          <w:p w:rsidR="006F3A92" w:rsidRPr="006F3A92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95" w:type="pct"/>
            <w:shd w:val="clear" w:color="auto" w:fill="auto"/>
            <w:noWrap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6F3A92" w:rsidRPr="006F3A92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Направление – Гражданское общество</w:t>
            </w:r>
          </w:p>
        </w:tc>
      </w:tr>
      <w:tr w:rsidR="006F3A92" w:rsidRPr="006F3A92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Вектор – «Гармоничное общество»</w:t>
            </w:r>
          </w:p>
        </w:tc>
      </w:tr>
      <w:tr w:rsidR="006F3A92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shd w:val="clear" w:color="auto" w:fill="auto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Цель вектора - содействие межнациональному и межконфессиональному диалогу жителей города</w:t>
            </w:r>
          </w:p>
        </w:tc>
        <w:tc>
          <w:tcPr>
            <w:tcW w:w="177" w:type="pct"/>
            <w:shd w:val="clear" w:color="auto" w:fill="auto"/>
            <w:hideMark/>
          </w:tcPr>
          <w:p w:rsidR="006F3A92" w:rsidRPr="00EA406B" w:rsidRDefault="00485E4F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  <w:r w:rsidR="00E77D1B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Доля граждан, положительно оценивающих состояние межнациональных (межэтнических) отношений, в общей численности граждан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79,8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81,9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84,1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90,0</w:t>
            </w:r>
          </w:p>
        </w:tc>
      </w:tr>
      <w:tr w:rsidR="006F3A92" w:rsidRPr="006F3A92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Вектор – Общественное участие и самоуправление</w:t>
            </w:r>
          </w:p>
        </w:tc>
      </w:tr>
      <w:tr w:rsidR="006F3A92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 w:val="restart"/>
            <w:shd w:val="clear" w:color="auto" w:fill="auto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Цель вектора – создание условий для общественного участия и самоуправления</w:t>
            </w:r>
          </w:p>
        </w:tc>
        <w:tc>
          <w:tcPr>
            <w:tcW w:w="177" w:type="pct"/>
            <w:shd w:val="clear" w:color="auto" w:fill="auto"/>
            <w:hideMark/>
          </w:tcPr>
          <w:p w:rsidR="006F3A92" w:rsidRPr="00EA406B" w:rsidRDefault="00485E4F" w:rsidP="00E77D1B">
            <w:pPr>
              <w:spacing w:after="160" w:line="259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A406B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  <w:r w:rsidR="00E77D1B" w:rsidRPr="00EA406B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EA406B" w:rsidRDefault="006F3A92" w:rsidP="001E5536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A406B">
              <w:rPr>
                <w:rFonts w:cs="Times New Roman"/>
                <w:color w:val="000000" w:themeColor="text1"/>
                <w:sz w:val="16"/>
                <w:szCs w:val="16"/>
              </w:rPr>
              <w:t>Доля граждан, принявших участие в различных мероприятиях посредством информационных технологий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6F3A92" w:rsidRDefault="006F3A92" w:rsidP="001E5536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6F3A92">
              <w:rPr>
                <w:rFonts w:cs="Times New Roman"/>
                <w:sz w:val="16"/>
                <w:szCs w:val="16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6F3A92">
              <w:rPr>
                <w:rFonts w:cs="Times New Roman"/>
                <w:sz w:val="16"/>
                <w:szCs w:val="16"/>
              </w:rPr>
              <w:t>30,0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6F3A92">
              <w:rPr>
                <w:rFonts w:cs="Times New Roman"/>
                <w:sz w:val="16"/>
                <w:szCs w:val="16"/>
              </w:rPr>
              <w:t>50,5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6F3A92">
              <w:rPr>
                <w:rFonts w:cs="Times New Roman"/>
                <w:sz w:val="16"/>
                <w:szCs w:val="16"/>
              </w:rPr>
              <w:t>53,0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6F3A92">
              <w:rPr>
                <w:rFonts w:cs="Times New Roman"/>
                <w:sz w:val="16"/>
                <w:szCs w:val="16"/>
              </w:rPr>
              <w:t>57,0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6F3A92">
              <w:rPr>
                <w:rFonts w:cs="Times New Roman"/>
                <w:sz w:val="16"/>
                <w:szCs w:val="16"/>
              </w:rPr>
              <w:t>60,0</w:t>
            </w:r>
          </w:p>
        </w:tc>
      </w:tr>
      <w:tr w:rsidR="006F3A92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vMerge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EA406B" w:rsidRDefault="00E77D1B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некоммерческих организаций, которым оказана консультационная и методическая поддержка со стороны органов местного самоуправления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140</w:t>
            </w:r>
          </w:p>
        </w:tc>
      </w:tr>
      <w:tr w:rsidR="006F3A92" w:rsidRPr="006F3A92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Вектор – Городское управление</w:t>
            </w:r>
          </w:p>
        </w:tc>
      </w:tr>
      <w:tr w:rsidR="006F3A92" w:rsidRPr="006F3A92" w:rsidTr="001E5536">
        <w:trPr>
          <w:gridAfter w:val="1"/>
          <w:wAfter w:w="5" w:type="pct"/>
          <w:trHeight w:val="533"/>
          <w:jc w:val="center"/>
        </w:trPr>
        <w:tc>
          <w:tcPr>
            <w:tcW w:w="918" w:type="pct"/>
            <w:vMerge w:val="restart"/>
            <w:shd w:val="clear" w:color="auto" w:fill="auto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Цель вектора – трансформация городского управления в целях повышения эффективности </w:t>
            </w: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предоставления муниципальных услуг и результативности деятельности муниципальных служащих </w:t>
            </w:r>
          </w:p>
        </w:tc>
        <w:tc>
          <w:tcPr>
            <w:tcW w:w="177" w:type="pct"/>
            <w:shd w:val="clear" w:color="auto" w:fill="auto"/>
          </w:tcPr>
          <w:p w:rsidR="006F3A92" w:rsidRPr="00EA406B" w:rsidRDefault="00485E4F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  <w:r w:rsidR="00E77D1B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8" w:type="pct"/>
            <w:shd w:val="clear" w:color="auto" w:fill="auto"/>
          </w:tcPr>
          <w:p w:rsidR="006F3A92" w:rsidRPr="00EA406B" w:rsidRDefault="006F3A92" w:rsidP="001E5536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Удовлетворенность населения деятельностью органов местного самоуправления </w:t>
            </w:r>
          </w:p>
        </w:tc>
        <w:tc>
          <w:tcPr>
            <w:tcW w:w="493" w:type="pct"/>
            <w:shd w:val="clear" w:color="auto" w:fill="auto"/>
          </w:tcPr>
          <w:p w:rsidR="006F3A92" w:rsidRPr="006F3A92" w:rsidRDefault="006F3A92" w:rsidP="001E55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60,1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70,3</w:t>
            </w:r>
          </w:p>
        </w:tc>
        <w:tc>
          <w:tcPr>
            <w:tcW w:w="395" w:type="pct"/>
            <w:shd w:val="clear" w:color="auto" w:fill="auto"/>
            <w:noWrap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75,0</w:t>
            </w:r>
          </w:p>
        </w:tc>
      </w:tr>
      <w:tr w:rsidR="006F3A92" w:rsidRPr="006F3A92" w:rsidTr="001E5536">
        <w:trPr>
          <w:gridAfter w:val="1"/>
          <w:wAfter w:w="5" w:type="pct"/>
          <w:trHeight w:val="385"/>
          <w:jc w:val="center"/>
        </w:trPr>
        <w:tc>
          <w:tcPr>
            <w:tcW w:w="918" w:type="pct"/>
            <w:vMerge/>
            <w:shd w:val="clear" w:color="auto" w:fill="auto"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F3A92" w:rsidRPr="00EA406B" w:rsidRDefault="00485E4F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  <w:r w:rsidR="00E77D1B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8" w:type="pct"/>
            <w:shd w:val="clear" w:color="auto" w:fill="auto"/>
          </w:tcPr>
          <w:p w:rsidR="006F3A92" w:rsidRPr="00EA406B" w:rsidRDefault="006F3A92" w:rsidP="001E5536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Цифровая зрелость городского управления</w:t>
            </w:r>
          </w:p>
        </w:tc>
        <w:tc>
          <w:tcPr>
            <w:tcW w:w="493" w:type="pct"/>
            <w:shd w:val="clear" w:color="auto" w:fill="auto"/>
          </w:tcPr>
          <w:p w:rsidR="006F3A92" w:rsidRPr="006F3A92" w:rsidRDefault="006F3A92" w:rsidP="001E55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413" w:type="pct"/>
            <w:shd w:val="clear" w:color="auto" w:fill="auto"/>
            <w:noWrap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67,3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70,7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395" w:type="pct"/>
            <w:shd w:val="clear" w:color="auto" w:fill="auto"/>
            <w:noWrap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6F3A92" w:rsidRPr="00C14879" w:rsidTr="001E5536">
        <w:trPr>
          <w:gridAfter w:val="1"/>
          <w:wAfter w:w="5" w:type="pct"/>
          <w:trHeight w:val="560"/>
          <w:jc w:val="center"/>
        </w:trPr>
        <w:tc>
          <w:tcPr>
            <w:tcW w:w="918" w:type="pct"/>
            <w:vMerge/>
            <w:shd w:val="clear" w:color="auto" w:fill="auto"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F3A92" w:rsidRPr="00EA406B" w:rsidRDefault="00485E4F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  <w:r w:rsidR="00E77D1B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8" w:type="pct"/>
            <w:shd w:val="clear" w:color="auto" w:fill="auto"/>
          </w:tcPr>
          <w:p w:rsidR="006F3A92" w:rsidRPr="00EA406B" w:rsidRDefault="006F3A92" w:rsidP="001E5536">
            <w:pPr>
              <w:spacing w:line="240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EA406B">
              <w:rPr>
                <w:rFonts w:cs="Times New Roman"/>
                <w:sz w:val="16"/>
                <w:szCs w:val="16"/>
              </w:rPr>
              <w:t>Экономическая эффективность использования муниципальной собственности</w:t>
            </w:r>
          </w:p>
        </w:tc>
        <w:tc>
          <w:tcPr>
            <w:tcW w:w="493" w:type="pct"/>
            <w:shd w:val="clear" w:color="auto" w:fill="auto"/>
          </w:tcPr>
          <w:p w:rsidR="006F3A92" w:rsidRPr="006F3A92" w:rsidRDefault="00127644" w:rsidP="001E55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</w:tcPr>
          <w:p w:rsidR="006F3A92" w:rsidRPr="00EA406B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EA406B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EA406B" w:rsidRDefault="00C14879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EA406B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EA406B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EA406B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C14879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EA406B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EA406B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EA406B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C14879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EA406B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EA406B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EA406B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C14879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95" w:type="pct"/>
            <w:shd w:val="clear" w:color="auto" w:fill="auto"/>
            <w:noWrap/>
          </w:tcPr>
          <w:p w:rsidR="006F3A92" w:rsidRPr="00EA406B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EA406B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EA406B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C14879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00</w:t>
            </w:r>
          </w:p>
        </w:tc>
      </w:tr>
      <w:tr w:rsidR="006F3A92" w:rsidRPr="006F3A92" w:rsidTr="001E5536">
        <w:trPr>
          <w:gridAfter w:val="1"/>
          <w:wAfter w:w="5" w:type="pct"/>
          <w:trHeight w:val="554"/>
          <w:jc w:val="center"/>
        </w:trPr>
        <w:tc>
          <w:tcPr>
            <w:tcW w:w="918" w:type="pct"/>
            <w:vMerge/>
            <w:shd w:val="clear" w:color="auto" w:fill="auto"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F3A92" w:rsidRPr="00EA406B" w:rsidRDefault="00485E4F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  <w:r w:rsidR="00E77D1B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38" w:type="pct"/>
            <w:shd w:val="clear" w:color="auto" w:fill="auto"/>
          </w:tcPr>
          <w:p w:rsidR="006F3A92" w:rsidRPr="00EA406B" w:rsidRDefault="006F3A92" w:rsidP="001E5536">
            <w:pPr>
              <w:spacing w:line="240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EA406B">
              <w:rPr>
                <w:rFonts w:cs="Times New Roman"/>
                <w:color w:val="000000" w:themeColor="text1"/>
                <w:sz w:val="16"/>
                <w:szCs w:val="16"/>
              </w:rPr>
              <w:t>Соблюдение высокого уровня долговой устойчивости бюджета города</w:t>
            </w:r>
          </w:p>
        </w:tc>
        <w:tc>
          <w:tcPr>
            <w:tcW w:w="493" w:type="pct"/>
            <w:shd w:val="clear" w:color="auto" w:fill="auto"/>
          </w:tcPr>
          <w:p w:rsidR="006F3A92" w:rsidRPr="006F3A92" w:rsidRDefault="006F3A92" w:rsidP="001E5536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6F3A92">
              <w:rPr>
                <w:rFonts w:cs="Times New Roman"/>
                <w:sz w:val="16"/>
                <w:szCs w:val="16"/>
              </w:rPr>
              <w:t>%, не более</w:t>
            </w:r>
          </w:p>
        </w:tc>
        <w:tc>
          <w:tcPr>
            <w:tcW w:w="413" w:type="pct"/>
            <w:shd w:val="clear" w:color="auto" w:fill="auto"/>
            <w:noWrap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6F3A92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6F3A92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6F3A92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6F3A92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395" w:type="pct"/>
            <w:shd w:val="clear" w:color="auto" w:fill="auto"/>
            <w:noWrap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6F3A92">
              <w:rPr>
                <w:rFonts w:cs="Times New Roman"/>
                <w:sz w:val="16"/>
                <w:szCs w:val="16"/>
              </w:rPr>
              <w:t>50</w:t>
            </w:r>
          </w:p>
        </w:tc>
      </w:tr>
      <w:tr w:rsidR="006F3A92" w:rsidRPr="006F3A92" w:rsidTr="004A0977">
        <w:trPr>
          <w:gridAfter w:val="1"/>
          <w:wAfter w:w="5" w:type="pct"/>
          <w:trHeight w:val="576"/>
          <w:jc w:val="center"/>
        </w:trPr>
        <w:tc>
          <w:tcPr>
            <w:tcW w:w="918" w:type="pct"/>
            <w:vMerge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6F3A92" w:rsidRPr="00EA406B" w:rsidRDefault="00485E4F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  <w:r w:rsidR="00E77D1B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EA406B" w:rsidRDefault="006F3A92" w:rsidP="001E5536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cs="Times New Roman"/>
                <w:sz w:val="16"/>
                <w:szCs w:val="16"/>
              </w:rPr>
              <w:t>Доля муниципальных служащих города, получивших дополнительное профессиональное образование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6F3A92" w:rsidRDefault="006F3A92" w:rsidP="001E55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1E5536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37,4</w:t>
            </w:r>
          </w:p>
        </w:tc>
      </w:tr>
      <w:tr w:rsidR="006F3A92" w:rsidRPr="006F3A92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Вектор – </w:t>
            </w:r>
            <w:proofErr w:type="spellStart"/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Волонтерство</w:t>
            </w:r>
            <w:proofErr w:type="spellEnd"/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 благотворительность</w:t>
            </w:r>
          </w:p>
        </w:tc>
      </w:tr>
      <w:tr w:rsidR="006F3A92" w:rsidRPr="006F3A92" w:rsidTr="001E5536">
        <w:trPr>
          <w:gridAfter w:val="1"/>
          <w:wAfter w:w="5" w:type="pct"/>
          <w:trHeight w:val="1198"/>
          <w:jc w:val="center"/>
        </w:trPr>
        <w:tc>
          <w:tcPr>
            <w:tcW w:w="918" w:type="pct"/>
            <w:shd w:val="clear" w:color="auto" w:fill="auto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Цель вектора – стимулирование создания общества </w:t>
            </w:r>
            <w:proofErr w:type="spellStart"/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небезразличия</w:t>
            </w:r>
            <w:proofErr w:type="spellEnd"/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волонтерства</w:t>
            </w:r>
            <w:proofErr w:type="spellEnd"/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 благотворительности) </w:t>
            </w:r>
          </w:p>
        </w:tc>
        <w:tc>
          <w:tcPr>
            <w:tcW w:w="177" w:type="pct"/>
            <w:shd w:val="clear" w:color="auto" w:fill="auto"/>
            <w:hideMark/>
          </w:tcPr>
          <w:p w:rsidR="006F3A92" w:rsidRPr="00EA406B" w:rsidRDefault="00485E4F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  <w:r w:rsidR="00E77D1B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Доля граждан, вовлеченных в деятельность волонтерских (добровольческих) организаций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395" w:type="pct"/>
            <w:shd w:val="clear" w:color="auto" w:fill="auto"/>
            <w:noWrap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6F3A92" w:rsidRPr="006F3A92" w:rsidTr="004A0977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Вектор – </w:t>
            </w:r>
            <w:proofErr w:type="spellStart"/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Инклюзивность</w:t>
            </w:r>
            <w:proofErr w:type="spellEnd"/>
          </w:p>
        </w:tc>
      </w:tr>
      <w:tr w:rsidR="006F3A92" w:rsidRPr="006F3A92" w:rsidTr="004A0977">
        <w:trPr>
          <w:gridAfter w:val="1"/>
          <w:wAfter w:w="5" w:type="pct"/>
          <w:trHeight w:val="20"/>
          <w:jc w:val="center"/>
        </w:trPr>
        <w:tc>
          <w:tcPr>
            <w:tcW w:w="918" w:type="pct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cs="Times New Roman"/>
                <w:sz w:val="16"/>
                <w:szCs w:val="16"/>
              </w:rPr>
              <w:t>Цель вектора -обеспечение доступной инклюзивной среды</w:t>
            </w:r>
          </w:p>
        </w:tc>
        <w:tc>
          <w:tcPr>
            <w:tcW w:w="177" w:type="pct"/>
            <w:shd w:val="clear" w:color="auto" w:fill="auto"/>
            <w:hideMark/>
          </w:tcPr>
          <w:p w:rsidR="006F3A92" w:rsidRPr="00EA406B" w:rsidRDefault="00485E4F" w:rsidP="00E77D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  <w:r w:rsidR="00E77D1B"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8" w:type="pct"/>
            <w:shd w:val="clear" w:color="auto" w:fill="auto"/>
            <w:hideMark/>
          </w:tcPr>
          <w:p w:rsidR="006F3A92" w:rsidRPr="00EA406B" w:rsidRDefault="006F3A92" w:rsidP="006F3A92">
            <w:pPr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Удовлетворенность населения развитием </w:t>
            </w:r>
            <w:proofErr w:type="spellStart"/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>безбарьерной</w:t>
            </w:r>
            <w:proofErr w:type="spellEnd"/>
            <w:r w:rsidRPr="00EA40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среды</w:t>
            </w:r>
          </w:p>
        </w:tc>
        <w:tc>
          <w:tcPr>
            <w:tcW w:w="493" w:type="pct"/>
            <w:shd w:val="clear" w:color="auto" w:fill="auto"/>
            <w:hideMark/>
          </w:tcPr>
          <w:p w:rsidR="006F3A92" w:rsidRPr="006F3A92" w:rsidRDefault="006F3A92" w:rsidP="006F3A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3" w:type="pct"/>
            <w:shd w:val="clear" w:color="auto" w:fill="auto"/>
            <w:noWrap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55,1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60,3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387" w:type="pct"/>
            <w:shd w:val="clear" w:color="auto" w:fill="auto"/>
            <w:noWrap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73,8</w:t>
            </w:r>
          </w:p>
        </w:tc>
        <w:tc>
          <w:tcPr>
            <w:tcW w:w="395" w:type="pct"/>
            <w:shd w:val="clear" w:color="auto" w:fill="auto"/>
            <w:noWrap/>
          </w:tcPr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F3A92" w:rsidRPr="006F3A92" w:rsidRDefault="006F3A92" w:rsidP="006F3A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3A92">
              <w:rPr>
                <w:rFonts w:eastAsia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</w:tbl>
    <w:p w:rsidR="00112886" w:rsidRPr="00112886" w:rsidRDefault="00112886" w:rsidP="00112886">
      <w:pPr>
        <w:pStyle w:val="a8"/>
        <w:autoSpaceDE w:val="0"/>
        <w:autoSpaceDN w:val="0"/>
        <w:adjustRightInd w:val="0"/>
        <w:spacing w:line="240" w:lineRule="auto"/>
        <w:ind w:left="0" w:firstLine="0"/>
        <w:rPr>
          <w:rFonts w:cs="Times New Roman"/>
          <w:sz w:val="20"/>
          <w:szCs w:val="20"/>
        </w:rPr>
      </w:pPr>
    </w:p>
    <w:p w:rsidR="00BF05E1" w:rsidRDefault="00BC670D" w:rsidP="00112886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6</w:t>
      </w:r>
      <w:r w:rsidR="000303A3">
        <w:rPr>
          <w:rFonts w:eastAsia="Times New Roman" w:cs="Times New Roman"/>
          <w:color w:val="000000" w:themeColor="text1"/>
          <w:szCs w:val="28"/>
          <w:lang w:eastAsia="ru-RU"/>
        </w:rPr>
        <w:t>. В</w:t>
      </w:r>
      <w:r w:rsidR="00112886">
        <w:rPr>
          <w:rFonts w:eastAsia="Times New Roman" w:cs="Times New Roman"/>
          <w:color w:val="000000" w:themeColor="text1"/>
          <w:szCs w:val="28"/>
          <w:lang w:eastAsia="ru-RU"/>
        </w:rPr>
        <w:t xml:space="preserve"> глав</w:t>
      </w:r>
      <w:r w:rsidR="00112886">
        <w:rPr>
          <w:rFonts w:eastAsia="Times New Roman" w:cs="Times New Roman"/>
          <w:color w:val="000000" w:themeColor="text1"/>
          <w:szCs w:val="28"/>
          <w:lang w:val="en-US" w:eastAsia="ru-RU"/>
        </w:rPr>
        <w:t>e</w:t>
      </w:r>
      <w:r w:rsidR="00BF05E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BF05E1" w:rsidRPr="00B674C4">
        <w:rPr>
          <w:rFonts w:eastAsia="Times New Roman" w:cs="Times New Roman"/>
          <w:color w:val="000000" w:themeColor="text1"/>
          <w:szCs w:val="28"/>
          <w:lang w:eastAsia="ru-RU"/>
        </w:rPr>
        <w:t xml:space="preserve">22 </w:t>
      </w:r>
      <w:r w:rsidR="00112886" w:rsidRPr="00B674C4">
        <w:rPr>
          <w:rFonts w:eastAsia="Times New Roman" w:cs="Times New Roman"/>
          <w:color w:val="000000" w:themeColor="text1"/>
          <w:szCs w:val="28"/>
          <w:lang w:eastAsia="ru-RU"/>
        </w:rPr>
        <w:t xml:space="preserve">раздела </w:t>
      </w:r>
      <w:r w:rsidR="00112886" w:rsidRPr="00B674C4">
        <w:rPr>
          <w:rFonts w:eastAsia="Times New Roman" w:cs="Times New Roman"/>
          <w:color w:val="000000" w:themeColor="text1"/>
          <w:szCs w:val="28"/>
          <w:lang w:val="en-US" w:eastAsia="ru-RU"/>
        </w:rPr>
        <w:t>VII</w:t>
      </w:r>
      <w:r w:rsidR="00112886" w:rsidRPr="00B674C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BF05E1" w:rsidRPr="00B674C4">
        <w:rPr>
          <w:rFonts w:eastAsia="Times New Roman" w:cs="Times New Roman"/>
          <w:color w:val="000000" w:themeColor="text1"/>
          <w:szCs w:val="28"/>
          <w:lang w:eastAsia="ru-RU"/>
        </w:rPr>
        <w:t xml:space="preserve">приложения к решению </w:t>
      </w:r>
      <w:r w:rsidR="00847169" w:rsidRPr="00B674C4">
        <w:rPr>
          <w:rFonts w:eastAsia="Times New Roman" w:cs="Times New Roman"/>
          <w:color w:val="000000" w:themeColor="text1"/>
          <w:szCs w:val="28"/>
          <w:lang w:eastAsia="ru-RU"/>
        </w:rPr>
        <w:t>«Р</w:t>
      </w:r>
      <w:r w:rsidR="00112886" w:rsidRPr="00B674C4">
        <w:rPr>
          <w:rFonts w:eastAsia="Times New Roman" w:cs="Times New Roman"/>
          <w:color w:val="000000" w:themeColor="text1"/>
          <w:szCs w:val="28"/>
          <w:lang w:eastAsia="ru-RU"/>
        </w:rPr>
        <w:t>исунок 4</w:t>
      </w:r>
      <w:r w:rsidR="00847169" w:rsidRPr="00B674C4">
        <w:rPr>
          <w:rFonts w:eastAsia="Times New Roman" w:cs="Times New Roman"/>
          <w:color w:val="000000" w:themeColor="text1"/>
          <w:szCs w:val="28"/>
          <w:lang w:eastAsia="ru-RU"/>
        </w:rPr>
        <w:t xml:space="preserve">. Система координации, контроля и мониторинга </w:t>
      </w:r>
      <w:r w:rsidR="007D04B7" w:rsidRPr="00B674C4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847169" w:rsidRPr="00B674C4">
        <w:rPr>
          <w:rFonts w:eastAsia="Times New Roman" w:cs="Times New Roman"/>
          <w:color w:val="000000" w:themeColor="text1"/>
          <w:szCs w:val="28"/>
          <w:lang w:eastAsia="ru-RU"/>
        </w:rPr>
        <w:t>тратегии»</w:t>
      </w:r>
      <w:r w:rsidR="00112886" w:rsidRPr="00B674C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BF05E1" w:rsidRPr="00B674C4">
        <w:rPr>
          <w:rFonts w:eastAsia="Times New Roman" w:cs="Times New Roman"/>
          <w:color w:val="000000" w:themeColor="text1"/>
          <w:szCs w:val="28"/>
          <w:lang w:eastAsia="ru-RU"/>
        </w:rPr>
        <w:t>изложить</w:t>
      </w:r>
      <w:r w:rsidR="00BF05E1">
        <w:rPr>
          <w:rFonts w:eastAsia="Times New Roman" w:cs="Times New Roman"/>
          <w:color w:val="000000" w:themeColor="text1"/>
          <w:szCs w:val="28"/>
          <w:lang w:eastAsia="ru-RU"/>
        </w:rPr>
        <w:t xml:space="preserve"> в следующей редакции:</w:t>
      </w:r>
    </w:p>
    <w:p w:rsidR="000627B4" w:rsidRDefault="00BF05E1" w:rsidP="000627B4">
      <w:pPr>
        <w:pStyle w:val="a8"/>
        <w:autoSpaceDE w:val="0"/>
        <w:autoSpaceDN w:val="0"/>
        <w:adjustRightInd w:val="0"/>
        <w:spacing w:line="240" w:lineRule="auto"/>
        <w:ind w:left="0" w:firstLine="142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 wp14:anchorId="494CA3F8">
            <wp:extent cx="6382385" cy="3432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252" cy="3436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240" w:rsidRPr="006824FA" w:rsidRDefault="00CC0240" w:rsidP="00CC0240">
      <w:pPr>
        <w:pStyle w:val="a8"/>
        <w:autoSpaceDE w:val="0"/>
        <w:autoSpaceDN w:val="0"/>
        <w:adjustRightInd w:val="0"/>
        <w:spacing w:line="240" w:lineRule="auto"/>
        <w:ind w:left="0" w:firstLine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627B4" w:rsidRPr="00B674C4" w:rsidRDefault="00BC670D" w:rsidP="00CC0240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7</w:t>
      </w:r>
      <w:r w:rsidR="000303A3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847975">
        <w:rPr>
          <w:rFonts w:eastAsia="Times New Roman" w:cs="Times New Roman"/>
          <w:color w:val="000000" w:themeColor="text1"/>
          <w:szCs w:val="28"/>
          <w:lang w:eastAsia="ru-RU"/>
        </w:rPr>
        <w:t xml:space="preserve">В </w:t>
      </w:r>
      <w:r w:rsidR="00847975" w:rsidRPr="00B674C4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="00F14D3F" w:rsidRPr="00B674C4">
        <w:rPr>
          <w:rFonts w:eastAsia="Times New Roman" w:cs="Times New Roman"/>
          <w:color w:val="000000" w:themeColor="text1"/>
          <w:szCs w:val="28"/>
          <w:lang w:eastAsia="ru-RU"/>
        </w:rPr>
        <w:t>ункт</w:t>
      </w:r>
      <w:r w:rsidR="00847975" w:rsidRPr="00B674C4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="00F14D3F" w:rsidRPr="00B674C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0627B4" w:rsidRPr="00B674C4">
        <w:rPr>
          <w:rFonts w:eastAsia="Times New Roman" w:cs="Times New Roman"/>
          <w:color w:val="000000" w:themeColor="text1"/>
          <w:szCs w:val="28"/>
          <w:lang w:eastAsia="ru-RU"/>
        </w:rPr>
        <w:t>13 приложений 3</w:t>
      </w:r>
      <w:r w:rsidR="00F14D3F" w:rsidRPr="00B674C4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CC0240" w:rsidRPr="00B674C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F14D3F" w:rsidRPr="00B674C4">
        <w:rPr>
          <w:rFonts w:eastAsia="Times New Roman" w:cs="Times New Roman"/>
          <w:color w:val="000000" w:themeColor="text1"/>
          <w:szCs w:val="28"/>
          <w:lang w:eastAsia="ru-RU"/>
        </w:rPr>
        <w:t>8,</w:t>
      </w:r>
      <w:r w:rsidR="00CC0240" w:rsidRPr="00B674C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B66BCF" w:rsidRPr="00B674C4">
        <w:rPr>
          <w:rFonts w:eastAsia="Times New Roman" w:cs="Times New Roman"/>
          <w:color w:val="000000" w:themeColor="text1"/>
          <w:szCs w:val="28"/>
          <w:lang w:eastAsia="ru-RU"/>
        </w:rPr>
        <w:t>9</w:t>
      </w:r>
      <w:r w:rsidR="001E32D3" w:rsidRPr="00B674C4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r w:rsidR="00E904C0" w:rsidRPr="00B674C4">
        <w:rPr>
          <w:rFonts w:eastAsia="Times New Roman" w:cs="Times New Roman"/>
          <w:color w:val="000000" w:themeColor="text1"/>
          <w:szCs w:val="28"/>
          <w:lang w:eastAsia="ru-RU"/>
        </w:rPr>
        <w:t xml:space="preserve">15, 16, </w:t>
      </w:r>
      <w:r w:rsidR="001E32D3" w:rsidRPr="00B674C4">
        <w:rPr>
          <w:rFonts w:eastAsia="Times New Roman" w:cs="Times New Roman"/>
          <w:color w:val="000000" w:themeColor="text1"/>
          <w:szCs w:val="28"/>
          <w:lang w:eastAsia="ru-RU"/>
        </w:rPr>
        <w:t>17</w:t>
      </w:r>
      <w:r w:rsidR="000627B4" w:rsidRPr="00B674C4">
        <w:rPr>
          <w:rFonts w:eastAsia="Times New Roman" w:cs="Times New Roman"/>
          <w:color w:val="000000" w:themeColor="text1"/>
          <w:szCs w:val="28"/>
          <w:lang w:eastAsia="ru-RU"/>
        </w:rPr>
        <w:t xml:space="preserve"> к Стратегии социально-экономического развития города Сургута до 2036 года с целевыми ориентирами </w:t>
      </w:r>
      <w:r w:rsidR="00CC0240" w:rsidRPr="00B674C4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="000627B4" w:rsidRPr="00B674C4">
        <w:rPr>
          <w:rFonts w:eastAsia="Times New Roman" w:cs="Times New Roman"/>
          <w:color w:val="000000" w:themeColor="text1"/>
          <w:szCs w:val="28"/>
          <w:lang w:eastAsia="ru-RU"/>
        </w:rPr>
        <w:t xml:space="preserve">до 2050 года слова «Результаты реализации проекты (показатели)» заменить словами «Результаты реализации проекта </w:t>
      </w:r>
      <w:r w:rsidR="00587733" w:rsidRPr="00B674C4">
        <w:rPr>
          <w:rFonts w:eastAsia="Times New Roman" w:cs="Times New Roman"/>
          <w:color w:val="000000" w:themeColor="text1"/>
          <w:szCs w:val="28"/>
          <w:lang w:eastAsia="ru-RU"/>
        </w:rPr>
        <w:t>(показатели)».</w:t>
      </w:r>
    </w:p>
    <w:p w:rsidR="009340C9" w:rsidRDefault="009340C9" w:rsidP="00E904C0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B674C4">
        <w:rPr>
          <w:rFonts w:eastAsia="Times New Roman" w:cs="Times New Roman"/>
          <w:color w:val="000000" w:themeColor="text1"/>
          <w:szCs w:val="28"/>
          <w:lang w:eastAsia="ru-RU"/>
        </w:rPr>
        <w:t xml:space="preserve">8. </w:t>
      </w:r>
      <w:r w:rsidR="00163ACE" w:rsidRPr="00B674C4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Pr="00B674C4">
        <w:rPr>
          <w:rFonts w:eastAsia="Times New Roman" w:cs="Times New Roman"/>
          <w:color w:val="000000" w:themeColor="text1"/>
          <w:szCs w:val="28"/>
          <w:lang w:eastAsia="ru-RU"/>
        </w:rPr>
        <w:t>ункт 13 приложения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4 </w:t>
      </w:r>
      <w:r w:rsidRPr="002061B4">
        <w:rPr>
          <w:rFonts w:eastAsia="Times New Roman" w:cs="Times New Roman"/>
          <w:color w:val="000000" w:themeColor="text1"/>
          <w:szCs w:val="28"/>
          <w:lang w:eastAsia="ru-RU"/>
        </w:rPr>
        <w:t>к Стратегии социально-экономического развития города Сургута до 2036 года с целевыми ориентирами до 2050 года изложить в следующей редакции:</w:t>
      </w:r>
    </w:p>
    <w:p w:rsidR="006824FA" w:rsidRDefault="006824FA" w:rsidP="00E904C0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4"/>
        <w:gridCol w:w="3407"/>
        <w:gridCol w:w="5667"/>
      </w:tblGrid>
      <w:tr w:rsidR="009340C9" w:rsidRPr="00112886" w:rsidTr="009B358E">
        <w:tc>
          <w:tcPr>
            <w:tcW w:w="562" w:type="dxa"/>
          </w:tcPr>
          <w:p w:rsidR="009340C9" w:rsidRPr="00721A14" w:rsidRDefault="009340C9" w:rsidP="009B358E">
            <w:pPr>
              <w:pStyle w:val="a8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A1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</w:tcPr>
          <w:p w:rsidR="009340C9" w:rsidRPr="00721A14" w:rsidRDefault="009340C9" w:rsidP="009B358E">
            <w:pPr>
              <w:pStyle w:val="a8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A1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реализации проекта (показатели)</w:t>
            </w:r>
          </w:p>
        </w:tc>
        <w:tc>
          <w:tcPr>
            <w:tcW w:w="5954" w:type="dxa"/>
          </w:tcPr>
          <w:p w:rsidR="009340C9" w:rsidRPr="00721A14" w:rsidRDefault="009340C9" w:rsidP="004F63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A14">
              <w:rPr>
                <w:rFonts w:eastAsia="Calibri"/>
                <w:sz w:val="24"/>
                <w:szCs w:val="24"/>
              </w:rPr>
              <w:t xml:space="preserve">Объем отгруженных товаров собственного производства, выполнено работ и услуг </w:t>
            </w:r>
            <w:r w:rsidRPr="00721A14">
              <w:rPr>
                <w:rFonts w:eastAsia="Calibri"/>
                <w:sz w:val="24"/>
                <w:szCs w:val="24"/>
              </w:rPr>
              <w:lastRenderedPageBreak/>
              <w:t>собственными силами в 2050 году – 5 223 млрд. рублей</w:t>
            </w:r>
          </w:p>
        </w:tc>
      </w:tr>
    </w:tbl>
    <w:p w:rsidR="009340C9" w:rsidRDefault="009340C9" w:rsidP="00CC0240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66A82" w:rsidRDefault="00566A82" w:rsidP="00E904C0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9.</w:t>
      </w:r>
      <w:r w:rsidRPr="00566A8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Пункт 13 приложения 5</w:t>
      </w:r>
      <w:r w:rsidRPr="002061B4">
        <w:rPr>
          <w:rFonts w:eastAsia="Times New Roman" w:cs="Times New Roman"/>
          <w:color w:val="000000" w:themeColor="text1"/>
          <w:szCs w:val="28"/>
          <w:lang w:eastAsia="ru-RU"/>
        </w:rPr>
        <w:t xml:space="preserve"> к Стратегии социально-экономического развития города Сургута до 2036 года с целевыми ориентирами до 2050 года изложить в следующей редакции:</w:t>
      </w:r>
    </w:p>
    <w:p w:rsidR="006824FA" w:rsidRDefault="006824FA" w:rsidP="00E904C0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4"/>
        <w:gridCol w:w="3399"/>
        <w:gridCol w:w="5675"/>
      </w:tblGrid>
      <w:tr w:rsidR="00566A82" w:rsidRPr="00112886" w:rsidTr="00B37F0F">
        <w:tc>
          <w:tcPr>
            <w:tcW w:w="562" w:type="dxa"/>
          </w:tcPr>
          <w:p w:rsidR="00566A82" w:rsidRPr="00721A14" w:rsidRDefault="00566A82" w:rsidP="00B37F0F">
            <w:pPr>
              <w:pStyle w:val="a8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A1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</w:tcPr>
          <w:p w:rsidR="00566A82" w:rsidRPr="00721A14" w:rsidRDefault="00566A82" w:rsidP="00B37F0F">
            <w:pPr>
              <w:pStyle w:val="a8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A1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реализации проекта (показатели)</w:t>
            </w:r>
          </w:p>
        </w:tc>
        <w:tc>
          <w:tcPr>
            <w:tcW w:w="5954" w:type="dxa"/>
          </w:tcPr>
          <w:p w:rsidR="00566A82" w:rsidRPr="00721A14" w:rsidRDefault="00C9406A" w:rsidP="00C9406A">
            <w:pPr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A14">
              <w:rPr>
                <w:rFonts w:eastAsia="Times New Roman" w:cs="Times New Roman"/>
                <w:sz w:val="24"/>
                <w:szCs w:val="24"/>
                <w:lang w:eastAsia="ru-RU"/>
              </w:rPr>
              <w:t>-  о</w:t>
            </w:r>
            <w:r w:rsidRPr="00721A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бъем отгруженных товаров собственного производства, выполненных работ и услуг собственными силами в ценах соответствующих лет по виду экономической деятельности «Транспорт и хранение» –</w:t>
            </w:r>
            <w:r w:rsidR="00C50AB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1A1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493 162</w:t>
            </w:r>
            <w:r w:rsidR="00566A82" w:rsidRPr="00721A1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81800" w:rsidRPr="00721A1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млн. рублей;</w:t>
            </w:r>
          </w:p>
          <w:p w:rsidR="00981800" w:rsidRPr="00721A14" w:rsidRDefault="00981800" w:rsidP="00C9406A">
            <w:pPr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21A14">
              <w:rPr>
                <w:rFonts w:eastAsia="Times New Roman" w:cs="Times New Roman"/>
                <w:sz w:val="24"/>
                <w:szCs w:val="24"/>
                <w:lang w:eastAsia="ru-RU"/>
              </w:rPr>
              <w:t>- с</w:t>
            </w:r>
            <w:r w:rsidRPr="00721A14">
              <w:rPr>
                <w:rFonts w:eastAsia="Calibri" w:cs="Times New Roman"/>
                <w:sz w:val="24"/>
                <w:szCs w:val="24"/>
                <w:lang w:eastAsia="ru-RU"/>
              </w:rPr>
              <w:t>оздание пяти крупных транспортно-логистических комплексов к 2036 году</w:t>
            </w:r>
          </w:p>
        </w:tc>
      </w:tr>
    </w:tbl>
    <w:p w:rsidR="00E904C0" w:rsidRDefault="00E904C0" w:rsidP="00566A82">
      <w:pPr>
        <w:pStyle w:val="a8"/>
        <w:autoSpaceDE w:val="0"/>
        <w:autoSpaceDN w:val="0"/>
        <w:adjustRightInd w:val="0"/>
        <w:spacing w:line="240" w:lineRule="auto"/>
        <w:ind w:left="0" w:firstLine="567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66A82" w:rsidRDefault="00566A82" w:rsidP="00E904C0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10. Пункт 7 приложения 7</w:t>
      </w:r>
      <w:r w:rsidRPr="002061B4">
        <w:rPr>
          <w:rFonts w:eastAsia="Times New Roman" w:cs="Times New Roman"/>
          <w:color w:val="000000" w:themeColor="text1"/>
          <w:szCs w:val="28"/>
          <w:lang w:eastAsia="ru-RU"/>
        </w:rPr>
        <w:t xml:space="preserve"> к Стратегии социально-экономического развития города Сургута до 2036 года с целевыми ориентирами до 2050 года изложить в следующей редакции:</w:t>
      </w:r>
    </w:p>
    <w:p w:rsidR="006824FA" w:rsidRDefault="006824FA" w:rsidP="00E904C0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46"/>
        <w:gridCol w:w="3373"/>
        <w:gridCol w:w="5709"/>
      </w:tblGrid>
      <w:tr w:rsidR="00566A82" w:rsidRPr="00112886" w:rsidTr="00B37F0F">
        <w:tc>
          <w:tcPr>
            <w:tcW w:w="562" w:type="dxa"/>
          </w:tcPr>
          <w:p w:rsidR="00566A82" w:rsidRPr="00721A14" w:rsidRDefault="00566A82" w:rsidP="00B37F0F">
            <w:pPr>
              <w:pStyle w:val="a8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A1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</w:tcPr>
          <w:p w:rsidR="00566A82" w:rsidRPr="00721A14" w:rsidRDefault="004A0977" w:rsidP="00B37F0F">
            <w:pPr>
              <w:pStyle w:val="a8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A1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5954" w:type="dxa"/>
          </w:tcPr>
          <w:p w:rsidR="004A0977" w:rsidRPr="004A0977" w:rsidRDefault="004A0977" w:rsidP="004A0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7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Креативная экономика основана на капитализации интеллектуальной собственности во всех областях человеческой деятельности. При этом ядром креативной экономики являются творческие (креативные) индустрии – сферы деятельности, в которых компании, организации, предприниматели </w:t>
            </w:r>
          </w:p>
          <w:p w:rsidR="004A0977" w:rsidRPr="004A0977" w:rsidRDefault="004A0977" w:rsidP="004A0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7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процессе творческой и культурной активности производят товары и услуги, обладающие экономической ценностью, в том числе обеспечивающие формирование гармонично развитой личности и рост качества жизни. Одним из способов развития и поддержки креативных индустрий является формирование креативных кластеров.</w:t>
            </w:r>
          </w:p>
          <w:p w:rsidR="004A0977" w:rsidRPr="004A0977" w:rsidRDefault="004A0977" w:rsidP="004A0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7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Креативный кластер является общим пространством для деятельности субъектов творческих индустрий, где организации имеют доступ к необходимой инфраструктуре для творческой и (или) предпринимательской деятельности.</w:t>
            </w:r>
          </w:p>
          <w:p w:rsidR="004A0977" w:rsidRPr="004A0977" w:rsidRDefault="004A0977" w:rsidP="004A0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7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рамках флагманского проекта реализуются следующие мероприятия:</w:t>
            </w:r>
          </w:p>
          <w:p w:rsidR="004A0977" w:rsidRPr="004A0977" w:rsidRDefault="004A0977" w:rsidP="004A0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7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создание кластера креативных индустрий (в его состав войдут рабочее пространство для резидентов, лекторий, студии видео- и звукозаписи, библиотека, мастерские и образовательные классы, IT-инкубатор, коммерческие пространства, студии, </w:t>
            </w:r>
            <w:proofErr w:type="spellStart"/>
            <w:r w:rsidRPr="004A097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шоурумы</w:t>
            </w:r>
            <w:proofErr w:type="spellEnd"/>
            <w:r w:rsidRPr="004A097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локальных товаропроизводителей и сферы услуг);</w:t>
            </w:r>
          </w:p>
          <w:p w:rsidR="004A0977" w:rsidRPr="004A0977" w:rsidRDefault="004A0977" w:rsidP="004A0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7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 создание условий для размещения центра коллективного использования – рабочего пространства с профессиональным и современным оборудованием для представителей креативных </w:t>
            </w:r>
            <w:r w:rsidRPr="004A097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индустрий;</w:t>
            </w:r>
          </w:p>
          <w:p w:rsidR="004A0977" w:rsidRDefault="004A0977" w:rsidP="004A0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97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 содействие в создании учреждения профессионального образования в области креативных индустрий, где будут обучать специалистов по самым востребованным и перспективным профессиям в области искусства, архитектуры, дизайна, музыки, звукорежиссуры и саунд-дизайна, кино и анимации, рекламы и маркетинга, моды, разработки компьютерных игр, п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одготовки фото-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видеоконтента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4A0977" w:rsidRPr="004A0977" w:rsidRDefault="004A0977" w:rsidP="004A0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B358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проведение фестиваля креативных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индустрий, с 2032 года ежегодно.</w:t>
            </w:r>
          </w:p>
          <w:p w:rsidR="0001399F" w:rsidRPr="00566A82" w:rsidRDefault="004A0977" w:rsidP="004A0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Cs w:val="28"/>
                <w:highlight w:val="yellow"/>
                <w:lang w:eastAsia="ru-RU"/>
              </w:rPr>
            </w:pPr>
            <w:r w:rsidRPr="004A097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Помимо положительных экономических эффектов (диверсификация экономики, создание новых рабочих мест, развитие предпринимательства, рост объема частных инвестиций, повышение узнаваемости бренда Сургута), реализация флагманского проекта внесет значительный вклад в формирование комфортной городской среды и нового образа Сургута, позволит жителям города в полной мере реализовать свой творческий потенциал и найти единомышленников</w:t>
            </w:r>
          </w:p>
        </w:tc>
      </w:tr>
    </w:tbl>
    <w:p w:rsidR="00E904C0" w:rsidRDefault="00E904C0" w:rsidP="00566A82">
      <w:pPr>
        <w:pStyle w:val="a8"/>
        <w:autoSpaceDE w:val="0"/>
        <w:autoSpaceDN w:val="0"/>
        <w:adjustRightInd w:val="0"/>
        <w:spacing w:line="240" w:lineRule="auto"/>
        <w:ind w:left="0" w:firstLine="708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14D3F" w:rsidRDefault="00566A82" w:rsidP="00566A82">
      <w:pPr>
        <w:pStyle w:val="a8"/>
        <w:autoSpaceDE w:val="0"/>
        <w:autoSpaceDN w:val="0"/>
        <w:adjustRightInd w:val="0"/>
        <w:spacing w:line="240" w:lineRule="auto"/>
        <w:ind w:left="0"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11</w:t>
      </w:r>
      <w:r w:rsidR="000303A3">
        <w:rPr>
          <w:rFonts w:eastAsia="Times New Roman" w:cs="Times New Roman"/>
          <w:color w:val="000000" w:themeColor="text1"/>
          <w:szCs w:val="28"/>
          <w:lang w:eastAsia="ru-RU"/>
        </w:rPr>
        <w:t>. П</w:t>
      </w:r>
      <w:r w:rsidR="00F14D3F">
        <w:rPr>
          <w:rFonts w:eastAsia="Times New Roman" w:cs="Times New Roman"/>
          <w:color w:val="000000" w:themeColor="text1"/>
          <w:szCs w:val="28"/>
          <w:lang w:eastAsia="ru-RU"/>
        </w:rPr>
        <w:t>ункт 13 приложения 10 к Стратегии социально-экономического развития города Сургута до 2036 года с целевыми ориентирами до 2050 года изложить в следующей редакции:</w:t>
      </w:r>
    </w:p>
    <w:p w:rsidR="00CC0240" w:rsidRPr="006824FA" w:rsidRDefault="00CC0240" w:rsidP="00CC0240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4"/>
        <w:gridCol w:w="3395"/>
        <w:gridCol w:w="5679"/>
      </w:tblGrid>
      <w:tr w:rsidR="00F14D3F" w:rsidTr="00F14D3F">
        <w:tc>
          <w:tcPr>
            <w:tcW w:w="562" w:type="dxa"/>
          </w:tcPr>
          <w:p w:rsidR="00F14D3F" w:rsidRPr="00797787" w:rsidRDefault="00F14D3F" w:rsidP="000627B4">
            <w:pPr>
              <w:pStyle w:val="a8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78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</w:tcPr>
          <w:p w:rsidR="00F14D3F" w:rsidRPr="00797787" w:rsidRDefault="00F14D3F" w:rsidP="000627B4">
            <w:pPr>
              <w:pStyle w:val="a8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78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реализации проекта (показатели)</w:t>
            </w:r>
          </w:p>
        </w:tc>
        <w:tc>
          <w:tcPr>
            <w:tcW w:w="5954" w:type="dxa"/>
          </w:tcPr>
          <w:p w:rsidR="00F14D3F" w:rsidRPr="00797787" w:rsidRDefault="00CC0240" w:rsidP="00F14D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  <w14:ligatures w14:val="standardContextual"/>
              </w:rPr>
            </w:pPr>
            <w:r w:rsidRPr="007977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  <w14:ligatures w14:val="standardContextual"/>
              </w:rPr>
              <w:t>-  </w:t>
            </w:r>
            <w:r w:rsidR="00F14D3F" w:rsidRPr="007977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  <w14:ligatures w14:val="standardContextual"/>
              </w:rPr>
              <w:t>уровень удовлет</w:t>
            </w:r>
            <w:r w:rsidR="00112886" w:rsidRPr="007977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  <w14:ligatures w14:val="standardContextual"/>
              </w:rPr>
              <w:t>вор</w:t>
            </w:r>
            <w:r w:rsidR="00053B0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  <w14:ligatures w14:val="standardContextual"/>
              </w:rPr>
              <w:t>е</w:t>
            </w:r>
            <w:r w:rsidR="00F14D3F" w:rsidRPr="007977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  <w14:ligatures w14:val="standardContextual"/>
              </w:rPr>
              <w:t>нности населения доступностью и качеством услу</w:t>
            </w:r>
            <w:r w:rsidRPr="007977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  <w14:ligatures w14:val="standardContextual"/>
              </w:rPr>
              <w:t>г организаций культуры – 73,2%</w:t>
            </w:r>
            <w:r w:rsidR="00353F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="00F14D3F" w:rsidRPr="007977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  <w14:ligatures w14:val="standardContextual"/>
              </w:rPr>
              <w:t>в 2050 году;</w:t>
            </w:r>
          </w:p>
          <w:p w:rsidR="00F14D3F" w:rsidRPr="00797787" w:rsidRDefault="00CC0240" w:rsidP="00F14D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7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  <w14:ligatures w14:val="standardContextual"/>
              </w:rPr>
              <w:t>-  </w:t>
            </w:r>
            <w:r w:rsidR="00F14D3F" w:rsidRPr="007977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  <w14:ligatures w14:val="standardContextual"/>
              </w:rPr>
              <w:t>обеспеченность населения организациями культуры – 143,7% в 2050 году</w:t>
            </w:r>
          </w:p>
        </w:tc>
      </w:tr>
    </w:tbl>
    <w:p w:rsidR="00E904C0" w:rsidRDefault="00E904C0" w:rsidP="00CC0240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D32234" w:rsidRDefault="00566A82" w:rsidP="00CC0240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12</w:t>
      </w:r>
      <w:r w:rsidR="000303A3">
        <w:rPr>
          <w:rFonts w:eastAsia="Times New Roman" w:cs="Times New Roman"/>
          <w:color w:val="000000" w:themeColor="text1"/>
          <w:szCs w:val="28"/>
          <w:lang w:eastAsia="ru-RU"/>
        </w:rPr>
        <w:t>. П</w:t>
      </w:r>
      <w:r w:rsidR="00D32234">
        <w:rPr>
          <w:rFonts w:eastAsia="Times New Roman" w:cs="Times New Roman"/>
          <w:color w:val="000000" w:themeColor="text1"/>
          <w:szCs w:val="28"/>
          <w:lang w:eastAsia="ru-RU"/>
        </w:rPr>
        <w:t>ункт 13 приложения 11 к Стратегии социально-экономического развития города Сургута до 2036 года с целевыми ориентирами до 2050 года изложить в следующей редакции:</w:t>
      </w:r>
    </w:p>
    <w:p w:rsidR="00CC0240" w:rsidRPr="006824FA" w:rsidRDefault="00CC0240" w:rsidP="00CC0240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4"/>
        <w:gridCol w:w="3395"/>
        <w:gridCol w:w="5679"/>
      </w:tblGrid>
      <w:tr w:rsidR="00D32234" w:rsidTr="00D95BE9">
        <w:tc>
          <w:tcPr>
            <w:tcW w:w="562" w:type="dxa"/>
          </w:tcPr>
          <w:p w:rsidR="00D32234" w:rsidRPr="00797787" w:rsidRDefault="00E014F2" w:rsidP="00D95BE9">
            <w:pPr>
              <w:pStyle w:val="a8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78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</w:tcPr>
          <w:p w:rsidR="00D32234" w:rsidRPr="00797787" w:rsidRDefault="00D32234" w:rsidP="00D95BE9">
            <w:pPr>
              <w:pStyle w:val="a8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78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реализации проекта (показатели)</w:t>
            </w:r>
          </w:p>
        </w:tc>
        <w:tc>
          <w:tcPr>
            <w:tcW w:w="5954" w:type="dxa"/>
          </w:tcPr>
          <w:p w:rsidR="00D32234" w:rsidRPr="00797787" w:rsidRDefault="00053B0D" w:rsidP="00D32234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уровень удовлетворе</w:t>
            </w:r>
            <w:r w:rsidR="00D32234" w:rsidRPr="007977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нности населения услугами в сфере физической культуры и спорта – </w:t>
            </w:r>
            <w:r w:rsidR="00D32234" w:rsidRPr="00797787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32234" w:rsidRPr="0079778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80,0% </w:t>
            </w:r>
            <w:r w:rsidR="00D32234" w:rsidRPr="00797787">
              <w:rPr>
                <w:rFonts w:eastAsia="Times New Roman" w:cs="Times New Roman"/>
                <w:sz w:val="24"/>
                <w:szCs w:val="24"/>
                <w:lang w:eastAsia="ru-RU"/>
              </w:rPr>
              <w:t>в 2050 году;</w:t>
            </w:r>
          </w:p>
          <w:p w:rsidR="00D32234" w:rsidRPr="00797787" w:rsidRDefault="00D32234" w:rsidP="00D32234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7787">
              <w:rPr>
                <w:rFonts w:eastAsia="Times New Roman" w:cs="Times New Roman"/>
                <w:sz w:val="24"/>
                <w:szCs w:val="24"/>
                <w:lang w:eastAsia="ru-RU"/>
              </w:rPr>
              <w:t>-  уровень обеспеченности граждан общедоступными спортивными сооружениями исходя из единовременной пропускной способности – 100% в 2050 году;</w:t>
            </w:r>
          </w:p>
          <w:p w:rsidR="00D32234" w:rsidRPr="00797787" w:rsidRDefault="00D32234" w:rsidP="00D32234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7787">
              <w:rPr>
                <w:rFonts w:eastAsia="Times New Roman" w:cs="Times New Roman"/>
                <w:sz w:val="24"/>
                <w:szCs w:val="24"/>
                <w:lang w:eastAsia="ru-RU"/>
              </w:rPr>
              <w:t>-  уровень обеспеченности граждан спортивными сооружениями исходя из единовременной пропускной способности – 100,1% в 2050 году;</w:t>
            </w:r>
          </w:p>
          <w:p w:rsidR="00D32234" w:rsidRPr="00797787" w:rsidRDefault="00D32234" w:rsidP="00D322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7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  доля граждан, систематически занимающихся физической культурой и спортом (в численности постоянного населения города в возрасте 3 – 79 лет) </w:t>
            </w:r>
            <w:r w:rsidRPr="0079778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– 80% в 2050 году</w:t>
            </w:r>
          </w:p>
        </w:tc>
      </w:tr>
    </w:tbl>
    <w:p w:rsidR="00CC0240" w:rsidRPr="00E904C0" w:rsidRDefault="00CC0240" w:rsidP="00CC0240">
      <w:pPr>
        <w:pStyle w:val="a8"/>
        <w:autoSpaceDE w:val="0"/>
        <w:autoSpaceDN w:val="0"/>
        <w:adjustRightInd w:val="0"/>
        <w:spacing w:line="240" w:lineRule="auto"/>
        <w:ind w:left="0" w:firstLine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66BCF" w:rsidRDefault="00DD1ED4" w:rsidP="00CC0240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szCs w:val="28"/>
          <w:lang w:eastAsia="ru-RU"/>
        </w:rPr>
      </w:pPr>
      <w:r w:rsidRPr="00B674C4">
        <w:rPr>
          <w:rFonts w:eastAsia="Times New Roman" w:cs="Times New Roman"/>
          <w:szCs w:val="28"/>
          <w:lang w:eastAsia="ru-RU"/>
        </w:rPr>
        <w:t>13</w:t>
      </w:r>
      <w:r w:rsidR="00B66BCF" w:rsidRPr="00B674C4">
        <w:rPr>
          <w:rFonts w:eastAsia="Times New Roman" w:cs="Times New Roman"/>
          <w:szCs w:val="28"/>
          <w:lang w:eastAsia="ru-RU"/>
        </w:rPr>
        <w:t>. Пункт</w:t>
      </w:r>
      <w:r w:rsidR="00E014F2" w:rsidRPr="00B674C4">
        <w:rPr>
          <w:rFonts w:eastAsia="Times New Roman" w:cs="Times New Roman"/>
          <w:szCs w:val="28"/>
          <w:lang w:eastAsia="ru-RU"/>
        </w:rPr>
        <w:t xml:space="preserve"> 7 приложения 14</w:t>
      </w:r>
      <w:r w:rsidR="003837D8" w:rsidRPr="00B674C4">
        <w:rPr>
          <w:rFonts w:eastAsia="Times New Roman" w:cs="Times New Roman"/>
          <w:szCs w:val="28"/>
          <w:lang w:eastAsia="ru-RU"/>
        </w:rPr>
        <w:t xml:space="preserve"> к Стратегии</w:t>
      </w:r>
      <w:r w:rsidR="003837D8" w:rsidRPr="00112886">
        <w:rPr>
          <w:rFonts w:eastAsia="Times New Roman" w:cs="Times New Roman"/>
          <w:szCs w:val="28"/>
          <w:lang w:eastAsia="ru-RU"/>
        </w:rPr>
        <w:t xml:space="preserve"> социально-экономического развития города Сургута до 2036 года</w:t>
      </w:r>
      <w:r w:rsidR="00EC408A" w:rsidRPr="00112886">
        <w:rPr>
          <w:rFonts w:eastAsia="Times New Roman" w:cs="Times New Roman"/>
          <w:szCs w:val="28"/>
          <w:lang w:eastAsia="ru-RU"/>
        </w:rPr>
        <w:t xml:space="preserve"> </w:t>
      </w:r>
      <w:r w:rsidR="003837D8" w:rsidRPr="00112886">
        <w:rPr>
          <w:rFonts w:eastAsia="Times New Roman" w:cs="Times New Roman"/>
          <w:szCs w:val="28"/>
          <w:lang w:eastAsia="ru-RU"/>
        </w:rPr>
        <w:t>с целевыми ориентирами до 2050 года</w:t>
      </w:r>
      <w:r w:rsidR="00E014F2" w:rsidRPr="00112886">
        <w:rPr>
          <w:rFonts w:eastAsia="Times New Roman" w:cs="Times New Roman"/>
          <w:szCs w:val="28"/>
          <w:lang w:eastAsia="ru-RU"/>
        </w:rPr>
        <w:t xml:space="preserve"> </w:t>
      </w:r>
      <w:r w:rsidR="00B66BCF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6824FA" w:rsidRDefault="006824FA" w:rsidP="00CC0240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49"/>
        <w:gridCol w:w="3385"/>
        <w:gridCol w:w="5694"/>
      </w:tblGrid>
      <w:tr w:rsidR="00B66BCF" w:rsidTr="00E904C0">
        <w:tc>
          <w:tcPr>
            <w:tcW w:w="560" w:type="dxa"/>
          </w:tcPr>
          <w:p w:rsidR="00B66BCF" w:rsidRPr="00B66BCF" w:rsidRDefault="00B66BCF" w:rsidP="009B358E">
            <w:pPr>
              <w:pStyle w:val="a8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6BC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2" w:type="dxa"/>
          </w:tcPr>
          <w:p w:rsidR="00B66BCF" w:rsidRPr="00B66BCF" w:rsidRDefault="00B66BCF" w:rsidP="009B358E">
            <w:pPr>
              <w:pStyle w:val="a8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6BC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5860" w:type="dxa"/>
          </w:tcPr>
          <w:p w:rsidR="00B66BCF" w:rsidRPr="00B66BCF" w:rsidRDefault="00B66BCF" w:rsidP="00B66B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6BC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Велосипедные передвижения являются неотъемлемой частью системы транспортного обслуживания города, что способствует повышению мобильности горожан и снижает долю личных и служебных поездок на автомобиле, заменяя их качественной альтернативой – экологически чистым транспортом. Это приводит к созданию комфортной городской среды, а также обеспечивает доступность и связность территорий. Наличие соответствующей инфраструктуры, делает велосипед одним из самых привлекательных и </w:t>
            </w:r>
            <w:proofErr w:type="spellStart"/>
            <w:r w:rsidRPr="00B66BC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экологичных</w:t>
            </w:r>
            <w:proofErr w:type="spellEnd"/>
            <w:r w:rsidRPr="00B66BC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видов транспорта.</w:t>
            </w:r>
          </w:p>
          <w:p w:rsidR="00B66BCF" w:rsidRPr="00B66BCF" w:rsidRDefault="00B66BCF" w:rsidP="00B66B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6BC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Проектом предусматриваются следующие мероприятия: создание связанной велосипедной сети, включающей обособленные и выделенные велосипедные дорожки (вдоль тротуаров, вдоль улиц), а также необходимую инфраструктуру: места для хранения </w:t>
            </w:r>
            <w:proofErr w:type="spellStart"/>
            <w:r w:rsidRPr="00B66BC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велотранспорта</w:t>
            </w:r>
            <w:proofErr w:type="spellEnd"/>
            <w:r w:rsidRPr="00B66BC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(перехватывающие </w:t>
            </w:r>
            <w:proofErr w:type="spellStart"/>
            <w:r w:rsidRPr="00B66BC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велопарковки</w:t>
            </w:r>
            <w:proofErr w:type="spellEnd"/>
            <w:r w:rsidRPr="00B66BC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велосипедистов); пункты сервиса и проката велосипедов; средства организации движения (разметка, указатели маршрутов, сигнальные столбики, знаки и светофоры). </w:t>
            </w:r>
          </w:p>
          <w:p w:rsidR="00B66BCF" w:rsidRPr="00B66BCF" w:rsidRDefault="00B66BCF" w:rsidP="00B66B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6BC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внедрения общегородских вело-пешеходных направлений будут минимизированы в летний период автотранспортные нагрузки на уличную сеть, снизится количество выбросов вредных веществ в атмосферу, сокращение времени в пути и отсутствие зависимости от общественного транспорта и пробок.</w:t>
            </w:r>
          </w:p>
          <w:p w:rsidR="00B66BCF" w:rsidRPr="00B66BCF" w:rsidRDefault="00B66BCF" w:rsidP="00B66B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6BC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Ориентировочная протяженность велосипедной сети – 47,8 км; количество полос движения – 2, ширина </w:t>
            </w:r>
            <w:proofErr w:type="spellStart"/>
            <w:r w:rsidRPr="00B66BC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велополосы</w:t>
            </w:r>
            <w:proofErr w:type="spellEnd"/>
            <w:r w:rsidRPr="00B66BC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1,25 – 1,5 м, площадь – 123 тыс. кв. м</w:t>
            </w:r>
          </w:p>
        </w:tc>
      </w:tr>
    </w:tbl>
    <w:p w:rsidR="00E904C0" w:rsidRDefault="00E904C0" w:rsidP="00E904C0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szCs w:val="28"/>
          <w:highlight w:val="green"/>
          <w:lang w:eastAsia="ru-RU"/>
        </w:rPr>
      </w:pPr>
    </w:p>
    <w:p w:rsidR="00E904C0" w:rsidRDefault="00E904C0" w:rsidP="00E904C0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szCs w:val="28"/>
          <w:lang w:eastAsia="ru-RU"/>
        </w:rPr>
      </w:pPr>
      <w:r w:rsidRPr="00B674C4">
        <w:rPr>
          <w:rFonts w:eastAsia="Times New Roman" w:cs="Times New Roman"/>
          <w:szCs w:val="28"/>
          <w:lang w:eastAsia="ru-RU"/>
        </w:rPr>
        <w:t>14. Пункт 13 приложения 14 к Стратегии</w:t>
      </w:r>
      <w:r w:rsidRPr="00112886">
        <w:rPr>
          <w:rFonts w:eastAsia="Times New Roman" w:cs="Times New Roman"/>
          <w:szCs w:val="28"/>
          <w:lang w:eastAsia="ru-RU"/>
        </w:rPr>
        <w:t xml:space="preserve"> социально-экономического развития города Сургута до 2036 года с целевыми ориентирами до 2050 года </w:t>
      </w:r>
      <w:r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E904C0" w:rsidRDefault="00E904C0" w:rsidP="00E904C0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5"/>
        <w:gridCol w:w="3399"/>
        <w:gridCol w:w="5674"/>
      </w:tblGrid>
      <w:tr w:rsidR="00B66BCF" w:rsidRPr="00B674C4" w:rsidTr="00E904C0">
        <w:tc>
          <w:tcPr>
            <w:tcW w:w="560" w:type="dxa"/>
          </w:tcPr>
          <w:p w:rsidR="00B66BCF" w:rsidRPr="00B674C4" w:rsidRDefault="00B66BCF" w:rsidP="009B358E">
            <w:pPr>
              <w:pStyle w:val="a8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74C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92" w:type="dxa"/>
          </w:tcPr>
          <w:p w:rsidR="00B66BCF" w:rsidRPr="00B674C4" w:rsidRDefault="00B66BCF" w:rsidP="009B358E">
            <w:pPr>
              <w:pStyle w:val="a8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74C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реализации проекта (показатели)</w:t>
            </w:r>
          </w:p>
        </w:tc>
        <w:tc>
          <w:tcPr>
            <w:tcW w:w="5860" w:type="dxa"/>
          </w:tcPr>
          <w:p w:rsidR="00B66BCF" w:rsidRPr="00B674C4" w:rsidRDefault="00B66BCF" w:rsidP="00B03EC7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4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  <w14:ligatures w14:val="standardContextual"/>
              </w:rPr>
              <w:t>Обеспеченность велосипедными дорожками территорий жилой и общественно-деловой застройки города – 0,3 км/км</w:t>
            </w:r>
            <w:r w:rsidRPr="00B674C4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  <w14:ligatures w14:val="standardContextual"/>
              </w:rPr>
              <w:t>2</w:t>
            </w:r>
            <w:r w:rsidRPr="00B674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  <w14:ligatures w14:val="standardContextual"/>
              </w:rPr>
              <w:t xml:space="preserve"> в 2050 году</w:t>
            </w:r>
          </w:p>
        </w:tc>
      </w:tr>
    </w:tbl>
    <w:p w:rsidR="00E904C0" w:rsidRPr="00B674C4" w:rsidRDefault="00E904C0" w:rsidP="00B66BCF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D32234" w:rsidRDefault="00DD1ED4" w:rsidP="00B66BCF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B674C4">
        <w:rPr>
          <w:rFonts w:eastAsia="Times New Roman" w:cs="Times New Roman"/>
          <w:color w:val="000000" w:themeColor="text1"/>
          <w:szCs w:val="28"/>
          <w:lang w:eastAsia="ru-RU"/>
        </w:rPr>
        <w:t>1</w:t>
      </w:r>
      <w:r w:rsidR="00E904C0" w:rsidRPr="00B674C4"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="000303A3" w:rsidRPr="00B674C4">
        <w:rPr>
          <w:rFonts w:eastAsia="Times New Roman" w:cs="Times New Roman"/>
          <w:color w:val="000000" w:themeColor="text1"/>
          <w:szCs w:val="28"/>
          <w:lang w:eastAsia="ru-RU"/>
        </w:rPr>
        <w:t>. П</w:t>
      </w:r>
      <w:r w:rsidR="00D32234" w:rsidRPr="00B674C4">
        <w:rPr>
          <w:rFonts w:eastAsia="Times New Roman" w:cs="Times New Roman"/>
          <w:color w:val="000000" w:themeColor="text1"/>
          <w:szCs w:val="28"/>
          <w:lang w:eastAsia="ru-RU"/>
        </w:rPr>
        <w:t>ункт 11 приложения 15 к Страт</w:t>
      </w:r>
      <w:r w:rsidR="00D32234">
        <w:rPr>
          <w:rFonts w:eastAsia="Times New Roman" w:cs="Times New Roman"/>
          <w:color w:val="000000" w:themeColor="text1"/>
          <w:szCs w:val="28"/>
          <w:lang w:eastAsia="ru-RU"/>
        </w:rPr>
        <w:t>егии социально-экономического развития города Сургута до 2036 года с целевыми ориентирами до 2050 года изложить в следующей редакции:</w:t>
      </w:r>
    </w:p>
    <w:p w:rsidR="00CC0240" w:rsidRPr="006824FA" w:rsidRDefault="00CC0240" w:rsidP="00CC0240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5"/>
        <w:gridCol w:w="3437"/>
        <w:gridCol w:w="5636"/>
      </w:tblGrid>
      <w:tr w:rsidR="00D32234" w:rsidTr="00E904C0">
        <w:tc>
          <w:tcPr>
            <w:tcW w:w="559" w:type="dxa"/>
          </w:tcPr>
          <w:p w:rsidR="00D32234" w:rsidRPr="00B66BCF" w:rsidRDefault="00D32234" w:rsidP="00D95BE9">
            <w:pPr>
              <w:pStyle w:val="a8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6BC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501" w:type="dxa"/>
          </w:tcPr>
          <w:p w:rsidR="00D32234" w:rsidRPr="00B66BCF" w:rsidRDefault="00E014F2" w:rsidP="00B66BCF">
            <w:pPr>
              <w:pStyle w:val="a8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6BC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Инвестиционная ёмкость проекта (тыс.</w:t>
            </w:r>
            <w:r w:rsidR="00E904C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66BC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5852" w:type="dxa"/>
          </w:tcPr>
          <w:p w:rsidR="00E014F2" w:rsidRPr="00B66BCF" w:rsidRDefault="00E014F2" w:rsidP="00E014F2">
            <w:pPr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6BCF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  <w:r w:rsidR="00721A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6BCF">
              <w:rPr>
                <w:rFonts w:eastAsia="Times New Roman" w:cs="Times New Roman"/>
                <w:sz w:val="24"/>
                <w:szCs w:val="24"/>
                <w:lang w:eastAsia="ru-RU"/>
              </w:rPr>
              <w:t>765 381</w:t>
            </w:r>
          </w:p>
          <w:p w:rsidR="00D32234" w:rsidRPr="00B66BCF" w:rsidRDefault="00D32234" w:rsidP="00D95B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C0240" w:rsidRPr="006824FA" w:rsidRDefault="00CC0240" w:rsidP="00CC0240">
      <w:pPr>
        <w:pStyle w:val="a8"/>
        <w:autoSpaceDE w:val="0"/>
        <w:autoSpaceDN w:val="0"/>
        <w:adjustRightInd w:val="0"/>
        <w:spacing w:line="240" w:lineRule="auto"/>
        <w:ind w:left="0" w:firstLine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014F2" w:rsidRDefault="00380648" w:rsidP="00CC0240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B674C4">
        <w:rPr>
          <w:rFonts w:eastAsia="Times New Roman" w:cs="Times New Roman"/>
          <w:color w:val="000000" w:themeColor="text1"/>
          <w:szCs w:val="28"/>
          <w:lang w:eastAsia="ru-RU"/>
        </w:rPr>
        <w:t>1</w:t>
      </w:r>
      <w:r w:rsidR="00E904C0" w:rsidRPr="00B674C4">
        <w:rPr>
          <w:rFonts w:eastAsia="Times New Roman" w:cs="Times New Roman"/>
          <w:color w:val="000000" w:themeColor="text1"/>
          <w:szCs w:val="28"/>
          <w:lang w:eastAsia="ru-RU"/>
        </w:rPr>
        <w:t>6</w:t>
      </w:r>
      <w:r w:rsidR="000303A3" w:rsidRPr="00B674C4">
        <w:rPr>
          <w:rFonts w:eastAsia="Times New Roman" w:cs="Times New Roman"/>
          <w:color w:val="000000" w:themeColor="text1"/>
          <w:szCs w:val="28"/>
          <w:lang w:eastAsia="ru-RU"/>
        </w:rPr>
        <w:t>. П</w:t>
      </w:r>
      <w:r w:rsidR="00E014F2" w:rsidRPr="00B674C4">
        <w:rPr>
          <w:rFonts w:eastAsia="Times New Roman" w:cs="Times New Roman"/>
          <w:color w:val="000000" w:themeColor="text1"/>
          <w:szCs w:val="28"/>
          <w:lang w:eastAsia="ru-RU"/>
        </w:rPr>
        <w:t>ункты 8</w:t>
      </w:r>
      <w:r w:rsidR="00CC0240" w:rsidRPr="00B674C4">
        <w:rPr>
          <w:rFonts w:eastAsia="Times New Roman" w:cs="Times New Roman"/>
          <w:color w:val="000000" w:themeColor="text1"/>
          <w:szCs w:val="28"/>
          <w:lang w:eastAsia="ru-RU"/>
        </w:rPr>
        <w:t xml:space="preserve"> – </w:t>
      </w:r>
      <w:r w:rsidR="00E014F2" w:rsidRPr="00B674C4">
        <w:rPr>
          <w:rFonts w:eastAsia="Times New Roman" w:cs="Times New Roman"/>
          <w:color w:val="000000" w:themeColor="text1"/>
          <w:szCs w:val="28"/>
          <w:lang w:eastAsia="ru-RU"/>
        </w:rPr>
        <w:t>10 приложения 16 к Стратегии</w:t>
      </w:r>
      <w:r w:rsidR="00E014F2">
        <w:rPr>
          <w:rFonts w:eastAsia="Times New Roman" w:cs="Times New Roman"/>
          <w:color w:val="000000" w:themeColor="text1"/>
          <w:szCs w:val="28"/>
          <w:lang w:eastAsia="ru-RU"/>
        </w:rPr>
        <w:t xml:space="preserve"> социально-экономического развития города Сургута до 2036 года с целевыми ориентирами до 2050 года изложить в следующей редакции:</w:t>
      </w:r>
    </w:p>
    <w:p w:rsidR="00CC0240" w:rsidRPr="006824FA" w:rsidRDefault="00CC0240" w:rsidP="00CC0240">
      <w:pPr>
        <w:pStyle w:val="a8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3"/>
        <w:gridCol w:w="3438"/>
        <w:gridCol w:w="5637"/>
      </w:tblGrid>
      <w:tr w:rsidR="00E014F2" w:rsidTr="00E904C0">
        <w:tc>
          <w:tcPr>
            <w:tcW w:w="559" w:type="dxa"/>
          </w:tcPr>
          <w:p w:rsidR="00E014F2" w:rsidRPr="00CA5AB8" w:rsidRDefault="00E014F2" w:rsidP="00CC0240">
            <w:pPr>
              <w:pStyle w:val="a8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A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2" w:rsidRPr="00B206F5" w:rsidRDefault="00E014F2" w:rsidP="00E01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="Times New Roman" w:hAnsi="Times New Roman CYR" w:cs="Times New Roman CYR"/>
                <w:kern w:val="2"/>
                <w:sz w:val="24"/>
                <w:szCs w:val="24"/>
                <w14:ligatures w14:val="standardContextual"/>
              </w:rPr>
            </w:pPr>
            <w:r w:rsidRPr="00B206F5">
              <w:rPr>
                <w:rFonts w:ascii="Times New Roman CYR" w:eastAsia="Times New Roman" w:hAnsi="Times New Roman CYR" w:cs="Times New Roman CYR"/>
                <w:kern w:val="2"/>
                <w:sz w:val="24"/>
                <w:szCs w:val="24"/>
                <w14:ligatures w14:val="standardContextual"/>
              </w:rPr>
              <w:t>Наличие инвестиционной площадки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2" w:rsidRPr="00E014F2" w:rsidRDefault="00E014F2" w:rsidP="00E01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="Times New Roman" w:hAnsi="Times New Roman CYR" w:cs="Times New Roman CYR"/>
                <w:strike/>
                <w:kern w:val="2"/>
                <w:sz w:val="24"/>
                <w:szCs w:val="24"/>
                <w14:ligatures w14:val="standardContextual"/>
              </w:rPr>
            </w:pPr>
            <w:r w:rsidRPr="00E014F2">
              <w:rPr>
                <w:sz w:val="24"/>
                <w:szCs w:val="24"/>
              </w:rPr>
              <w:t>Микрорайон 23 А, Пойма 6, Пойма 2, Пойма 4, территория НТЦ, микрорайон 27 А</w:t>
            </w:r>
          </w:p>
        </w:tc>
      </w:tr>
      <w:tr w:rsidR="00E014F2" w:rsidTr="00E904C0">
        <w:tc>
          <w:tcPr>
            <w:tcW w:w="559" w:type="dxa"/>
          </w:tcPr>
          <w:p w:rsidR="00E014F2" w:rsidRPr="00CA5AB8" w:rsidRDefault="00E014F2" w:rsidP="00587733">
            <w:pPr>
              <w:pStyle w:val="a8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A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2" w:rsidRPr="00B206F5" w:rsidRDefault="00E014F2" w:rsidP="00E01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="Times New Roman" w:hAnsi="Times New Roman CYR" w:cs="Times New Roman CYR"/>
                <w:kern w:val="2"/>
                <w:sz w:val="24"/>
                <w:szCs w:val="24"/>
                <w14:ligatures w14:val="standardContextual"/>
              </w:rPr>
            </w:pPr>
            <w:r w:rsidRPr="00B206F5">
              <w:rPr>
                <w:rFonts w:ascii="Times New Roman CYR" w:eastAsia="Times New Roman" w:hAnsi="Times New Roman CYR" w:cs="Times New Roman CYR"/>
                <w:kern w:val="2"/>
                <w:sz w:val="24"/>
                <w:szCs w:val="24"/>
                <w14:ligatures w14:val="standardContextual"/>
              </w:rPr>
              <w:t>Месторасположение площадки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2" w:rsidRPr="00E014F2" w:rsidRDefault="00E014F2" w:rsidP="00E014F2">
            <w:pPr>
              <w:pStyle w:val="a5"/>
              <w:rPr>
                <w:rFonts w:ascii="Times New Roman" w:hAnsi="Times New Roman" w:cs="Times New Roman"/>
              </w:rPr>
            </w:pPr>
            <w:r w:rsidRPr="00E014F2">
              <w:rPr>
                <w:rFonts w:ascii="Times New Roman" w:hAnsi="Times New Roman" w:cs="Times New Roman"/>
              </w:rPr>
              <w:t>- Микрорайон 23 А: кадастровый номер 86:10:000000:22169. Площадка расположена между ул. </w:t>
            </w:r>
            <w:proofErr w:type="spellStart"/>
            <w:r w:rsidRPr="00E014F2">
              <w:rPr>
                <w:rFonts w:ascii="Times New Roman" w:hAnsi="Times New Roman" w:cs="Times New Roman"/>
              </w:rPr>
              <w:t>Мелик-Карамова</w:t>
            </w:r>
            <w:proofErr w:type="spellEnd"/>
            <w:r w:rsidRPr="00E014F2">
              <w:rPr>
                <w:rFonts w:ascii="Times New Roman" w:hAnsi="Times New Roman" w:cs="Times New Roman"/>
              </w:rPr>
              <w:t xml:space="preserve"> и Югорским трактом; </w:t>
            </w:r>
          </w:p>
          <w:p w:rsidR="00E014F2" w:rsidRPr="00E014F2" w:rsidRDefault="00E014F2" w:rsidP="00E01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="Times New Roman" w:hAnsi="Times New Roman CYR" w:cs="Times New Roman CYR"/>
                <w:kern w:val="2"/>
                <w:sz w:val="24"/>
                <w:szCs w:val="24"/>
                <w14:ligatures w14:val="standardContextual"/>
              </w:rPr>
            </w:pPr>
            <w:r w:rsidRPr="00E014F2">
              <w:rPr>
                <w:rFonts w:cs="Times New Roman"/>
                <w:sz w:val="24"/>
                <w:szCs w:val="24"/>
              </w:rPr>
              <w:t>- Пойма 6, Пойма 2, Пойма 4, территория НТЦ, микрорайон 27 А: месторасположение площадки определяется на стадии документации по планировке территории</w:t>
            </w:r>
          </w:p>
        </w:tc>
      </w:tr>
      <w:tr w:rsidR="00E014F2" w:rsidTr="00E904C0">
        <w:tc>
          <w:tcPr>
            <w:tcW w:w="559" w:type="dxa"/>
          </w:tcPr>
          <w:p w:rsidR="00E014F2" w:rsidRPr="00CA5AB8" w:rsidRDefault="00E014F2" w:rsidP="00587733">
            <w:pPr>
              <w:pStyle w:val="a8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A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2" w:rsidRPr="00B206F5" w:rsidRDefault="00E014F2" w:rsidP="00E01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="Times New Roman" w:hAnsi="Times New Roman CYR" w:cs="Times New Roman CYR"/>
                <w:kern w:val="2"/>
                <w:sz w:val="24"/>
                <w:szCs w:val="24"/>
                <w14:ligatures w14:val="standardContextual"/>
              </w:rPr>
            </w:pPr>
            <w:r w:rsidRPr="00B206F5">
              <w:rPr>
                <w:rFonts w:ascii="Times New Roman CYR" w:eastAsia="Times New Roman" w:hAnsi="Times New Roman CYR" w:cs="Times New Roman CYR"/>
                <w:kern w:val="2"/>
                <w:sz w:val="24"/>
                <w:szCs w:val="24"/>
                <w14:ligatures w14:val="standardContextual"/>
              </w:rPr>
              <w:t>Описание площадки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2" w:rsidRPr="00E014F2" w:rsidRDefault="00E014F2" w:rsidP="00E014F2">
            <w:pPr>
              <w:pStyle w:val="a5"/>
              <w:rPr>
                <w:rFonts w:ascii="Times New Roman" w:hAnsi="Times New Roman" w:cs="Times New Roman"/>
              </w:rPr>
            </w:pPr>
            <w:r w:rsidRPr="00E014F2">
              <w:rPr>
                <w:rFonts w:ascii="Times New Roman" w:hAnsi="Times New Roman" w:cs="Times New Roman"/>
              </w:rPr>
              <w:t xml:space="preserve">- Микрорайон 23 А: площадь участка 22 га свободная от застройки </w:t>
            </w:r>
          </w:p>
          <w:p w:rsidR="00E014F2" w:rsidRPr="00E014F2" w:rsidRDefault="00E014F2" w:rsidP="00E01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="Times New Roman" w:hAnsi="Times New Roman CYR" w:cs="Times New Roman CYR"/>
                <w:kern w:val="2"/>
                <w:sz w:val="24"/>
                <w:szCs w:val="24"/>
                <w14:ligatures w14:val="standardContextual"/>
              </w:rPr>
            </w:pPr>
            <w:r w:rsidRPr="00E014F2">
              <w:rPr>
                <w:rFonts w:cs="Times New Roman"/>
                <w:sz w:val="24"/>
                <w:szCs w:val="24"/>
              </w:rPr>
              <w:t>- Пойма 6, Пойма 2, Пойма 4, территория НТЦ, микрорайон 27 А: определяется на следующих стадиях проектирования</w:t>
            </w:r>
          </w:p>
        </w:tc>
      </w:tr>
    </w:tbl>
    <w:p w:rsidR="007C02BB" w:rsidRDefault="007C02BB" w:rsidP="00E77D1B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486EDB" w:rsidRDefault="00486EDB" w:rsidP="00E77D1B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674C4">
        <w:rPr>
          <w:rFonts w:eastAsia="Times New Roman" w:cs="Times New Roman"/>
          <w:szCs w:val="28"/>
          <w:lang w:eastAsia="ru-RU"/>
        </w:rPr>
        <w:t xml:space="preserve">17. </w:t>
      </w:r>
      <w:r w:rsidR="00847975" w:rsidRPr="00B674C4">
        <w:rPr>
          <w:rFonts w:eastAsia="Times New Roman" w:cs="Times New Roman"/>
          <w:szCs w:val="28"/>
          <w:lang w:eastAsia="ru-RU"/>
        </w:rPr>
        <w:t>По тексту приложения к решению с</w:t>
      </w:r>
      <w:r w:rsidRPr="00B674C4">
        <w:rPr>
          <w:rFonts w:eastAsia="Times New Roman" w:cs="Times New Roman"/>
          <w:szCs w:val="28"/>
          <w:lang w:eastAsia="ru-RU"/>
        </w:rPr>
        <w:t>лов</w:t>
      </w:r>
      <w:r w:rsidR="00847975" w:rsidRPr="00B674C4">
        <w:rPr>
          <w:rFonts w:eastAsia="Times New Roman" w:cs="Times New Roman"/>
          <w:szCs w:val="28"/>
          <w:lang w:eastAsia="ru-RU"/>
        </w:rPr>
        <w:t>а</w:t>
      </w:r>
      <w:r w:rsidRPr="00B674C4">
        <w:rPr>
          <w:rFonts w:eastAsia="Times New Roman" w:cs="Times New Roman"/>
          <w:szCs w:val="28"/>
          <w:lang w:eastAsia="ru-RU"/>
        </w:rPr>
        <w:t xml:space="preserve"> «мульти-отраслевой» </w:t>
      </w:r>
      <w:r w:rsidR="00847975" w:rsidRPr="00B674C4">
        <w:rPr>
          <w:rFonts w:eastAsia="Times New Roman" w:cs="Times New Roman"/>
          <w:szCs w:val="28"/>
          <w:lang w:eastAsia="ru-RU"/>
        </w:rPr>
        <w:t>в соответствующих падежах заменить словом «</w:t>
      </w:r>
      <w:proofErr w:type="spellStart"/>
      <w:r w:rsidR="00847975" w:rsidRPr="00B674C4">
        <w:rPr>
          <w:rFonts w:eastAsia="Times New Roman" w:cs="Times New Roman"/>
          <w:szCs w:val="28"/>
          <w:lang w:eastAsia="ru-RU"/>
        </w:rPr>
        <w:t>мультиотраслевой</w:t>
      </w:r>
      <w:proofErr w:type="spellEnd"/>
      <w:r w:rsidR="00847975" w:rsidRPr="00B674C4">
        <w:rPr>
          <w:rFonts w:eastAsia="Times New Roman" w:cs="Times New Roman"/>
          <w:szCs w:val="28"/>
          <w:lang w:eastAsia="ru-RU"/>
        </w:rPr>
        <w:t>» в соответствующих падежах.</w:t>
      </w:r>
    </w:p>
    <w:p w:rsidR="00486EDB" w:rsidRPr="000F555F" w:rsidRDefault="00486EDB" w:rsidP="00112886">
      <w:pPr>
        <w:ind w:firstLine="0"/>
        <w:rPr>
          <w:rFonts w:eastAsia="Times New Roman" w:cs="Times New Roman"/>
          <w:szCs w:val="28"/>
          <w:lang w:eastAsia="ru-RU"/>
        </w:rPr>
      </w:pPr>
    </w:p>
    <w:sectPr w:rsidR="00486EDB" w:rsidRPr="000F555F" w:rsidSect="004F636F">
      <w:head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D41" w:rsidRDefault="00793D41" w:rsidP="00170C1A">
      <w:pPr>
        <w:spacing w:line="240" w:lineRule="auto"/>
      </w:pPr>
      <w:r>
        <w:separator/>
      </w:r>
    </w:p>
  </w:endnote>
  <w:endnote w:type="continuationSeparator" w:id="0">
    <w:p w:rsidR="00793D41" w:rsidRDefault="00793D41" w:rsidP="00170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D41" w:rsidRDefault="00793D41" w:rsidP="00170C1A">
      <w:pPr>
        <w:spacing w:line="240" w:lineRule="auto"/>
      </w:pPr>
      <w:r>
        <w:separator/>
      </w:r>
    </w:p>
  </w:footnote>
  <w:footnote w:type="continuationSeparator" w:id="0">
    <w:p w:rsidR="00793D41" w:rsidRDefault="00793D41" w:rsidP="00170C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4715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93D41" w:rsidRPr="009B3D5C" w:rsidRDefault="00793D41">
        <w:pPr>
          <w:pStyle w:val="a9"/>
          <w:jc w:val="center"/>
          <w:rPr>
            <w:sz w:val="20"/>
            <w:szCs w:val="20"/>
          </w:rPr>
        </w:pPr>
        <w:r w:rsidRPr="009B3D5C">
          <w:rPr>
            <w:sz w:val="20"/>
            <w:szCs w:val="20"/>
          </w:rPr>
          <w:fldChar w:fldCharType="begin"/>
        </w:r>
        <w:r w:rsidRPr="009B3D5C">
          <w:rPr>
            <w:sz w:val="20"/>
            <w:szCs w:val="20"/>
          </w:rPr>
          <w:instrText>PAGE   \* MERGEFORMAT</w:instrText>
        </w:r>
        <w:r w:rsidRPr="009B3D5C">
          <w:rPr>
            <w:sz w:val="20"/>
            <w:szCs w:val="20"/>
          </w:rPr>
          <w:fldChar w:fldCharType="separate"/>
        </w:r>
        <w:r w:rsidR="001E5536">
          <w:rPr>
            <w:noProof/>
            <w:sz w:val="20"/>
            <w:szCs w:val="20"/>
          </w:rPr>
          <w:t>10</w:t>
        </w:r>
        <w:r w:rsidRPr="009B3D5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1D2B"/>
    <w:multiLevelType w:val="hybridMultilevel"/>
    <w:tmpl w:val="8EC80B60"/>
    <w:lvl w:ilvl="0" w:tplc="39442D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6A8"/>
    <w:multiLevelType w:val="hybridMultilevel"/>
    <w:tmpl w:val="C9AC70BC"/>
    <w:lvl w:ilvl="0" w:tplc="F6A2546A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034C9"/>
    <w:multiLevelType w:val="hybridMultilevel"/>
    <w:tmpl w:val="4EBCDF7C"/>
    <w:lvl w:ilvl="0" w:tplc="E83C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D84D1E"/>
    <w:multiLevelType w:val="hybridMultilevel"/>
    <w:tmpl w:val="F992E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B11DD"/>
    <w:multiLevelType w:val="hybridMultilevel"/>
    <w:tmpl w:val="55727ED4"/>
    <w:lvl w:ilvl="0" w:tplc="785A96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D60C97"/>
    <w:multiLevelType w:val="hybridMultilevel"/>
    <w:tmpl w:val="8BA49DF2"/>
    <w:lvl w:ilvl="0" w:tplc="9AE0F73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306EA9"/>
    <w:multiLevelType w:val="hybridMultilevel"/>
    <w:tmpl w:val="67603F1E"/>
    <w:lvl w:ilvl="0" w:tplc="F2BCC468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762559"/>
    <w:multiLevelType w:val="hybridMultilevel"/>
    <w:tmpl w:val="55727ED4"/>
    <w:lvl w:ilvl="0" w:tplc="785A96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3E"/>
    <w:rsid w:val="00005CE6"/>
    <w:rsid w:val="0001399F"/>
    <w:rsid w:val="000303A3"/>
    <w:rsid w:val="000474D0"/>
    <w:rsid w:val="0005175F"/>
    <w:rsid w:val="00053B0D"/>
    <w:rsid w:val="0005529F"/>
    <w:rsid w:val="000627B4"/>
    <w:rsid w:val="00062F95"/>
    <w:rsid w:val="000B1528"/>
    <w:rsid w:val="000E43A5"/>
    <w:rsid w:val="000E577F"/>
    <w:rsid w:val="000E614D"/>
    <w:rsid w:val="000F555F"/>
    <w:rsid w:val="00103E78"/>
    <w:rsid w:val="00106D15"/>
    <w:rsid w:val="00111065"/>
    <w:rsid w:val="00112886"/>
    <w:rsid w:val="00127644"/>
    <w:rsid w:val="001512A9"/>
    <w:rsid w:val="00155017"/>
    <w:rsid w:val="0015545D"/>
    <w:rsid w:val="00163ACE"/>
    <w:rsid w:val="00170C1A"/>
    <w:rsid w:val="00173BD8"/>
    <w:rsid w:val="00176805"/>
    <w:rsid w:val="0019263C"/>
    <w:rsid w:val="00196F31"/>
    <w:rsid w:val="001A1E93"/>
    <w:rsid w:val="001B1434"/>
    <w:rsid w:val="001B174E"/>
    <w:rsid w:val="001B2F55"/>
    <w:rsid w:val="001B7285"/>
    <w:rsid w:val="001D7F60"/>
    <w:rsid w:val="001E32D3"/>
    <w:rsid w:val="001E5536"/>
    <w:rsid w:val="001E6714"/>
    <w:rsid w:val="001F0383"/>
    <w:rsid w:val="00205802"/>
    <w:rsid w:val="002061B4"/>
    <w:rsid w:val="00221951"/>
    <w:rsid w:val="002240AE"/>
    <w:rsid w:val="00231773"/>
    <w:rsid w:val="002323D4"/>
    <w:rsid w:val="0024161E"/>
    <w:rsid w:val="0025241C"/>
    <w:rsid w:val="002529B6"/>
    <w:rsid w:val="0025652D"/>
    <w:rsid w:val="00261710"/>
    <w:rsid w:val="00263875"/>
    <w:rsid w:val="00263FDE"/>
    <w:rsid w:val="002644E5"/>
    <w:rsid w:val="00281E52"/>
    <w:rsid w:val="00284C5A"/>
    <w:rsid w:val="0029184F"/>
    <w:rsid w:val="0029506A"/>
    <w:rsid w:val="002A6A57"/>
    <w:rsid w:val="002B297C"/>
    <w:rsid w:val="002B5D07"/>
    <w:rsid w:val="002B62BF"/>
    <w:rsid w:val="002C7DA2"/>
    <w:rsid w:val="002C7FBD"/>
    <w:rsid w:val="002E1FF0"/>
    <w:rsid w:val="002E7AF0"/>
    <w:rsid w:val="002F7A9C"/>
    <w:rsid w:val="0030735D"/>
    <w:rsid w:val="00316A08"/>
    <w:rsid w:val="00331EBD"/>
    <w:rsid w:val="00353F35"/>
    <w:rsid w:val="003568D4"/>
    <w:rsid w:val="0037151D"/>
    <w:rsid w:val="00375237"/>
    <w:rsid w:val="003768C7"/>
    <w:rsid w:val="00380648"/>
    <w:rsid w:val="00381ECD"/>
    <w:rsid w:val="003837D8"/>
    <w:rsid w:val="00383ADE"/>
    <w:rsid w:val="003B2F91"/>
    <w:rsid w:val="003B442C"/>
    <w:rsid w:val="003E511B"/>
    <w:rsid w:val="0040045D"/>
    <w:rsid w:val="004138F3"/>
    <w:rsid w:val="00432897"/>
    <w:rsid w:val="004518BD"/>
    <w:rsid w:val="004654AF"/>
    <w:rsid w:val="004700F7"/>
    <w:rsid w:val="004776A0"/>
    <w:rsid w:val="00485E4F"/>
    <w:rsid w:val="00486EDB"/>
    <w:rsid w:val="0048789C"/>
    <w:rsid w:val="004A0977"/>
    <w:rsid w:val="004A5D49"/>
    <w:rsid w:val="004B4707"/>
    <w:rsid w:val="004B5C2C"/>
    <w:rsid w:val="004B7864"/>
    <w:rsid w:val="004C3034"/>
    <w:rsid w:val="004C69BE"/>
    <w:rsid w:val="004D7B3E"/>
    <w:rsid w:val="004E035C"/>
    <w:rsid w:val="004F1A75"/>
    <w:rsid w:val="004F636F"/>
    <w:rsid w:val="004F76AD"/>
    <w:rsid w:val="0050177B"/>
    <w:rsid w:val="005061A3"/>
    <w:rsid w:val="00515C33"/>
    <w:rsid w:val="00516EF7"/>
    <w:rsid w:val="005204B5"/>
    <w:rsid w:val="00520799"/>
    <w:rsid w:val="00525E7E"/>
    <w:rsid w:val="00527940"/>
    <w:rsid w:val="00527A5F"/>
    <w:rsid w:val="00534FA0"/>
    <w:rsid w:val="005375C6"/>
    <w:rsid w:val="00551B45"/>
    <w:rsid w:val="00566A82"/>
    <w:rsid w:val="0057298B"/>
    <w:rsid w:val="0057658B"/>
    <w:rsid w:val="00580393"/>
    <w:rsid w:val="00582559"/>
    <w:rsid w:val="00583093"/>
    <w:rsid w:val="00585328"/>
    <w:rsid w:val="00587733"/>
    <w:rsid w:val="005936B2"/>
    <w:rsid w:val="00597F5B"/>
    <w:rsid w:val="005A5890"/>
    <w:rsid w:val="005D211A"/>
    <w:rsid w:val="005D34C4"/>
    <w:rsid w:val="005D37FA"/>
    <w:rsid w:val="005D3B9E"/>
    <w:rsid w:val="005E63DE"/>
    <w:rsid w:val="005F0F7B"/>
    <w:rsid w:val="00604F7B"/>
    <w:rsid w:val="00607E18"/>
    <w:rsid w:val="006261E7"/>
    <w:rsid w:val="0065063B"/>
    <w:rsid w:val="00664B70"/>
    <w:rsid w:val="006761D0"/>
    <w:rsid w:val="006824FA"/>
    <w:rsid w:val="006853A3"/>
    <w:rsid w:val="006863D0"/>
    <w:rsid w:val="00686778"/>
    <w:rsid w:val="0069242D"/>
    <w:rsid w:val="006D06E0"/>
    <w:rsid w:val="006D0A04"/>
    <w:rsid w:val="006D46E9"/>
    <w:rsid w:val="006D6996"/>
    <w:rsid w:val="006F3A92"/>
    <w:rsid w:val="0070754E"/>
    <w:rsid w:val="00712EB1"/>
    <w:rsid w:val="00717680"/>
    <w:rsid w:val="00721A14"/>
    <w:rsid w:val="007438DF"/>
    <w:rsid w:val="00751F1A"/>
    <w:rsid w:val="00755131"/>
    <w:rsid w:val="00757687"/>
    <w:rsid w:val="00761EA0"/>
    <w:rsid w:val="0077550A"/>
    <w:rsid w:val="007762F6"/>
    <w:rsid w:val="00777576"/>
    <w:rsid w:val="00777ED8"/>
    <w:rsid w:val="007811B5"/>
    <w:rsid w:val="00781B4C"/>
    <w:rsid w:val="00793D41"/>
    <w:rsid w:val="00797787"/>
    <w:rsid w:val="007A6A10"/>
    <w:rsid w:val="007C02BB"/>
    <w:rsid w:val="007C7AD5"/>
    <w:rsid w:val="007D04B7"/>
    <w:rsid w:val="007D17C4"/>
    <w:rsid w:val="007F06E0"/>
    <w:rsid w:val="007F5C3A"/>
    <w:rsid w:val="008004B7"/>
    <w:rsid w:val="00806415"/>
    <w:rsid w:val="008129DE"/>
    <w:rsid w:val="00824A7A"/>
    <w:rsid w:val="008346AF"/>
    <w:rsid w:val="0083497D"/>
    <w:rsid w:val="008358A3"/>
    <w:rsid w:val="008373CA"/>
    <w:rsid w:val="00847169"/>
    <w:rsid w:val="00847975"/>
    <w:rsid w:val="00867DDC"/>
    <w:rsid w:val="008736FB"/>
    <w:rsid w:val="00881802"/>
    <w:rsid w:val="00897E75"/>
    <w:rsid w:val="008A307E"/>
    <w:rsid w:val="008A44F1"/>
    <w:rsid w:val="008A5833"/>
    <w:rsid w:val="008A7E67"/>
    <w:rsid w:val="008B5800"/>
    <w:rsid w:val="008C165F"/>
    <w:rsid w:val="008E0226"/>
    <w:rsid w:val="008F6602"/>
    <w:rsid w:val="00920BE3"/>
    <w:rsid w:val="009211E6"/>
    <w:rsid w:val="00930E63"/>
    <w:rsid w:val="009340C9"/>
    <w:rsid w:val="00934E62"/>
    <w:rsid w:val="00945490"/>
    <w:rsid w:val="00945E5B"/>
    <w:rsid w:val="00951BEC"/>
    <w:rsid w:val="00952EB2"/>
    <w:rsid w:val="009534E1"/>
    <w:rsid w:val="009663BD"/>
    <w:rsid w:val="0097239B"/>
    <w:rsid w:val="00980691"/>
    <w:rsid w:val="00981800"/>
    <w:rsid w:val="00986F0E"/>
    <w:rsid w:val="009B130D"/>
    <w:rsid w:val="009B358E"/>
    <w:rsid w:val="009B3D5C"/>
    <w:rsid w:val="009B72FD"/>
    <w:rsid w:val="009C476B"/>
    <w:rsid w:val="009D5CA5"/>
    <w:rsid w:val="009F0D74"/>
    <w:rsid w:val="009F373F"/>
    <w:rsid w:val="009F424B"/>
    <w:rsid w:val="00A077D5"/>
    <w:rsid w:val="00A10D60"/>
    <w:rsid w:val="00A27A0C"/>
    <w:rsid w:val="00A32D42"/>
    <w:rsid w:val="00A359AF"/>
    <w:rsid w:val="00A37C51"/>
    <w:rsid w:val="00A4286E"/>
    <w:rsid w:val="00A442ED"/>
    <w:rsid w:val="00A44D04"/>
    <w:rsid w:val="00A53179"/>
    <w:rsid w:val="00A70247"/>
    <w:rsid w:val="00A741CF"/>
    <w:rsid w:val="00A83E60"/>
    <w:rsid w:val="00AA38D1"/>
    <w:rsid w:val="00AB1DCC"/>
    <w:rsid w:val="00AC0660"/>
    <w:rsid w:val="00AD170B"/>
    <w:rsid w:val="00AD5B31"/>
    <w:rsid w:val="00B00C93"/>
    <w:rsid w:val="00B03EC7"/>
    <w:rsid w:val="00B1396C"/>
    <w:rsid w:val="00B2031B"/>
    <w:rsid w:val="00B257FC"/>
    <w:rsid w:val="00B37F0F"/>
    <w:rsid w:val="00B42D7E"/>
    <w:rsid w:val="00B467FF"/>
    <w:rsid w:val="00B50715"/>
    <w:rsid w:val="00B54208"/>
    <w:rsid w:val="00B60186"/>
    <w:rsid w:val="00B6061E"/>
    <w:rsid w:val="00B66BCF"/>
    <w:rsid w:val="00B674C4"/>
    <w:rsid w:val="00BA0BC6"/>
    <w:rsid w:val="00BA3010"/>
    <w:rsid w:val="00BA7736"/>
    <w:rsid w:val="00BC670D"/>
    <w:rsid w:val="00BD0D4A"/>
    <w:rsid w:val="00BF05E1"/>
    <w:rsid w:val="00BF20A5"/>
    <w:rsid w:val="00C0085C"/>
    <w:rsid w:val="00C01B05"/>
    <w:rsid w:val="00C052A0"/>
    <w:rsid w:val="00C073F9"/>
    <w:rsid w:val="00C0766D"/>
    <w:rsid w:val="00C11F35"/>
    <w:rsid w:val="00C12DF5"/>
    <w:rsid w:val="00C14215"/>
    <w:rsid w:val="00C14879"/>
    <w:rsid w:val="00C21996"/>
    <w:rsid w:val="00C23D6E"/>
    <w:rsid w:val="00C2781F"/>
    <w:rsid w:val="00C33C26"/>
    <w:rsid w:val="00C50AB8"/>
    <w:rsid w:val="00C6414C"/>
    <w:rsid w:val="00C903AC"/>
    <w:rsid w:val="00C9406A"/>
    <w:rsid w:val="00CA1D6F"/>
    <w:rsid w:val="00CA389A"/>
    <w:rsid w:val="00CA396E"/>
    <w:rsid w:val="00CA5AB8"/>
    <w:rsid w:val="00CB0A52"/>
    <w:rsid w:val="00CB6681"/>
    <w:rsid w:val="00CC0240"/>
    <w:rsid w:val="00CD03FB"/>
    <w:rsid w:val="00CE287B"/>
    <w:rsid w:val="00CE3970"/>
    <w:rsid w:val="00CE3AB0"/>
    <w:rsid w:val="00CE3BA3"/>
    <w:rsid w:val="00CE3C30"/>
    <w:rsid w:val="00CF5974"/>
    <w:rsid w:val="00D02375"/>
    <w:rsid w:val="00D0281B"/>
    <w:rsid w:val="00D03C2E"/>
    <w:rsid w:val="00D15F44"/>
    <w:rsid w:val="00D212A3"/>
    <w:rsid w:val="00D23D71"/>
    <w:rsid w:val="00D32234"/>
    <w:rsid w:val="00D4404B"/>
    <w:rsid w:val="00D5246C"/>
    <w:rsid w:val="00D6173A"/>
    <w:rsid w:val="00D74D23"/>
    <w:rsid w:val="00D77C8F"/>
    <w:rsid w:val="00D872AF"/>
    <w:rsid w:val="00D95BE9"/>
    <w:rsid w:val="00D96F1C"/>
    <w:rsid w:val="00DA29C3"/>
    <w:rsid w:val="00DB5AE3"/>
    <w:rsid w:val="00DC45AF"/>
    <w:rsid w:val="00DC4F85"/>
    <w:rsid w:val="00DC5AF0"/>
    <w:rsid w:val="00DD1ED4"/>
    <w:rsid w:val="00DD3623"/>
    <w:rsid w:val="00DD79B7"/>
    <w:rsid w:val="00DD7E2A"/>
    <w:rsid w:val="00DE3249"/>
    <w:rsid w:val="00E014F2"/>
    <w:rsid w:val="00E2095A"/>
    <w:rsid w:val="00E21B88"/>
    <w:rsid w:val="00E37A36"/>
    <w:rsid w:val="00E47D27"/>
    <w:rsid w:val="00E602DD"/>
    <w:rsid w:val="00E661E3"/>
    <w:rsid w:val="00E66C76"/>
    <w:rsid w:val="00E72463"/>
    <w:rsid w:val="00E75C27"/>
    <w:rsid w:val="00E77D1B"/>
    <w:rsid w:val="00E904C0"/>
    <w:rsid w:val="00E90AC9"/>
    <w:rsid w:val="00E93354"/>
    <w:rsid w:val="00EA406B"/>
    <w:rsid w:val="00EA5A4C"/>
    <w:rsid w:val="00EC408A"/>
    <w:rsid w:val="00ED5928"/>
    <w:rsid w:val="00EF1103"/>
    <w:rsid w:val="00EF4AB5"/>
    <w:rsid w:val="00F0124F"/>
    <w:rsid w:val="00F037D1"/>
    <w:rsid w:val="00F037ED"/>
    <w:rsid w:val="00F14D3F"/>
    <w:rsid w:val="00F17D8F"/>
    <w:rsid w:val="00F24D25"/>
    <w:rsid w:val="00F35332"/>
    <w:rsid w:val="00F47AE6"/>
    <w:rsid w:val="00F508A1"/>
    <w:rsid w:val="00F538E6"/>
    <w:rsid w:val="00F6165C"/>
    <w:rsid w:val="00F637C2"/>
    <w:rsid w:val="00F7190A"/>
    <w:rsid w:val="00F737D2"/>
    <w:rsid w:val="00F81399"/>
    <w:rsid w:val="00F90070"/>
    <w:rsid w:val="00F900EA"/>
    <w:rsid w:val="00FB06E0"/>
    <w:rsid w:val="00FB4205"/>
    <w:rsid w:val="00FB4D75"/>
    <w:rsid w:val="00FC018D"/>
    <w:rsid w:val="00FC6DC0"/>
    <w:rsid w:val="00FD5171"/>
    <w:rsid w:val="00FF214B"/>
    <w:rsid w:val="00FF38BF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2A2F"/>
  <w15:chartTrackingRefBased/>
  <w15:docId w15:val="{D42E60AF-4C14-423F-9744-28E0FD78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61E"/>
    <w:pPr>
      <w:spacing w:after="0" w:line="48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4161E"/>
    <w:pPr>
      <w:keepNext/>
      <w:keepLines/>
      <w:spacing w:before="48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61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Body Text"/>
    <w:basedOn w:val="a"/>
    <w:link w:val="a4"/>
    <w:rsid w:val="0024161E"/>
    <w:pPr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416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qFormat/>
    <w:rsid w:val="0024161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24161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24161E"/>
    <w:rPr>
      <w:rFonts w:cs="Times New Roman"/>
      <w:b w:val="0"/>
      <w:color w:val="106BBE"/>
    </w:rPr>
  </w:style>
  <w:style w:type="paragraph" w:styleId="a8">
    <w:name w:val="List Paragraph"/>
    <w:basedOn w:val="a"/>
    <w:uiPriority w:val="34"/>
    <w:qFormat/>
    <w:rsid w:val="00F508A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70C1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0C1A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170C1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0C1A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781B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81B4C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4878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48789C"/>
    <w:rPr>
      <w:color w:val="0000FF"/>
      <w:u w:val="single"/>
    </w:rPr>
  </w:style>
  <w:style w:type="paragraph" w:customStyle="1" w:styleId="Default">
    <w:name w:val="Default"/>
    <w:rsid w:val="001F0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5936B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unhideWhenUsed/>
    <w:qFormat/>
    <w:rsid w:val="003B2F91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qFormat/>
    <w:rsid w:val="003B2F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qFormat/>
    <w:rsid w:val="003B2F91"/>
    <w:rPr>
      <w:rFonts w:ascii="Times New Roman" w:hAnsi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F3A92"/>
  </w:style>
  <w:style w:type="table" w:styleId="af3">
    <w:name w:val="Table Grid"/>
    <w:basedOn w:val="a1"/>
    <w:uiPriority w:val="39"/>
    <w:rsid w:val="00F14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113988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911AC-0FF5-41F7-8DC5-ABE9D51E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4928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Багомедова Светлана Анатольевна</dc:creator>
  <cp:keywords/>
  <dc:description/>
  <cp:lastModifiedBy>Софрони Андрей Георгиевич</cp:lastModifiedBy>
  <cp:revision>54</cp:revision>
  <cp:lastPrinted>2024-07-19T15:40:00Z</cp:lastPrinted>
  <dcterms:created xsi:type="dcterms:W3CDTF">2024-07-19T13:48:00Z</dcterms:created>
  <dcterms:modified xsi:type="dcterms:W3CDTF">2024-08-14T09:36:00Z</dcterms:modified>
</cp:coreProperties>
</file>