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20"/>
        <w:ind w:left="0" w:right="0" w:firstLine="0"/>
        <w:spacing w:before="0" w:after="240" w:line="240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363634"/>
        </w:rPr>
        <w:t xml:space="preserve">Расширение перечня БАД: вторая волна с 1 марта 2025</w:t>
      </w:r>
      <w:r/>
    </w:p>
    <w:p>
      <w:pPr>
        <w:ind w:left="0" w:right="0" w:firstLine="0"/>
        <w:spacing w:before="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363634"/>
        </w:rPr>
        <w:t xml:space="preserve">С 1 марта 2025 года вступает в силу</w:t>
      </w:r>
      <w:r>
        <w:rPr>
          <w:rFonts w:ascii="Arial" w:hAnsi="Arial" w:eastAsia="Arial" w:cs="Arial"/>
          <w:color w:val="363634"/>
          <w:sz w:val="24"/>
        </w:rPr>
        <w:t xml:space="preserve"> </w:t>
      </w:r>
      <w:hyperlink r:id="rId10" w:tooltip="http://publication.pravo.gov.ru/document/0001202411300050?index=1" w:history="1">
        <w:r>
          <w:rPr>
            <w:rStyle w:val="916"/>
            <w:rFonts w:ascii="Arial" w:hAnsi="Arial" w:eastAsia="Arial" w:cs="Arial"/>
            <w:color w:val="2386e0"/>
          </w:rPr>
          <w:t xml:space="preserve">Постановление Правительства РФ от 30.11.2024 №1680</w:t>
        </w:r>
      </w:hyperlink>
      <w:r>
        <w:rPr>
          <w:rFonts w:ascii="Arial" w:hAnsi="Arial" w:eastAsia="Arial" w:cs="Arial"/>
          <w:color w:val="363634"/>
        </w:rPr>
        <w:t xml:space="preserve"> по расширению перечня к обязательной маркировке биологически активных добавок к пище (БАД). В этой статье мы разберемся со сроками, а также какие БАД попадают во вторую волну.</w:t>
        <w:br/>
      </w:r>
      <w:r/>
    </w:p>
    <w:p>
      <w:pPr>
        <w:pStyle w:val="724"/>
        <w:ind w:left="0" w:right="0" w:firstLine="0"/>
        <w:spacing w:before="504" w:after="252" w:line="48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363634"/>
        </w:rPr>
        <w:t xml:space="preserve">Для чего нужна маркировка биологически активных добавок к пище?</w:t>
      </w:r>
      <w:r/>
    </w:p>
    <w:p>
      <w:pPr>
        <w:ind w:left="0" w:right="0" w:firstLine="0"/>
        <w:spacing w:before="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363634"/>
        </w:rPr>
        <w:t xml:space="preserve">По данным исследования ВШЭ, доля незаконного оборота БАД в России составляет около 50%. Введение маркировки позволит идентифицировать продукцию в качестве биологически активной добавки к пище, вести достоверную статистику об обороте БАД на территории Росси</w:t>
      </w:r>
      <w:r>
        <w:rPr>
          <w:rFonts w:ascii="Arial" w:hAnsi="Arial" w:eastAsia="Arial" w:cs="Arial"/>
          <w:color w:val="363634"/>
        </w:rPr>
        <w:t xml:space="preserve">и, а также эффективно противодействовать их незаконному обороту.</w:t>
        <w:br/>
      </w:r>
      <w:r/>
    </w:p>
    <w:p>
      <w:pPr>
        <w:pStyle w:val="724"/>
        <w:ind w:left="0" w:right="0" w:firstLine="0"/>
        <w:spacing w:before="504" w:after="252" w:line="48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363634"/>
        </w:rPr>
        <w:t xml:space="preserve">Сроки обязательной маркировки расширенного перечня</w:t>
      </w:r>
      <w:r/>
    </w:p>
    <w:p>
      <w:pPr>
        <w:pStyle w:val="906"/>
        <w:numPr>
          <w:ilvl w:val="0"/>
          <w:numId w:val="43"/>
        </w:numPr>
        <w:ind w:right="0"/>
        <w:spacing w:before="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363634"/>
        </w:rPr>
        <w:t xml:space="preserve">1 марта 2025 г. </w:t>
      </w:r>
      <w:r>
        <w:rPr>
          <w:rFonts w:ascii="Arial" w:hAnsi="Arial" w:eastAsia="Arial" w:cs="Arial"/>
          <w:color w:val="363634"/>
        </w:rPr>
        <w:t xml:space="preserve">— старт обязательной маркировки для нового перечня БАД. Производители и импортеры подают сведения о нанесении и вводе товаров в оборот;</w:t>
      </w:r>
      <w:r/>
    </w:p>
    <w:p>
      <w:pPr>
        <w:pStyle w:val="906"/>
        <w:numPr>
          <w:ilvl w:val="0"/>
          <w:numId w:val="44"/>
        </w:numPr>
        <w:ind w:right="0"/>
        <w:spacing w:before="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363634"/>
        </w:rPr>
        <w:t xml:space="preserve">до 31 марта 2025 г. (включительно) </w:t>
      </w:r>
      <w:r>
        <w:rPr>
          <w:rFonts w:ascii="Arial" w:hAnsi="Arial" w:eastAsia="Arial" w:cs="Arial"/>
          <w:color w:val="363634"/>
        </w:rPr>
        <w:t xml:space="preserve">— импортеры осуществляют маркировку БАД, приобретенных по 28 февраля 2025 г. (включительно) и выпущенных таможенными органами в соответствии с таможенными процедурами выпуска после 1 марта 2025 г., и вносят в систему маркировки сведения о маркировке таких </w:t>
      </w:r>
      <w:r>
        <w:rPr>
          <w:rFonts w:ascii="Arial" w:hAnsi="Arial" w:eastAsia="Arial" w:cs="Arial"/>
          <w:color w:val="363634"/>
        </w:rPr>
        <w:t xml:space="preserve">товаров;</w:t>
      </w:r>
      <w:r/>
    </w:p>
    <w:p>
      <w:pPr>
        <w:pStyle w:val="906"/>
        <w:numPr>
          <w:ilvl w:val="0"/>
          <w:numId w:val="45"/>
        </w:numPr>
        <w:ind w:right="0"/>
        <w:spacing w:before="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363634"/>
        </w:rPr>
        <w:t xml:space="preserve">с 1 марта 2025 г.</w:t>
      </w:r>
      <w:r>
        <w:rPr>
          <w:rFonts w:ascii="Arial" w:hAnsi="Arial" w:eastAsia="Arial" w:cs="Arial"/>
          <w:color w:val="363634"/>
        </w:rPr>
        <w:t xml:space="preserve"> — появляется обязанность передачи сведений в систему маркировки о поэкземплярном выводе из оборота для всех участников оборота, в том числе необходимо передавать сведения о розничных продажах с применением контрольно-кассовой техники (ККТ);</w:t>
      </w:r>
      <w:r/>
    </w:p>
    <w:p>
      <w:pPr>
        <w:pStyle w:val="906"/>
        <w:numPr>
          <w:ilvl w:val="0"/>
          <w:numId w:val="46"/>
        </w:numPr>
        <w:ind w:right="0"/>
        <w:spacing w:before="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363634"/>
        </w:rPr>
        <w:t xml:space="preserve">с 1 марта 2025 г. по 31 августа 2025 г. (включительно)</w:t>
      </w:r>
      <w:r>
        <w:rPr>
          <w:rFonts w:ascii="Arial" w:hAnsi="Arial" w:eastAsia="Arial" w:cs="Arial"/>
          <w:color w:val="363634"/>
        </w:rPr>
        <w:t xml:space="preserve"> — появляется обязанность передачи сведений об обороте БАД в объемно-сортовом учете (следует указывать информацию о коде товара (GTIN) и количестве маркированного товара). С этой даты все участники оборота должны использовать электронный документооборот (Э</w:t>
      </w:r>
      <w:r>
        <w:rPr>
          <w:rFonts w:ascii="Arial" w:hAnsi="Arial" w:eastAsia="Arial" w:cs="Arial"/>
          <w:color w:val="363634"/>
        </w:rPr>
        <w:t xml:space="preserve">ДО) в процессах отгрузки и приемки маркированной продукции;</w:t>
      </w:r>
      <w:r/>
    </w:p>
    <w:p>
      <w:pPr>
        <w:pStyle w:val="906"/>
        <w:numPr>
          <w:ilvl w:val="0"/>
          <w:numId w:val="47"/>
        </w:numPr>
        <w:ind w:right="0"/>
        <w:spacing w:before="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363634"/>
        </w:rPr>
        <w:t xml:space="preserve">с 1 сентября 2025 г.</w:t>
      </w:r>
      <w:r>
        <w:rPr>
          <w:rFonts w:ascii="Arial" w:hAnsi="Arial" w:eastAsia="Arial" w:cs="Arial"/>
          <w:color w:val="363634"/>
        </w:rPr>
        <w:t xml:space="preserve"> — полная прослеживаемость товара (поэкземплярный учёт). С указанной даты все участники оборота должны передавать в систему маркировки сведения о каждой единице маркированного товара (о конкретном коде маркировки) при передаче/приемке маркированного товара</w:t>
      </w:r>
      <w:r>
        <w:rPr>
          <w:rFonts w:ascii="Arial" w:hAnsi="Arial" w:eastAsia="Arial" w:cs="Arial"/>
          <w:color w:val="363634"/>
        </w:rPr>
        <w:t xml:space="preserve">. Товары, произведенные до перехода на поэкземплярный учет, оборачиваются в объемно-сортовом учете.</w:t>
      </w:r>
      <w:r/>
    </w:p>
    <w:p>
      <w:pPr>
        <w:ind w:left="0" w:right="0" w:firstLine="0"/>
        <w:spacing w:before="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363634"/>
          <w:highlight w:val="none"/>
        </w:rPr>
        <w:t xml:space="preserve">Товарные</w:t>
      </w:r>
      <w:r>
        <w:rPr>
          <w:rFonts w:ascii="Arial" w:hAnsi="Arial" w:eastAsia="Arial" w:cs="Arial"/>
          <w:color w:val="363634"/>
          <w:sz w:val="24"/>
          <w:highlight w:val="none"/>
        </w:rPr>
        <w:t xml:space="preserve"> </w:t>
      </w:r>
      <w:r>
        <w:rPr>
          <w:rFonts w:ascii="Arial" w:hAnsi="Arial" w:eastAsia="Arial" w:cs="Arial"/>
          <w:b/>
          <w:color w:val="363634"/>
          <w:highlight w:val="none"/>
        </w:rPr>
        <w:t xml:space="preserve">остатки</w:t>
      </w:r>
      <w:r>
        <w:rPr>
          <w:rFonts w:ascii="Arial" w:hAnsi="Arial" w:eastAsia="Arial" w:cs="Arial"/>
          <w:color w:val="363634"/>
          <w:sz w:val="24"/>
          <w:highlight w:val="none"/>
        </w:rPr>
        <w:t xml:space="preserve"> </w:t>
      </w:r>
      <w:r>
        <w:rPr>
          <w:rFonts w:ascii="Arial" w:hAnsi="Arial" w:eastAsia="Arial" w:cs="Arial"/>
          <w:color w:val="363634"/>
          <w:highlight w:val="none"/>
        </w:rPr>
        <w:t xml:space="preserve">БАД из списка расширения, которые произведены / ввезены в РФ до обязательной маркировки (до 1 марта 2025 г.), могут реализовываться без маркировки средствами идентификации (СИ) </w:t>
      </w:r>
      <w:r>
        <w:rPr>
          <w:rFonts w:ascii="Arial" w:hAnsi="Arial" w:eastAsia="Arial" w:cs="Arial"/>
          <w:b/>
          <w:color w:val="363634"/>
          <w:highlight w:val="none"/>
        </w:rPr>
        <w:t xml:space="preserve">до окончания их срока годности</w:t>
      </w:r>
      <w:r/>
    </w:p>
    <w:p>
      <w:pPr>
        <w:pStyle w:val="724"/>
        <w:ind w:left="0" w:right="0" w:firstLine="0"/>
        <w:spacing w:before="504" w:after="252" w:line="48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363634"/>
        </w:rPr>
        <w:t xml:space="preserve">Какие товары входят во вторую волну маркировки?</w:t>
      </w:r>
      <w:r/>
    </w:p>
    <w:p>
      <w:pPr>
        <w:ind w:left="0" w:right="0" w:firstLine="0"/>
        <w:spacing w:before="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302878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1634342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940424" cy="30287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8pt;height:238.5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  <w:br/>
        <w:br/>
      </w:r>
      <w:r>
        <w:rPr>
          <w:rFonts w:ascii="Arial" w:hAnsi="Arial" w:eastAsia="Arial" w:cs="Arial"/>
          <w:color w:val="363634"/>
        </w:rPr>
        <w:t xml:space="preserve">Чтобы точно определить, какие БАД попадают под маркировку смотрите наименование и область применения в полученном свидетельстве о государственной регистрации (СГР), а также ориентируйтесь на ТН ВЭД и ОКПД2.</w:t>
        <w:br/>
      </w:r>
      <w:r/>
    </w:p>
    <w:p>
      <w:pPr>
        <w:pStyle w:val="724"/>
        <w:ind w:left="0" w:right="0" w:firstLine="0"/>
        <w:spacing w:before="504" w:after="252" w:line="48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363634"/>
        </w:rPr>
        <w:t xml:space="preserve">Полезные ссылки</w:t>
      </w:r>
      <w:r/>
    </w:p>
    <w:p>
      <w:pPr>
        <w:ind w:left="0" w:right="0" w:firstLine="0"/>
        <w:spacing w:before="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363634"/>
        </w:rPr>
        <w:t xml:space="preserve">Если у вас еще остались вопросы, то в таком случае мы собрали для вас полезные ссылки, в которых вы можете найти ответы на них. Если же ответа на ваш вопрос там не окажется, то вы всегда можете задать его в комментариях под этой статьей и эксперты «Честног</w:t>
      </w:r>
      <w:r>
        <w:rPr>
          <w:rFonts w:ascii="Arial" w:hAnsi="Arial" w:eastAsia="Arial" w:cs="Arial"/>
          <w:color w:val="363634"/>
        </w:rPr>
        <w:t xml:space="preserve">о знака» обязательно вам ответят!</w:t>
        <w:br/>
      </w:r>
      <w:hyperlink r:id="rId12" w:tooltip="https://xn--80ajghhoc2aj1c8b.xn--p1ai/business/projects/dietarysup/registration/manufacturer/register/" w:history="1">
        <w:r>
          <w:rPr>
            <w:rStyle w:val="916"/>
            <w:rFonts w:ascii="Arial" w:hAnsi="Arial" w:eastAsia="Arial" w:cs="Arial"/>
            <w:color w:val="2386e0"/>
          </w:rPr>
          <w:t xml:space="preserve">Подробная пошаговая инструкция по работе с маркировкой</w:t>
        </w:r>
      </w:hyperlink>
      <w:r>
        <w:br/>
      </w:r>
      <w:hyperlink r:id="rId13" w:tooltip="https://xn--80ajghhoc2aj1c8b.xn--p1ai/business/projects/dietarysup/technical-calculator/" w:history="1">
        <w:r>
          <w:rPr>
            <w:rStyle w:val="916"/>
            <w:rFonts w:ascii="Arial" w:hAnsi="Arial" w:eastAsia="Arial" w:cs="Arial"/>
            <w:color w:val="2386e0"/>
          </w:rPr>
          <w:t xml:space="preserve">Подбор технических решений</w:t>
        </w:r>
      </w:hyperlink>
      <w:r>
        <w:br/>
      </w:r>
      <w:hyperlink r:id="rId14" w:tooltip="https://xn--80ajghhoc2aj1c8b.xn--p1ai/business/projects/dietarysup/partners/" w:history="1">
        <w:r>
          <w:rPr>
            <w:rStyle w:val="916"/>
            <w:rFonts w:ascii="Arial" w:hAnsi="Arial" w:eastAsia="Arial" w:cs="Arial"/>
            <w:color w:val="2386e0"/>
          </w:rPr>
          <w:t xml:space="preserve">Технологические партнеры и интеграторы</w:t>
        </w:r>
      </w:hyperlink>
      <w:r/>
      <w:r/>
    </w:p>
    <w:p>
      <w:r/>
      <w:r/>
    </w:p>
    <w:sectPr>
      <w:footnotePr/>
      <w:endnotePr/>
      <w:type w:val="nextPage"/>
      <w:pgSz w:w="11906" w:h="16838" w:orient="portrait"/>
      <w:pgMar w:top="709" w:right="850" w:bottom="822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Noto Sans Devanagari">
    <w:panose1 w:val="020B0502040504020204"/>
  </w:font>
  <w:font w:name="Times New Roman">
    <w:panose1 w:val="02020603050405020304"/>
  </w:font>
  <w:font w:name="Segoe UI">
    <w:panose1 w:val="020B0502040204020203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7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  <w:rPr>
        <w:rFonts w:hint="default" w:ascii="Times New Roman" w:hAnsi="Times New Roman" w:cs="Times New Roman"/>
        <w:bCs/>
        <w:sz w:val="28"/>
        <w:szCs w:val="28"/>
        <w:lang w:eastAsia="ru-RU"/>
      </w:rPr>
    </w:lvl>
    <w:lvl w:ilvl="1">
      <w:start w:val="1"/>
      <w:numFmt w:val="decimal"/>
      <w:isLgl w:val="false"/>
      <w:suff w:val="tab"/>
      <w:lvlText w:val="%1.%2."/>
      <w:lvlJc w:val="left"/>
      <w:pPr>
        <w:ind w:left="2280" w:hanging="720"/>
        <w:tabs>
          <w:tab w:val="num" w:pos="855" w:leader="none"/>
        </w:tabs>
      </w:pPr>
      <w:rPr>
        <w:rFonts w:hint="default" w:ascii="Times New Roman" w:hAnsi="Times New Roman" w:cs="Times New Roman"/>
        <w:bCs/>
        <w:sz w:val="28"/>
        <w:szCs w:val="28"/>
        <w:highlight w:val="white"/>
        <w:lang w:eastAsia="ru-RU"/>
      </w:rPr>
    </w:lvl>
    <w:lvl w:ilvl="2">
      <w:start w:val="1"/>
      <w:numFmt w:val="decimal"/>
      <w:lvlRestart w:val="1"/>
      <w:isLgl w:val="false"/>
      <w:suff w:val="tab"/>
      <w:lvlText w:val="%1.%2.%3."/>
      <w:lvlJc w:val="left"/>
      <w:pPr>
        <w:ind w:left="1288" w:hanging="720"/>
      </w:pPr>
      <w:rPr>
        <w:rFonts w:hint="default" w:ascii="Times New Roman" w:hAnsi="Times New Roman" w:cs="Times New Roman"/>
        <w:bCs/>
        <w:sz w:val="28"/>
        <w:szCs w:val="28"/>
        <w:lang w:eastAsia="ru-RU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195" w:hanging="1080"/>
      </w:pPr>
      <w:rPr>
        <w:rFonts w:hint="default" w:ascii="Times New Roman" w:hAnsi="Times New Roman" w:cs="Times New Roman"/>
        <w:bCs/>
        <w:sz w:val="28"/>
        <w:szCs w:val="28"/>
        <w:lang w:eastAsia="ru-RU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00" w:hanging="1080"/>
      </w:pPr>
      <w:rPr>
        <w:rFonts w:hint="default" w:ascii="Times New Roman" w:hAnsi="Times New Roman" w:cs="Times New Roman"/>
        <w:bCs/>
        <w:sz w:val="28"/>
        <w:szCs w:val="28"/>
        <w:lang w:eastAsia="ru-RU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65" w:hanging="1440"/>
      </w:pPr>
      <w:rPr>
        <w:rFonts w:hint="default" w:ascii="Times New Roman" w:hAnsi="Times New Roman" w:cs="Times New Roman"/>
        <w:bCs/>
        <w:sz w:val="28"/>
        <w:szCs w:val="28"/>
        <w:lang w:eastAsia="ru-RU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30" w:hanging="1800"/>
      </w:pPr>
      <w:rPr>
        <w:rFonts w:hint="default" w:ascii="Times New Roman" w:hAnsi="Times New Roman" w:cs="Times New Roman"/>
        <w:bCs/>
        <w:sz w:val="28"/>
        <w:szCs w:val="28"/>
        <w:lang w:eastAsia="ru-RU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35" w:hanging="1800"/>
      </w:pPr>
      <w:rPr>
        <w:rFonts w:hint="default" w:ascii="Times New Roman" w:hAnsi="Times New Roman" w:cs="Times New Roman"/>
        <w:bCs/>
        <w:sz w:val="28"/>
        <w:szCs w:val="28"/>
        <w:lang w:eastAsia="ru-RU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00" w:hanging="2160"/>
      </w:pPr>
      <w:rPr>
        <w:rFonts w:hint="default" w:ascii="Times New Roman" w:hAnsi="Times New Roman" w:cs="Times New Roman"/>
        <w:bCs/>
        <w:sz w:val="28"/>
        <w:szCs w:val="28"/>
        <w:lang w:eastAsia="ru-RU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63634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63634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63634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63634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63634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63634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63634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63634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63634"/>
        <w:sz w:val="24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63634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63634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63634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63634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63634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63634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63634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63634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63634"/>
        <w:sz w:val="24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63634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63634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63634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63634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63634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63634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63634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63634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63634"/>
        <w:sz w:val="24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6363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6363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6363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6363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6363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6363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6363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6363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63634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6363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6363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6363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6363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6363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6363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6363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6363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63634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63634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63634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63634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63634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63634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63634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63634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63634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63634"/>
        <w:sz w:val="24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6363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6363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6363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6363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6363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6363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6363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6363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63634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6363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6363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6363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6363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6363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6363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6363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6363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63634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6363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6363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6363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6363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6363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6363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6363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6363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63634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6363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6363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6363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6363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6363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6363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6363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6363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63634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6363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6363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6363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6363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6363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6363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6363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6363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63634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6363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6363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6363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6363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6363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6363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6363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6363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63634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6363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6363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6363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6363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6363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6363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6363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6363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6363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0">
    <w:name w:val="Heading 1"/>
    <w:basedOn w:val="892"/>
    <w:next w:val="892"/>
    <w:link w:val="72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1">
    <w:name w:val="Heading 1 Char"/>
    <w:basedOn w:val="893"/>
    <w:link w:val="720"/>
    <w:uiPriority w:val="9"/>
    <w:rPr>
      <w:rFonts w:ascii="Arial" w:hAnsi="Arial" w:eastAsia="Arial" w:cs="Arial"/>
      <w:sz w:val="40"/>
      <w:szCs w:val="40"/>
    </w:rPr>
  </w:style>
  <w:style w:type="paragraph" w:styleId="722">
    <w:name w:val="Heading 2"/>
    <w:basedOn w:val="892"/>
    <w:next w:val="892"/>
    <w:link w:val="72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3">
    <w:name w:val="Heading 2 Char"/>
    <w:basedOn w:val="893"/>
    <w:link w:val="722"/>
    <w:uiPriority w:val="9"/>
    <w:rPr>
      <w:rFonts w:ascii="Arial" w:hAnsi="Arial" w:eastAsia="Arial" w:cs="Arial"/>
      <w:sz w:val="34"/>
    </w:rPr>
  </w:style>
  <w:style w:type="paragraph" w:styleId="724">
    <w:name w:val="Heading 3"/>
    <w:basedOn w:val="892"/>
    <w:next w:val="892"/>
    <w:link w:val="72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5">
    <w:name w:val="Heading 3 Char"/>
    <w:basedOn w:val="893"/>
    <w:link w:val="724"/>
    <w:uiPriority w:val="9"/>
    <w:rPr>
      <w:rFonts w:ascii="Arial" w:hAnsi="Arial" w:eastAsia="Arial" w:cs="Arial"/>
      <w:sz w:val="30"/>
      <w:szCs w:val="30"/>
    </w:rPr>
  </w:style>
  <w:style w:type="paragraph" w:styleId="726">
    <w:name w:val="Heading 4"/>
    <w:basedOn w:val="892"/>
    <w:next w:val="892"/>
    <w:link w:val="72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7">
    <w:name w:val="Heading 4 Char"/>
    <w:basedOn w:val="893"/>
    <w:link w:val="726"/>
    <w:uiPriority w:val="9"/>
    <w:rPr>
      <w:rFonts w:ascii="Arial" w:hAnsi="Arial" w:eastAsia="Arial" w:cs="Arial"/>
      <w:b/>
      <w:bCs/>
      <w:sz w:val="26"/>
      <w:szCs w:val="26"/>
    </w:rPr>
  </w:style>
  <w:style w:type="paragraph" w:styleId="728">
    <w:name w:val="Heading 5"/>
    <w:basedOn w:val="892"/>
    <w:next w:val="892"/>
    <w:link w:val="72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9">
    <w:name w:val="Heading 5 Char"/>
    <w:basedOn w:val="893"/>
    <w:link w:val="728"/>
    <w:uiPriority w:val="9"/>
    <w:rPr>
      <w:rFonts w:ascii="Arial" w:hAnsi="Arial" w:eastAsia="Arial" w:cs="Arial"/>
      <w:b/>
      <w:bCs/>
      <w:sz w:val="24"/>
      <w:szCs w:val="24"/>
    </w:rPr>
  </w:style>
  <w:style w:type="paragraph" w:styleId="730">
    <w:name w:val="Heading 6"/>
    <w:basedOn w:val="892"/>
    <w:next w:val="892"/>
    <w:link w:val="73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1">
    <w:name w:val="Heading 6 Char"/>
    <w:basedOn w:val="893"/>
    <w:link w:val="730"/>
    <w:uiPriority w:val="9"/>
    <w:rPr>
      <w:rFonts w:ascii="Arial" w:hAnsi="Arial" w:eastAsia="Arial" w:cs="Arial"/>
      <w:b/>
      <w:bCs/>
      <w:sz w:val="22"/>
      <w:szCs w:val="22"/>
    </w:rPr>
  </w:style>
  <w:style w:type="paragraph" w:styleId="732">
    <w:name w:val="Heading 7"/>
    <w:basedOn w:val="892"/>
    <w:next w:val="892"/>
    <w:link w:val="73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3">
    <w:name w:val="Heading 7 Char"/>
    <w:basedOn w:val="893"/>
    <w:link w:val="7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4">
    <w:name w:val="Heading 8"/>
    <w:basedOn w:val="892"/>
    <w:next w:val="892"/>
    <w:link w:val="73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5">
    <w:name w:val="Heading 8 Char"/>
    <w:basedOn w:val="893"/>
    <w:link w:val="734"/>
    <w:uiPriority w:val="9"/>
    <w:rPr>
      <w:rFonts w:ascii="Arial" w:hAnsi="Arial" w:eastAsia="Arial" w:cs="Arial"/>
      <w:i/>
      <w:iCs/>
      <w:sz w:val="22"/>
      <w:szCs w:val="22"/>
    </w:rPr>
  </w:style>
  <w:style w:type="paragraph" w:styleId="736">
    <w:name w:val="Heading 9"/>
    <w:basedOn w:val="892"/>
    <w:next w:val="892"/>
    <w:link w:val="73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7">
    <w:name w:val="Heading 9 Char"/>
    <w:basedOn w:val="893"/>
    <w:link w:val="736"/>
    <w:uiPriority w:val="9"/>
    <w:rPr>
      <w:rFonts w:ascii="Arial" w:hAnsi="Arial" w:eastAsia="Arial" w:cs="Arial"/>
      <w:i/>
      <w:iCs/>
      <w:sz w:val="21"/>
      <w:szCs w:val="21"/>
    </w:rPr>
  </w:style>
  <w:style w:type="paragraph" w:styleId="738">
    <w:name w:val="No Spacing"/>
    <w:uiPriority w:val="1"/>
    <w:qFormat/>
    <w:pPr>
      <w:spacing w:before="0" w:after="0" w:line="240" w:lineRule="auto"/>
    </w:pPr>
  </w:style>
  <w:style w:type="paragraph" w:styleId="739">
    <w:name w:val="Title"/>
    <w:basedOn w:val="892"/>
    <w:next w:val="892"/>
    <w:link w:val="74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0">
    <w:name w:val="Title Char"/>
    <w:basedOn w:val="893"/>
    <w:link w:val="739"/>
    <w:uiPriority w:val="10"/>
    <w:rPr>
      <w:sz w:val="48"/>
      <w:szCs w:val="48"/>
    </w:rPr>
  </w:style>
  <w:style w:type="paragraph" w:styleId="741">
    <w:name w:val="Subtitle"/>
    <w:basedOn w:val="892"/>
    <w:next w:val="892"/>
    <w:link w:val="742"/>
    <w:uiPriority w:val="11"/>
    <w:qFormat/>
    <w:pPr>
      <w:spacing w:before="200" w:after="200"/>
    </w:pPr>
    <w:rPr>
      <w:sz w:val="24"/>
      <w:szCs w:val="24"/>
    </w:rPr>
  </w:style>
  <w:style w:type="character" w:styleId="742">
    <w:name w:val="Subtitle Char"/>
    <w:basedOn w:val="893"/>
    <w:link w:val="741"/>
    <w:uiPriority w:val="11"/>
    <w:rPr>
      <w:sz w:val="24"/>
      <w:szCs w:val="24"/>
    </w:rPr>
  </w:style>
  <w:style w:type="paragraph" w:styleId="743">
    <w:name w:val="Quote"/>
    <w:basedOn w:val="892"/>
    <w:next w:val="892"/>
    <w:link w:val="744"/>
    <w:uiPriority w:val="29"/>
    <w:qFormat/>
    <w:pPr>
      <w:ind w:left="720" w:right="720"/>
    </w:pPr>
    <w:rPr>
      <w:i/>
    </w:rPr>
  </w:style>
  <w:style w:type="character" w:styleId="744">
    <w:name w:val="Quote Char"/>
    <w:link w:val="743"/>
    <w:uiPriority w:val="29"/>
    <w:rPr>
      <w:i/>
    </w:rPr>
  </w:style>
  <w:style w:type="paragraph" w:styleId="745">
    <w:name w:val="Intense Quote"/>
    <w:basedOn w:val="892"/>
    <w:next w:val="892"/>
    <w:link w:val="74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6">
    <w:name w:val="Intense Quote Char"/>
    <w:link w:val="745"/>
    <w:uiPriority w:val="30"/>
    <w:rPr>
      <w:i/>
    </w:rPr>
  </w:style>
  <w:style w:type="character" w:styleId="747">
    <w:name w:val="Header Char"/>
    <w:basedOn w:val="893"/>
    <w:link w:val="911"/>
    <w:uiPriority w:val="99"/>
  </w:style>
  <w:style w:type="character" w:styleId="748">
    <w:name w:val="Footer Char"/>
    <w:basedOn w:val="893"/>
    <w:link w:val="912"/>
    <w:uiPriority w:val="99"/>
  </w:style>
  <w:style w:type="character" w:styleId="749">
    <w:name w:val="Caption Char"/>
    <w:basedOn w:val="904"/>
    <w:link w:val="912"/>
    <w:uiPriority w:val="99"/>
  </w:style>
  <w:style w:type="table" w:styleId="750">
    <w:name w:val="Table Grid Light"/>
    <w:basedOn w:val="8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>
    <w:name w:val="Plain Table 1"/>
    <w:basedOn w:val="8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2"/>
    <w:basedOn w:val="89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4">
    <w:name w:val="Plain Table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Plain Table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6">
    <w:name w:val="Grid Table 1 Light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4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8">
    <w:name w:val="Grid Table 4 - Accent 1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9">
    <w:name w:val="Grid Table 4 - Accent 2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Grid Table 4 - Accent 3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1">
    <w:name w:val="Grid Table 4 - Accent 4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Grid Table 4 - Accent 5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3">
    <w:name w:val="Grid Table 4 - Accent 6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4">
    <w:name w:val="Grid Table 5 Dark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5">
    <w:name w:val="Grid Table 5 Dark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8">
    <w:name w:val="Grid Table 5 Dark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91">
    <w:name w:val="Grid Table 6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2">
    <w:name w:val="Grid Table 6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3">
    <w:name w:val="Grid Table 6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4">
    <w:name w:val="Grid Table 6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5">
    <w:name w:val="Grid Table 6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6">
    <w:name w:val="Grid Table 6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7">
    <w:name w:val="Grid Table 6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8">
    <w:name w:val="Grid Table 7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3">
    <w:name w:val="List Table 2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4">
    <w:name w:val="List Table 2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5">
    <w:name w:val="List Table 2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6">
    <w:name w:val="List Table 2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7">
    <w:name w:val="List Table 2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8">
    <w:name w:val="List Table 2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9">
    <w:name w:val="List Table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5 Dark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6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1">
    <w:name w:val="List Table 6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2">
    <w:name w:val="List Table 6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3">
    <w:name w:val="List Table 6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4">
    <w:name w:val="List Table 6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5">
    <w:name w:val="List Table 6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6">
    <w:name w:val="List Table 6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7">
    <w:name w:val="List Table 7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8">
    <w:name w:val="List Table 7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49">
    <w:name w:val="List Table 7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50">
    <w:name w:val="List Table 7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51">
    <w:name w:val="List Table 7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52">
    <w:name w:val="List Table 7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53">
    <w:name w:val="List Table 7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54">
    <w:name w:val="Lined - Accent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5">
    <w:name w:val="Lined - Accent 1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6">
    <w:name w:val="Lined - Accent 2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7">
    <w:name w:val="Lined - Accent 3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8">
    <w:name w:val="Lined - Accent 4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9">
    <w:name w:val="Lined - Accent 5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0">
    <w:name w:val="Lined - Accent 6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1">
    <w:name w:val="Bordered &amp; Lined - Accent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2">
    <w:name w:val="Bordered &amp; Lined - Accent 1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3">
    <w:name w:val="Bordered &amp; Lined - Accent 2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4">
    <w:name w:val="Bordered &amp; Lined - Accent 3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5">
    <w:name w:val="Bordered &amp; Lined - Accent 4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6">
    <w:name w:val="Bordered &amp; Lined - Accent 5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7">
    <w:name w:val="Bordered &amp; Lined - Accent 6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8">
    <w:name w:val="Bordered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9">
    <w:name w:val="Bordered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0">
    <w:name w:val="Bordered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1">
    <w:name w:val="Bordered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2">
    <w:name w:val="Bordered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3">
    <w:name w:val="Bordered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4">
    <w:name w:val="Bordered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75">
    <w:name w:val="footnote text"/>
    <w:basedOn w:val="892"/>
    <w:link w:val="876"/>
    <w:uiPriority w:val="99"/>
    <w:semiHidden/>
    <w:unhideWhenUsed/>
    <w:pPr>
      <w:spacing w:after="40" w:line="240" w:lineRule="auto"/>
    </w:pPr>
    <w:rPr>
      <w:sz w:val="18"/>
    </w:rPr>
  </w:style>
  <w:style w:type="character" w:styleId="876">
    <w:name w:val="Footnote Text Char"/>
    <w:link w:val="875"/>
    <w:uiPriority w:val="99"/>
    <w:rPr>
      <w:sz w:val="18"/>
    </w:rPr>
  </w:style>
  <w:style w:type="character" w:styleId="877">
    <w:name w:val="footnote reference"/>
    <w:basedOn w:val="893"/>
    <w:uiPriority w:val="99"/>
    <w:unhideWhenUsed/>
    <w:rPr>
      <w:vertAlign w:val="superscript"/>
    </w:rPr>
  </w:style>
  <w:style w:type="paragraph" w:styleId="878">
    <w:name w:val="endnote text"/>
    <w:basedOn w:val="892"/>
    <w:link w:val="879"/>
    <w:uiPriority w:val="99"/>
    <w:semiHidden/>
    <w:unhideWhenUsed/>
    <w:pPr>
      <w:spacing w:after="0" w:line="240" w:lineRule="auto"/>
    </w:pPr>
    <w:rPr>
      <w:sz w:val="20"/>
    </w:rPr>
  </w:style>
  <w:style w:type="character" w:styleId="879">
    <w:name w:val="Endnote Text Char"/>
    <w:link w:val="878"/>
    <w:uiPriority w:val="99"/>
    <w:rPr>
      <w:sz w:val="20"/>
    </w:rPr>
  </w:style>
  <w:style w:type="character" w:styleId="880">
    <w:name w:val="endnote reference"/>
    <w:basedOn w:val="893"/>
    <w:uiPriority w:val="99"/>
    <w:semiHidden/>
    <w:unhideWhenUsed/>
    <w:rPr>
      <w:vertAlign w:val="superscript"/>
    </w:rPr>
  </w:style>
  <w:style w:type="paragraph" w:styleId="881">
    <w:name w:val="toc 1"/>
    <w:basedOn w:val="892"/>
    <w:next w:val="892"/>
    <w:uiPriority w:val="39"/>
    <w:unhideWhenUsed/>
    <w:pPr>
      <w:ind w:left="0" w:right="0" w:firstLine="0"/>
      <w:spacing w:after="57"/>
    </w:pPr>
  </w:style>
  <w:style w:type="paragraph" w:styleId="882">
    <w:name w:val="toc 2"/>
    <w:basedOn w:val="892"/>
    <w:next w:val="892"/>
    <w:uiPriority w:val="39"/>
    <w:unhideWhenUsed/>
    <w:pPr>
      <w:ind w:left="283" w:right="0" w:firstLine="0"/>
      <w:spacing w:after="57"/>
    </w:pPr>
  </w:style>
  <w:style w:type="paragraph" w:styleId="883">
    <w:name w:val="toc 3"/>
    <w:basedOn w:val="892"/>
    <w:next w:val="892"/>
    <w:uiPriority w:val="39"/>
    <w:unhideWhenUsed/>
    <w:pPr>
      <w:ind w:left="567" w:right="0" w:firstLine="0"/>
      <w:spacing w:after="57"/>
    </w:pPr>
  </w:style>
  <w:style w:type="paragraph" w:styleId="884">
    <w:name w:val="toc 4"/>
    <w:basedOn w:val="892"/>
    <w:next w:val="892"/>
    <w:uiPriority w:val="39"/>
    <w:unhideWhenUsed/>
    <w:pPr>
      <w:ind w:left="850" w:right="0" w:firstLine="0"/>
      <w:spacing w:after="57"/>
    </w:pPr>
  </w:style>
  <w:style w:type="paragraph" w:styleId="885">
    <w:name w:val="toc 5"/>
    <w:basedOn w:val="892"/>
    <w:next w:val="892"/>
    <w:uiPriority w:val="39"/>
    <w:unhideWhenUsed/>
    <w:pPr>
      <w:ind w:left="1134" w:right="0" w:firstLine="0"/>
      <w:spacing w:after="57"/>
    </w:pPr>
  </w:style>
  <w:style w:type="paragraph" w:styleId="886">
    <w:name w:val="toc 6"/>
    <w:basedOn w:val="892"/>
    <w:next w:val="892"/>
    <w:uiPriority w:val="39"/>
    <w:unhideWhenUsed/>
    <w:pPr>
      <w:ind w:left="1417" w:right="0" w:firstLine="0"/>
      <w:spacing w:after="57"/>
    </w:pPr>
  </w:style>
  <w:style w:type="paragraph" w:styleId="887">
    <w:name w:val="toc 7"/>
    <w:basedOn w:val="892"/>
    <w:next w:val="892"/>
    <w:uiPriority w:val="39"/>
    <w:unhideWhenUsed/>
    <w:pPr>
      <w:ind w:left="1701" w:right="0" w:firstLine="0"/>
      <w:spacing w:after="57"/>
    </w:pPr>
  </w:style>
  <w:style w:type="paragraph" w:styleId="888">
    <w:name w:val="toc 8"/>
    <w:basedOn w:val="892"/>
    <w:next w:val="892"/>
    <w:uiPriority w:val="39"/>
    <w:unhideWhenUsed/>
    <w:pPr>
      <w:ind w:left="1984" w:right="0" w:firstLine="0"/>
      <w:spacing w:after="57"/>
    </w:pPr>
  </w:style>
  <w:style w:type="paragraph" w:styleId="889">
    <w:name w:val="toc 9"/>
    <w:basedOn w:val="892"/>
    <w:next w:val="892"/>
    <w:uiPriority w:val="39"/>
    <w:unhideWhenUsed/>
    <w:pPr>
      <w:ind w:left="2268" w:right="0" w:firstLine="0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892"/>
    <w:next w:val="892"/>
    <w:uiPriority w:val="99"/>
    <w:unhideWhenUsed/>
    <w:pPr>
      <w:spacing w:after="0" w:afterAutospacing="0"/>
    </w:pPr>
  </w:style>
  <w:style w:type="paragraph" w:styleId="892" w:default="1">
    <w:name w:val="Normal"/>
    <w:qFormat/>
    <w:pPr>
      <w:spacing w:after="160" w:line="259" w:lineRule="auto"/>
    </w:pPr>
  </w:style>
  <w:style w:type="character" w:styleId="893" w:default="1">
    <w:name w:val="Default Paragraph Font"/>
    <w:uiPriority w:val="1"/>
    <w:semiHidden/>
    <w:unhideWhenUsed/>
  </w:style>
  <w:style w:type="table" w:styleId="8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5" w:default="1">
    <w:name w:val="No List"/>
    <w:uiPriority w:val="99"/>
    <w:semiHidden/>
    <w:unhideWhenUsed/>
  </w:style>
  <w:style w:type="character" w:styleId="896" w:customStyle="1">
    <w:name w:val="Текст выноски Знак"/>
    <w:basedOn w:val="893"/>
    <w:link w:val="907"/>
    <w:uiPriority w:val="99"/>
    <w:semiHidden/>
    <w:qFormat/>
    <w:rPr>
      <w:rFonts w:ascii="Segoe UI" w:hAnsi="Segoe UI" w:cs="Segoe UI"/>
      <w:sz w:val="18"/>
      <w:szCs w:val="18"/>
    </w:rPr>
  </w:style>
  <w:style w:type="character" w:styleId="897" w:customStyle="1">
    <w:name w:val="Основной текст 2 Знак"/>
    <w:basedOn w:val="893"/>
    <w:link w:val="909"/>
    <w:qFormat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898" w:customStyle="1">
    <w:name w:val="Верхний колонтитул Знак"/>
    <w:basedOn w:val="893"/>
    <w:link w:val="911"/>
    <w:uiPriority w:val="99"/>
    <w:qFormat/>
  </w:style>
  <w:style w:type="character" w:styleId="899" w:customStyle="1">
    <w:name w:val="Нижний колонтитул Знак"/>
    <w:basedOn w:val="893"/>
    <w:link w:val="912"/>
    <w:uiPriority w:val="99"/>
    <w:qFormat/>
  </w:style>
  <w:style w:type="character" w:styleId="900" w:customStyle="1">
    <w:name w:val="Интернет-ссылка"/>
    <w:rPr>
      <w:color w:val="0000ff"/>
      <w:u w:val="single"/>
    </w:rPr>
  </w:style>
  <w:style w:type="paragraph" w:styleId="901" w:customStyle="1">
    <w:name w:val="Заголовок"/>
    <w:basedOn w:val="892"/>
    <w:next w:val="902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902">
    <w:name w:val="Body Text"/>
    <w:basedOn w:val="892"/>
    <w:pPr>
      <w:spacing w:after="140" w:line="276" w:lineRule="auto"/>
    </w:pPr>
  </w:style>
  <w:style w:type="paragraph" w:styleId="903">
    <w:name w:val="List"/>
    <w:basedOn w:val="902"/>
    <w:rPr>
      <w:rFonts w:ascii="PT Astra Serif" w:hAnsi="PT Astra Serif" w:cs="Noto Sans Devanagari"/>
    </w:rPr>
  </w:style>
  <w:style w:type="paragraph" w:styleId="904">
    <w:name w:val="Caption"/>
    <w:basedOn w:val="892"/>
    <w:qFormat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905">
    <w:name w:val="index heading"/>
    <w:basedOn w:val="892"/>
    <w:qFormat/>
    <w:pPr>
      <w:suppressLineNumbers/>
    </w:pPr>
    <w:rPr>
      <w:rFonts w:ascii="PT Astra Serif" w:hAnsi="PT Astra Serif" w:cs="Noto Sans Devanagari"/>
    </w:rPr>
  </w:style>
  <w:style w:type="paragraph" w:styleId="906">
    <w:name w:val="List Paragraph"/>
    <w:basedOn w:val="892"/>
    <w:uiPriority w:val="34"/>
    <w:qFormat/>
    <w:pPr>
      <w:contextualSpacing/>
      <w:ind w:left="720"/>
    </w:pPr>
  </w:style>
  <w:style w:type="paragraph" w:styleId="907">
    <w:name w:val="Balloon Text"/>
    <w:basedOn w:val="892"/>
    <w:link w:val="89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908" w:customStyle="1">
    <w:name w:val="Знак Знак2"/>
    <w:basedOn w:val="892"/>
    <w:qFormat/>
    <w:pPr>
      <w:spacing w:beforeAutospacing="1" w:afterAutospacing="1" w:line="240" w:lineRule="auto"/>
    </w:pPr>
    <w:rPr>
      <w:rFonts w:ascii="Tahoma" w:hAnsi="Tahoma" w:eastAsia="Times New Roman" w:cs="Times New Roman"/>
      <w:sz w:val="20"/>
      <w:szCs w:val="20"/>
      <w:lang w:val="en-US"/>
    </w:rPr>
  </w:style>
  <w:style w:type="paragraph" w:styleId="909">
    <w:name w:val="Body Text 2"/>
    <w:basedOn w:val="892"/>
    <w:link w:val="897"/>
    <w:qFormat/>
    <w:pPr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910" w:customStyle="1">
    <w:name w:val="Колонтитул"/>
    <w:basedOn w:val="892"/>
    <w:qFormat/>
  </w:style>
  <w:style w:type="paragraph" w:styleId="911">
    <w:name w:val="Header"/>
    <w:basedOn w:val="892"/>
    <w:link w:val="89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912">
    <w:name w:val="Footer"/>
    <w:basedOn w:val="892"/>
    <w:link w:val="89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913" w:customStyle="1">
    <w:name w:val="Содержимое таблицы"/>
    <w:basedOn w:val="892"/>
    <w:qFormat/>
    <w:pPr>
      <w:widowControl w:val="off"/>
      <w:suppressLineNumbers/>
    </w:pPr>
  </w:style>
  <w:style w:type="paragraph" w:styleId="914" w:customStyle="1">
    <w:name w:val="Заголовок таблицы"/>
    <w:basedOn w:val="913"/>
    <w:qFormat/>
    <w:pPr>
      <w:jc w:val="center"/>
    </w:pPr>
    <w:rPr>
      <w:b/>
      <w:bCs/>
    </w:rPr>
  </w:style>
  <w:style w:type="table" w:styleId="915">
    <w:name w:val="Table Grid"/>
    <w:basedOn w:val="8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16">
    <w:name w:val="Hyperlink"/>
    <w:basedOn w:val="893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://publication.pravo.gov.ru/document/0001202411300050?index=1" TargetMode="External"/><Relationship Id="rId11" Type="http://schemas.openxmlformats.org/officeDocument/2006/relationships/image" Target="media/image1.png"/><Relationship Id="rId12" Type="http://schemas.openxmlformats.org/officeDocument/2006/relationships/hyperlink" Target="https://xn--80ajghhoc2aj1c8b.xn--p1ai/business/projects/dietarysup/registration/manufacturer/register/" TargetMode="External"/><Relationship Id="rId13" Type="http://schemas.openxmlformats.org/officeDocument/2006/relationships/hyperlink" Target="https://xn--80ajghhoc2aj1c8b.xn--p1ai/business/projects/dietarysup/technical-calculator/" TargetMode="External"/><Relationship Id="rId14" Type="http://schemas.openxmlformats.org/officeDocument/2006/relationships/hyperlink" Target="https://xn--80ajghhoc2aj1c8b.xn--p1ai/business/projects/dietarysup/partners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5D2B2-E331-48D6-B8CB-CDFF804E0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VIKTORIYA SHCHETKINA</dc:creator>
  <dc:description/>
  <dc:language>ru-RU</dc:language>
  <cp:revision>20</cp:revision>
  <dcterms:created xsi:type="dcterms:W3CDTF">2023-06-23T05:37:00Z</dcterms:created>
  <dcterms:modified xsi:type="dcterms:W3CDTF">2025-02-05T06:39:57Z</dcterms:modified>
</cp:coreProperties>
</file>