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0" w:after="0"/>
        <w:shd w:val="clear" w:color="ffffff" w:fill="ffffff"/>
        <w:rPr>
          <w:rFonts w:ascii="Arial" w:hAnsi="Arial" w:eastAsia="Arial" w:cs="Arial"/>
          <w:color w:val="363634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363634"/>
          <w:sz w:val="24"/>
          <w:highlight w:val="white"/>
        </w:rPr>
        <w:t xml:space="preserve">С 1 марта 2025 года вступает в силу</w:t>
      </w:r>
      <w:r>
        <w:rPr>
          <w:rFonts w:ascii="Arial" w:hAnsi="Arial" w:eastAsia="Arial" w:cs="Arial"/>
          <w:b/>
          <w:bCs/>
          <w:color w:val="363634"/>
          <w:sz w:val="24"/>
          <w:highlight w:val="none"/>
        </w:rPr>
        <w:t xml:space="preserve"> </w:t>
      </w:r>
      <w:hyperlink r:id="rId10" w:tooltip="http://publication.pravo.gov.ru/document/0001202411300050?index=1" w:history="1">
        <w:r>
          <w:rPr>
            <w:rStyle w:val="896"/>
            <w:rFonts w:ascii="Arial" w:hAnsi="Arial" w:eastAsia="Arial" w:cs="Arial"/>
            <w:b/>
            <w:bCs/>
            <w:color w:val="2386e0"/>
            <w:sz w:val="24"/>
            <w:highlight w:val="white"/>
          </w:rPr>
          <w:t xml:space="preserve">Постановление Правительства РФ от 30.11.2024 №1680</w:t>
        </w:r>
      </w:hyperlink>
      <w:r>
        <w:rPr>
          <w:rFonts w:ascii="Arial" w:hAnsi="Arial" w:eastAsia="Arial" w:cs="Arial"/>
          <w:b/>
          <w:bCs/>
          <w:color w:val="363634"/>
          <w:sz w:val="24"/>
          <w:highlight w:val="none"/>
        </w:rPr>
        <w:t xml:space="preserve"> </w:t>
      </w:r>
      <w:r>
        <w:rPr>
          <w:rFonts w:ascii="Arial" w:hAnsi="Arial" w:eastAsia="Arial" w:cs="Arial"/>
          <w:b/>
          <w:bCs/>
          <w:color w:val="363634"/>
          <w:sz w:val="24"/>
          <w:highlight w:val="white"/>
        </w:rPr>
        <w:t xml:space="preserve">по расширению перечня к обязательной маркировке антисептиков (кожных антисептиков/дезинфицирующих средств). В этой статье мы разберемся со сроками, а также какие антисептики попадают во вторую волну.</w:t>
      </w:r>
      <w:r>
        <w:rPr>
          <w:rFonts w:ascii="Arial" w:hAnsi="Arial" w:eastAsia="Arial" w:cs="Arial"/>
          <w:color w:val="363634"/>
          <w:sz w:val="24"/>
          <w:highlight w:val="white"/>
        </w:rPr>
      </w:r>
      <w:r>
        <w:rPr>
          <w:rFonts w:ascii="Arial" w:hAnsi="Arial" w:eastAsia="Arial" w:cs="Arial"/>
          <w:sz w:val="24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Arial" w:hAnsi="Arial" w:eastAsia="Arial" w:cs="Arial"/>
          <w:color w:val="363634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  <w:szCs w:val="24"/>
          <w:highlight w:val="white"/>
        </w:rPr>
      </w:r>
      <w:r>
        <w:rPr>
          <w:rFonts w:ascii="Arial" w:hAnsi="Arial" w:eastAsia="Arial" w:cs="Arial"/>
          <w:color w:val="363634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Arial" w:hAnsi="Arial" w:eastAsia="Arial" w:cs="Arial"/>
          <w:color w:val="363634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  <w:highlight w:val="none"/>
        </w:rPr>
      </w:r>
      <w:r>
        <w:rPr>
          <w:rFonts w:ascii="Arial" w:hAnsi="Arial" w:eastAsia="Arial" w:cs="Arial"/>
          <w:color w:val="363634"/>
          <w:sz w:val="24"/>
          <w:highlight w:val="none"/>
        </w:rPr>
      </w:r>
    </w:p>
    <w:p>
      <w:pPr>
        <w:ind w:left="0" w:right="0" w:firstLine="709"/>
        <w:spacing w:before="0" w:after="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  <w:highlight w:val="white"/>
        </w:rPr>
      </w:r>
      <w:r>
        <w:rPr>
          <w:rFonts w:ascii="Arial" w:hAnsi="Arial" w:eastAsia="Arial" w:cs="Arial"/>
          <w:b/>
          <w:color w:val="363634"/>
        </w:rPr>
        <w:t xml:space="preserve">Для чего нужна маркировка антисептиков?</w:t>
      </w:r>
      <w:r>
        <w:rPr>
          <w:rFonts w:ascii="Arial" w:hAnsi="Arial" w:eastAsia="Arial" w:cs="Arial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color w:val="363634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  <w:highlight w:val="white"/>
        </w:rPr>
        <w:t xml:space="preserve">Маркировка в этой категории вводится по инициативе самого бизнеса и призвана сократить нелегальный оборот антисептической продукции. В пилотном проекте по маркировке антисептиков приняли участие 7828 предприятий, из них 152 – производители, 241 – импортеры</w:t>
      </w:r>
      <w:r>
        <w:rPr>
          <w:rFonts w:ascii="Arial" w:hAnsi="Arial" w:eastAsia="Arial" w:cs="Arial"/>
          <w:color w:val="363634"/>
          <w:sz w:val="24"/>
          <w:highlight w:val="white"/>
        </w:rPr>
        <w:t xml:space="preserve">, а остальные – представители оптово-розничного сегмента. По оценкам НИУ ВШЭ, доля незаконных антисептиков на рынке превышает 50%, а введение цифровой маркировки позволит снизить долю контрафакта на этом рынке и приведет к увеличению доходов легальных прои</w:t>
      </w:r>
      <w:r>
        <w:rPr>
          <w:rFonts w:ascii="Arial" w:hAnsi="Arial" w:eastAsia="Arial" w:cs="Arial"/>
          <w:color w:val="363634"/>
          <w:sz w:val="24"/>
          <w:highlight w:val="white"/>
        </w:rPr>
        <w:t xml:space="preserve">зводителей до 0,7 млрд рублей.</w:t>
        <w:br/>
      </w:r>
      <w:r>
        <w:rPr>
          <w:rFonts w:ascii="Arial" w:hAnsi="Arial" w:eastAsia="Arial" w:cs="Arial"/>
          <w:sz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sz w:val="24"/>
          <w:highlight w:val="white"/>
        </w:rPr>
      </w:r>
      <w:r>
        <w:rPr>
          <w:rFonts w:ascii="Arial" w:hAnsi="Arial" w:eastAsia="Arial" w:cs="Arial"/>
          <w:b/>
          <w:color w:val="363634"/>
        </w:rPr>
        <w:t xml:space="preserve">Сроки обязательной маркировки расширенного перечня</w:t>
      </w:r>
      <w:r>
        <w:rPr>
          <w:rFonts w:ascii="Arial" w:hAnsi="Arial" w:eastAsia="Arial" w:cs="Arial"/>
          <w:sz w:val="24"/>
        </w:rPr>
      </w:r>
      <w:r/>
    </w:p>
    <w:p>
      <w:pPr>
        <w:pStyle w:val="886"/>
        <w:numPr>
          <w:ilvl w:val="0"/>
          <w:numId w:val="33"/>
        </w:numPr>
        <w:ind w:right="0"/>
        <w:jc w:val="both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 1 марта 2025 г.</w:t>
      </w:r>
      <w:r>
        <w:rPr>
          <w:rFonts w:ascii="Arial" w:hAnsi="Arial" w:eastAsia="Arial" w:cs="Arial"/>
          <w:color w:val="363634"/>
          <w:sz w:val="24"/>
        </w:rPr>
        <w:t xml:space="preserve"> — старт обязательной маркировки для нового перечня антисептиков. Производители и импортеры подают сведения о нанесении и вводе товаров в оборот;</w:t>
      </w:r>
      <w:r/>
    </w:p>
    <w:p>
      <w:pPr>
        <w:pStyle w:val="886"/>
        <w:numPr>
          <w:ilvl w:val="0"/>
          <w:numId w:val="34"/>
        </w:numPr>
        <w:ind w:right="0"/>
        <w:jc w:val="both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до 31 марта 2025 г. (включительно)</w:t>
      </w:r>
      <w:r>
        <w:rPr>
          <w:rFonts w:ascii="Arial" w:hAnsi="Arial" w:eastAsia="Arial" w:cs="Arial"/>
          <w:color w:val="363634"/>
          <w:sz w:val="24"/>
        </w:rPr>
        <w:t xml:space="preserve"> — импортеры осуществляют маркировку антисептиков, приобретенных по 28 февраля 2025 г. (включительно) и выпущенных таможенными органами в соответствии с таможенными процедурами выпуска после 1 марта 2025 г., и вносят в систему маркировки сведения о маркиро</w:t>
      </w:r>
      <w:r>
        <w:rPr>
          <w:rFonts w:ascii="Arial" w:hAnsi="Arial" w:eastAsia="Arial" w:cs="Arial"/>
          <w:color w:val="363634"/>
          <w:sz w:val="24"/>
        </w:rPr>
        <w:t xml:space="preserve">вке таких товаров;</w:t>
      </w:r>
      <w:r/>
    </w:p>
    <w:p>
      <w:pPr>
        <w:pStyle w:val="886"/>
        <w:numPr>
          <w:ilvl w:val="0"/>
          <w:numId w:val="35"/>
        </w:numPr>
        <w:ind w:right="0"/>
        <w:jc w:val="both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 1 сентября 2025 г.</w:t>
      </w:r>
      <w:r>
        <w:rPr>
          <w:rFonts w:ascii="Arial" w:hAnsi="Arial" w:eastAsia="Arial" w:cs="Arial"/>
          <w:color w:val="363634"/>
          <w:sz w:val="24"/>
        </w:rPr>
        <w:t xml:space="preserve"> - запрет реализации немаркированных остатков;</w:t>
      </w:r>
      <w:r/>
    </w:p>
    <w:p>
      <w:pPr>
        <w:pStyle w:val="886"/>
        <w:numPr>
          <w:ilvl w:val="0"/>
          <w:numId w:val="36"/>
        </w:numPr>
        <w:ind w:right="0"/>
        <w:jc w:val="both"/>
        <w:spacing w:before="0" w:after="24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 1 сентября 2025 г.</w:t>
      </w:r>
      <w:r>
        <w:rPr>
          <w:rFonts w:ascii="Arial" w:hAnsi="Arial" w:eastAsia="Arial" w:cs="Arial"/>
          <w:color w:val="363634"/>
          <w:sz w:val="24"/>
        </w:rPr>
        <w:t xml:space="preserve"> — появляется обязанность передачи сведений в систему маркировки о поэкземплярном выводе из оборота для всех участников оборота, в том числе необходимо передавать сведения о розничных продажах с применением контрольно-кассовой техники (ККТ), а также обязан</w:t>
      </w:r>
      <w:r>
        <w:rPr>
          <w:rFonts w:ascii="Arial" w:hAnsi="Arial" w:eastAsia="Arial" w:cs="Arial"/>
          <w:color w:val="363634"/>
          <w:sz w:val="24"/>
        </w:rPr>
        <w:t xml:space="preserve">ность передачи сведений об обороте посредством УПД через ЭДО;</w:t>
      </w:r>
      <w:r/>
    </w:p>
    <w:p>
      <w:pPr>
        <w:pStyle w:val="886"/>
        <w:numPr>
          <w:ilvl w:val="0"/>
          <w:numId w:val="37"/>
        </w:numPr>
        <w:ind w:right="0"/>
        <w:jc w:val="both"/>
        <w:spacing w:before="0"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 1 сентября 2025 г. по 28 февраля 2026 г.</w:t>
      </w:r>
      <w:r>
        <w:rPr>
          <w:rFonts w:ascii="Arial" w:hAnsi="Arial" w:eastAsia="Arial" w:cs="Arial"/>
          <w:color w:val="363634"/>
          <w:sz w:val="24"/>
        </w:rPr>
        <w:t xml:space="preserve"> - возможность маркировки остатков товаров расширенного списка, которые произведены / ввезены в РФ до обязательной маркировки (до 1 марта 2025 г.)</w:t>
      </w:r>
      <w:r/>
    </w:p>
    <w:p>
      <w:pPr>
        <w:pStyle w:val="704"/>
        <w:ind w:left="0" w:right="0" w:firstLine="0"/>
        <w:spacing w:before="504" w:after="252" w:line="486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Какие товары входят во вторую волну маркировки?</w:t>
      </w:r>
      <w:r/>
    </w:p>
    <w:tbl>
      <w:tblPr>
        <w:tblStyle w:val="8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1"/>
        <w:gridCol w:w="2323"/>
        <w:gridCol w:w="6620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363634"/>
              </w:rPr>
              <w:t xml:space="preserve">Код ОКПД 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2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363634"/>
              </w:rPr>
              <w:t xml:space="preserve">Код ТН ВЭД ЕАЭС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363634"/>
              </w:rPr>
              <w:t xml:space="preserve">Наименование позиции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1" w:type="dxa"/>
            <w:vAlign w:val="center"/>
            <w:vMerge w:val="restart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20.20.14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2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3808 94 100 0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Средства дезинфицирующие на основе четвертичных аммониевых солей, расфасованные в формы или упаковки для розничной продажи или представленные в виде готовых препаратов или изделий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2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3808 94 300 0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Средства дезинфицирующие на основе галогенированных соединений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2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3808 94 800 0 (только для поверхностных дезинфицирующих средств)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2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363634"/>
                <w:sz w:val="24"/>
              </w:rPr>
              <w:t xml:space="preserve">Прочие дезинфицирующие средства</w:t>
            </w:r>
            <w:r/>
          </w:p>
        </w:tc>
      </w:tr>
    </w:tbl>
    <w:p>
      <w:pPr>
        <w:rPr>
          <w:rFonts w:ascii="Arial" w:hAnsi="Arial" w:eastAsia="Arial" w:cs="Arial"/>
          <w:color w:val="363634"/>
          <w:sz w:val="24"/>
          <w:szCs w:val="24"/>
          <w:highlight w:val="white"/>
        </w:rPr>
      </w:pPr>
      <w:r>
        <w:br/>
      </w:r>
      <w:r>
        <w:rPr>
          <w:rFonts w:ascii="Arial" w:hAnsi="Arial" w:eastAsia="Arial" w:cs="Arial"/>
          <w:color w:val="363634"/>
          <w:sz w:val="24"/>
          <w:highlight w:val="white"/>
        </w:rPr>
        <w:t xml:space="preserve">Для определения обязательности маркировки рекомендуем ориентироваться на ТН ВЭД и ОКПД2, указанные в разрешительной документации.</w:t>
      </w:r>
      <w:r>
        <w:rPr>
          <w:highlight w:val="none"/>
        </w:rPr>
      </w:r>
    </w:p>
    <w:p>
      <w:pPr>
        <w:rPr>
          <w:highlight w:val="none"/>
        </w:rPr>
      </w:pPr>
      <w:r>
        <w:rPr>
          <w:rFonts w:ascii="Arial" w:hAnsi="Arial" w:eastAsia="Arial" w:cs="Arial"/>
          <w:b/>
          <w:color w:val="363634"/>
          <w:highlight w:val="none"/>
        </w:rPr>
      </w:r>
      <w:r>
        <w:rPr>
          <w:rFonts w:ascii="Arial" w:hAnsi="Arial" w:eastAsia="Arial" w:cs="Arial"/>
          <w:b/>
          <w:color w:val="363634"/>
          <w:highlight w:val="none"/>
        </w:rPr>
      </w:r>
    </w:p>
    <w:p>
      <w:pPr>
        <w:rPr>
          <w:rFonts w:ascii="Arial" w:hAnsi="Arial" w:eastAsia="Arial" w:cs="Arial"/>
          <w:b/>
          <w:bCs/>
          <w:color w:val="363634"/>
          <w:highlight w:val="none"/>
        </w:rPr>
      </w:pPr>
      <w:r>
        <w:rPr>
          <w:rFonts w:ascii="Arial" w:hAnsi="Arial" w:eastAsia="Arial" w:cs="Arial"/>
          <w:color w:val="363634"/>
          <w:sz w:val="24"/>
          <w:highlight w:val="white"/>
        </w:rPr>
      </w:r>
      <w:r>
        <w:rPr>
          <w:rFonts w:ascii="Arial" w:hAnsi="Arial" w:eastAsia="Arial" w:cs="Arial"/>
          <w:b/>
          <w:color w:val="363634"/>
        </w:rPr>
        <w:t xml:space="preserve">Полезные ссылки</w:t>
      </w:r>
      <w:r>
        <w:rPr>
          <w:highlight w:val="none"/>
        </w:rPr>
      </w:r>
      <w:r/>
    </w:p>
    <w:p>
      <w:r>
        <w:rPr>
          <w:rFonts w:ascii="Arial" w:hAnsi="Arial" w:eastAsia="Arial" w:cs="Arial"/>
          <w:color w:val="363634"/>
          <w:sz w:val="24"/>
          <w:highlight w:val="white"/>
        </w:rPr>
        <w:t xml:space="preserve">Если у вас еще остались вопросы, то в таком случае мы собрали для вас полезные ссылки, в которых вы можете найти ответы на них. Если же ответа на ваш вопрос там не окажется, то вы всегда можете задать его в комментариях под этой статьей и эксперты «Честног</w:t>
      </w:r>
      <w:r>
        <w:rPr>
          <w:rFonts w:ascii="Arial" w:hAnsi="Arial" w:eastAsia="Arial" w:cs="Arial"/>
          <w:color w:val="363634"/>
          <w:sz w:val="24"/>
          <w:highlight w:val="white"/>
        </w:rPr>
        <w:t xml:space="preserve">о знака» обязательно вам ответят!</w:t>
        <w:br/>
      </w:r>
      <w:hyperlink r:id="rId11" w:tooltip="https://xn--80ajghhoc2aj1c8b.xn--p1ai/business/projects/antiseptic/registration/" w:history="1">
        <w:r>
          <w:rPr>
            <w:rStyle w:val="896"/>
            <w:rFonts w:ascii="Arial" w:hAnsi="Arial" w:eastAsia="Arial" w:cs="Arial"/>
            <w:color w:val="2386e0"/>
            <w:sz w:val="24"/>
            <w:highlight w:val="white"/>
          </w:rPr>
          <w:t xml:space="preserve">Подробная пошаговая инструкция по работе с маркировкой</w:t>
        </w:r>
      </w:hyperlink>
      <w:r>
        <w:br/>
      </w:r>
      <w:hyperlink r:id="rId12" w:tooltip="https://xn--80ajghhoc2aj1c8b.xn--p1ai/business/projects/antiseptic/technical-calculator/" w:history="1">
        <w:r>
          <w:rPr>
            <w:rStyle w:val="896"/>
            <w:rFonts w:ascii="Arial" w:hAnsi="Arial" w:eastAsia="Arial" w:cs="Arial"/>
            <w:color w:val="2386e0"/>
            <w:sz w:val="24"/>
            <w:highlight w:val="white"/>
          </w:rPr>
          <w:t xml:space="preserve">Подбор технических решений</w:t>
        </w:r>
      </w:hyperlink>
      <w:r>
        <w:br/>
      </w:r>
      <w:hyperlink r:id="rId13" w:tooltip="https://xn--80ajghhoc2aj1c8b.xn--p1ai/business/projects/antiseptic/partners/" w:history="1">
        <w:r>
          <w:rPr>
            <w:rStyle w:val="896"/>
            <w:rFonts w:ascii="Arial" w:hAnsi="Arial" w:eastAsia="Arial" w:cs="Arial"/>
            <w:color w:val="2386e0"/>
            <w:sz w:val="24"/>
            <w:highlight w:val="white"/>
          </w:rPr>
          <w:t xml:space="preserve">Технологические партнеры и интеграторы</w:t>
        </w:r>
      </w:hyperlink>
      <w:r/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  <w:tabs>
          <w:tab w:val="num" w:pos="855" w:leader="none"/>
        </w:tabs>
      </w:pPr>
      <w:rPr>
        <w:rFonts w:hint="default" w:ascii="Times New Roman" w:hAnsi="Times New Roman" w:cs="Times New Roman"/>
        <w:bCs/>
        <w:sz w:val="28"/>
        <w:szCs w:val="28"/>
        <w:highlight w:val="white"/>
        <w:lang w:eastAsia="ru-RU"/>
      </w:rPr>
    </w:lvl>
    <w:lvl w:ilvl="2">
      <w:start w:val="1"/>
      <w:numFmt w:val="decimal"/>
      <w:lvlRestart w:val="1"/>
      <w:isLgl w:val="false"/>
      <w:suff w:val="tab"/>
      <w:lvlText w:val="%1.%2.%3."/>
      <w:lvlJc w:val="left"/>
      <w:pPr>
        <w:ind w:left="1288" w:hanging="72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2"/>
    <w:next w:val="872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3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2"/>
    <w:next w:val="8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3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3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3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3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3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3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2"/>
    <w:next w:val="872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3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3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3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3"/>
    <w:link w:val="891"/>
    <w:uiPriority w:val="99"/>
  </w:style>
  <w:style w:type="character" w:styleId="728">
    <w:name w:val="Footer Char"/>
    <w:basedOn w:val="873"/>
    <w:link w:val="892"/>
    <w:uiPriority w:val="99"/>
  </w:style>
  <w:style w:type="character" w:styleId="729">
    <w:name w:val="Caption Char"/>
    <w:basedOn w:val="884"/>
    <w:link w:val="892"/>
    <w:uiPriority w:val="99"/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160" w:line="259" w:lineRule="auto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character" w:styleId="876" w:customStyle="1">
    <w:name w:val="Текст выноски Знак"/>
    <w:basedOn w:val="873"/>
    <w:link w:val="887"/>
    <w:uiPriority w:val="99"/>
    <w:semiHidden/>
    <w:qFormat/>
    <w:rPr>
      <w:rFonts w:ascii="Segoe UI" w:hAnsi="Segoe UI" w:cs="Segoe UI"/>
      <w:sz w:val="18"/>
      <w:szCs w:val="18"/>
    </w:rPr>
  </w:style>
  <w:style w:type="character" w:styleId="877" w:customStyle="1">
    <w:name w:val="Основной текст 2 Знак"/>
    <w:basedOn w:val="873"/>
    <w:link w:val="88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8" w:customStyle="1">
    <w:name w:val="Верхний колонтитул Знак"/>
    <w:basedOn w:val="873"/>
    <w:link w:val="891"/>
    <w:uiPriority w:val="99"/>
    <w:qFormat/>
  </w:style>
  <w:style w:type="character" w:styleId="879" w:customStyle="1">
    <w:name w:val="Нижний колонтитул Знак"/>
    <w:basedOn w:val="873"/>
    <w:link w:val="892"/>
    <w:uiPriority w:val="99"/>
    <w:qFormat/>
  </w:style>
  <w:style w:type="character" w:styleId="880" w:customStyle="1">
    <w:name w:val="Интернет-ссылка"/>
    <w:rPr>
      <w:color w:val="0000ff"/>
      <w:u w:val="single"/>
    </w:rPr>
  </w:style>
  <w:style w:type="paragraph" w:styleId="881" w:customStyle="1">
    <w:name w:val="Заголовок"/>
    <w:basedOn w:val="872"/>
    <w:next w:val="88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82">
    <w:name w:val="Body Text"/>
    <w:basedOn w:val="872"/>
    <w:pPr>
      <w:spacing w:after="140" w:line="276" w:lineRule="auto"/>
    </w:pPr>
  </w:style>
  <w:style w:type="paragraph" w:styleId="883">
    <w:name w:val="List"/>
    <w:basedOn w:val="882"/>
    <w:rPr>
      <w:rFonts w:ascii="PT Astra Serif" w:hAnsi="PT Astra Serif" w:cs="Noto Sans Devanagari"/>
    </w:rPr>
  </w:style>
  <w:style w:type="paragraph" w:styleId="884">
    <w:name w:val="Caption"/>
    <w:basedOn w:val="872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5">
    <w:name w:val="index heading"/>
    <w:basedOn w:val="872"/>
    <w:qFormat/>
    <w:pPr>
      <w:suppressLineNumbers/>
    </w:pPr>
    <w:rPr>
      <w:rFonts w:ascii="PT Astra Serif" w:hAnsi="PT Astra Serif" w:cs="Noto Sans Devanagari"/>
    </w:rPr>
  </w:style>
  <w:style w:type="paragraph" w:styleId="886">
    <w:name w:val="List Paragraph"/>
    <w:basedOn w:val="872"/>
    <w:uiPriority w:val="34"/>
    <w:qFormat/>
    <w:pPr>
      <w:contextualSpacing/>
      <w:ind w:left="720"/>
    </w:pPr>
  </w:style>
  <w:style w:type="paragraph" w:styleId="887">
    <w:name w:val="Balloon Text"/>
    <w:basedOn w:val="872"/>
    <w:link w:val="87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88" w:customStyle="1">
    <w:name w:val="Знак Знак2"/>
    <w:basedOn w:val="872"/>
    <w:qFormat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89">
    <w:name w:val="Body Text 2"/>
    <w:basedOn w:val="872"/>
    <w:link w:val="877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0" w:customStyle="1">
    <w:name w:val="Колонтитул"/>
    <w:basedOn w:val="872"/>
    <w:qFormat/>
  </w:style>
  <w:style w:type="paragraph" w:styleId="891">
    <w:name w:val="Header"/>
    <w:basedOn w:val="872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92">
    <w:name w:val="Footer"/>
    <w:basedOn w:val="872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93" w:customStyle="1">
    <w:name w:val="Содержимое таблицы"/>
    <w:basedOn w:val="872"/>
    <w:qFormat/>
    <w:pPr>
      <w:widowControl w:val="off"/>
      <w:suppressLineNumbers/>
    </w:pPr>
  </w:style>
  <w:style w:type="paragraph" w:styleId="894" w:customStyle="1">
    <w:name w:val="Заголовок таблицы"/>
    <w:basedOn w:val="893"/>
    <w:qFormat/>
    <w:pPr>
      <w:jc w:val="center"/>
    </w:pPr>
    <w:rPr>
      <w:b/>
      <w:bCs/>
    </w:rPr>
  </w:style>
  <w:style w:type="table" w:styleId="895">
    <w:name w:val="Table Grid"/>
    <w:basedOn w:val="87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Hyperlink"/>
    <w:basedOn w:val="87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ublication.pravo.gov.ru/document/0001202411300050?index=1" TargetMode="External"/><Relationship Id="rId11" Type="http://schemas.openxmlformats.org/officeDocument/2006/relationships/hyperlink" Target="https://xn--80ajghhoc2aj1c8b.xn--p1ai/business/projects/antiseptic/registration/" TargetMode="External"/><Relationship Id="rId12" Type="http://schemas.openxmlformats.org/officeDocument/2006/relationships/hyperlink" Target="https://xn--80ajghhoc2aj1c8b.xn--p1ai/business/projects/antiseptic/technical-calculator/" TargetMode="External"/><Relationship Id="rId13" Type="http://schemas.openxmlformats.org/officeDocument/2006/relationships/hyperlink" Target="https://xn--80ajghhoc2aj1c8b.xn--p1ai/business/projects/antiseptic/partner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D2B2-E331-48D6-B8CB-CDFF804E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SHCHETKINA</dc:creator>
  <dc:description/>
  <dc:language>ru-RU</dc:language>
  <cp:revision>18</cp:revision>
  <dcterms:created xsi:type="dcterms:W3CDTF">2023-06-23T05:37:00Z</dcterms:created>
  <dcterms:modified xsi:type="dcterms:W3CDTF">2025-02-05T06:31:47Z</dcterms:modified>
</cp:coreProperties>
</file>